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1080" w:firstLineChars="300"/>
        <w:rPr>
          <w:rFonts w:hint="default" w:ascii="方正小标宋_GBK" w:hAnsi="宋体" w:eastAsia="方正小标宋_GBK" w:cs="Times New Roman"/>
          <w:color w:val="auto"/>
          <w:sz w:val="36"/>
          <w:szCs w:val="36"/>
          <w:lang w:val="en-US" w:eastAsia="zh-CN"/>
        </w:rPr>
      </w:pPr>
      <w:r>
        <w:rPr>
          <w:rFonts w:hint="eastAsia" w:ascii="方正小标宋_GBK" w:hAnsi="宋体" w:eastAsia="方正小标宋_GBK" w:cs="Times New Roman"/>
          <w:color w:val="auto"/>
          <w:sz w:val="36"/>
          <w:szCs w:val="36"/>
        </w:rPr>
        <w:t>项目编号：</w:t>
      </w:r>
      <w:r>
        <w:rPr>
          <w:rFonts w:hint="eastAsia" w:ascii="方正小标宋_GBK" w:hAnsi="宋体" w:eastAsia="方正小标宋_GBK" w:cs="Times New Roman"/>
          <w:color w:val="auto"/>
          <w:sz w:val="36"/>
          <w:szCs w:val="36"/>
          <w:lang w:val="en-US" w:eastAsia="zh-CN"/>
        </w:rPr>
        <w:t>2022FW005</w:t>
      </w:r>
    </w:p>
    <w:p>
      <w:pPr>
        <w:spacing w:line="700" w:lineRule="exact"/>
        <w:ind w:firstLine="1080" w:firstLineChars="300"/>
        <w:rPr>
          <w:rFonts w:ascii="方正小标宋_GBK" w:hAnsi="宋体" w:eastAsia="方正小标宋_GBK" w:cs="Times New Roman"/>
          <w:color w:val="auto"/>
          <w:sz w:val="36"/>
          <w:szCs w:val="36"/>
        </w:rPr>
      </w:pPr>
      <w:r>
        <w:rPr>
          <w:rFonts w:hint="eastAsia" w:ascii="方正小标宋_GBK" w:hAnsi="宋体" w:eastAsia="方正小标宋_GBK" w:cs="Times New Roman"/>
          <w:color w:val="auto"/>
          <w:sz w:val="36"/>
          <w:szCs w:val="36"/>
        </w:rPr>
        <w:t>项目名称：</w:t>
      </w:r>
      <w:r>
        <w:rPr>
          <w:rFonts w:hint="eastAsia" w:ascii="方正小标宋_GBK" w:hAnsi="宋体" w:eastAsia="方正小标宋_GBK" w:cs="Times New Roman"/>
          <w:color w:val="auto"/>
          <w:sz w:val="36"/>
          <w:szCs w:val="36"/>
          <w:lang w:eastAsia="zh-CN"/>
        </w:rPr>
        <w:t>自助取袋机</w:t>
      </w:r>
      <w:r>
        <w:rPr>
          <w:rFonts w:hint="eastAsia" w:ascii="方正小标宋_GBK" w:hAnsi="宋体" w:eastAsia="方正小标宋_GBK" w:cs="Times New Roman"/>
          <w:color w:val="auto"/>
          <w:sz w:val="36"/>
          <w:szCs w:val="36"/>
        </w:rPr>
        <w:t xml:space="preserve">采购项目  </w:t>
      </w:r>
    </w:p>
    <w:p>
      <w:pPr>
        <w:spacing w:line="700" w:lineRule="exact"/>
        <w:ind w:firstLine="1080" w:firstLineChars="300"/>
        <w:rPr>
          <w:rFonts w:ascii="方正小标宋_GBK" w:hAnsi="宋体" w:eastAsia="方正小标宋_GBK" w:cs="Times New Roman"/>
          <w:color w:val="auto"/>
          <w:sz w:val="36"/>
          <w:szCs w:val="36"/>
        </w:rPr>
      </w:pP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1800" w:firstLineChars="500"/>
        <w:rPr>
          <w:rFonts w:hint="eastAsia" w:ascii="方正小标宋_GBK" w:hAnsi="宋体" w:eastAsia="方正小标宋_GBK" w:cs="Times New Roman"/>
          <w:color w:val="auto"/>
          <w:sz w:val="36"/>
          <w:szCs w:val="36"/>
          <w:lang w:eastAsia="zh-CN"/>
        </w:rPr>
      </w:pPr>
      <w:r>
        <w:rPr>
          <w:rFonts w:hint="eastAsia" w:ascii="方正小标宋_GBK" w:hAnsi="宋体" w:eastAsia="方正小标宋_GBK" w:cs="Times New Roman"/>
          <w:color w:val="auto"/>
          <w:sz w:val="36"/>
          <w:szCs w:val="36"/>
          <w:lang w:eastAsia="zh-CN"/>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ind w:firstLine="2520" w:firstLineChars="700"/>
        <w:jc w:val="both"/>
        <w:outlineLvl w:val="0"/>
        <w:rPr>
          <w:rFonts w:ascii="方正黑体_GBK" w:hAnsi="Times New Roman" w:eastAsia="方正黑体_GBK" w:cs="Times New Roman"/>
          <w:color w:val="auto"/>
          <w:sz w:val="52"/>
          <w:szCs w:val="36"/>
        </w:rPr>
      </w:pPr>
      <w:r>
        <w:rPr>
          <w:rFonts w:hint="eastAsia" w:ascii="方正小标宋_GBK" w:hAnsi="宋体" w:eastAsia="方正小标宋_GBK" w:cs="Times New Roman"/>
          <w:color w:val="auto"/>
          <w:sz w:val="36"/>
          <w:szCs w:val="36"/>
        </w:rPr>
        <w:t>二〇二二年</w:t>
      </w:r>
      <w:r>
        <w:rPr>
          <w:rFonts w:hint="eastAsia" w:ascii="方正小标宋_GBK" w:hAnsi="宋体" w:eastAsia="方正小标宋_GBK" w:cs="Times New Roman"/>
          <w:color w:val="auto"/>
          <w:sz w:val="36"/>
          <w:szCs w:val="36"/>
          <w:lang w:val="en-US" w:eastAsia="zh-CN"/>
        </w:rPr>
        <w:t>四</w:t>
      </w:r>
      <w:r>
        <w:rPr>
          <w:rFonts w:hint="eastAsia" w:ascii="方正小标宋_GBK" w:hAnsi="宋体" w:eastAsia="方正小标宋_GBK" w:cs="Times New Roman"/>
          <w:color w:val="auto"/>
          <w:sz w:val="36"/>
          <w:szCs w:val="36"/>
        </w:rPr>
        <w:t>月</w:t>
      </w:r>
    </w:p>
    <w:p>
      <w:pPr>
        <w:spacing w:line="420" w:lineRule="exact"/>
        <w:jc w:val="center"/>
        <w:outlineLvl w:val="0"/>
        <w:rPr>
          <w:rFonts w:ascii="方正黑体_GBK" w:hAnsi="Times New Roman" w:eastAsia="方正黑体_GBK" w:cs="Times New Roman"/>
          <w:color w:val="auto"/>
          <w:sz w:val="52"/>
          <w:szCs w:val="36"/>
        </w:rPr>
      </w:pPr>
    </w:p>
    <w:p>
      <w:pPr>
        <w:spacing w:line="420" w:lineRule="exact"/>
        <w:jc w:val="center"/>
        <w:outlineLvl w:val="0"/>
        <w:rPr>
          <w:rFonts w:ascii="方正黑体_GBK" w:hAnsi="Times New Roman" w:eastAsia="方正黑体_GBK" w:cs="Times New Roman"/>
          <w:color w:val="auto"/>
          <w:sz w:val="52"/>
          <w:szCs w:val="36"/>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_Toc428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_Toc428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_Toc26861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_Toc26861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_Toc308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_Toc7536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_Toc7536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_Toc27636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_Toc27636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_Toc24425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_Toc24425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_Toc19960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_Toc19960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_Toc13746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_Toc13746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_Toc31170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_Toc31170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_Toc15245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_Toc15245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_Toc3368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_Toc3368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_Toc20624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_Toc20624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_Toc9762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_Toc9762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_Toc11452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_Toc11452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_Toc8872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_Toc8872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_Toc9229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_Toc9229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_Toc26531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_Toc26531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_Toc3201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_Toc3201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_Toc14901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_Toc14901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_Toc23202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_Toc16750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_Toc16750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_Toc9918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一、项目一览表</w:t>
      </w:r>
      <w:r>
        <w:rPr>
          <w:color w:val="auto"/>
        </w:rPr>
        <w:tab/>
      </w:r>
      <w:r>
        <w:rPr>
          <w:color w:val="auto"/>
        </w:rPr>
        <w:fldChar w:fldCharType="begin"/>
      </w:r>
      <w:r>
        <w:rPr>
          <w:color w:val="auto"/>
        </w:rPr>
        <w:instrText xml:space="preserve"> PAGEREF _Toc9918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_Toc5089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二、服务要求</w:t>
      </w:r>
      <w:r>
        <w:rPr>
          <w:color w:val="auto"/>
        </w:rPr>
        <w:tab/>
      </w:r>
      <w:r>
        <w:rPr>
          <w:color w:val="auto"/>
        </w:rPr>
        <w:fldChar w:fldCharType="begin"/>
      </w:r>
      <w:r>
        <w:rPr>
          <w:color w:val="auto"/>
        </w:rPr>
        <w:instrText xml:space="preserve"> PAGEREF _Toc5089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_Toc30387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_Toc30387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_Toc2876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一、服务时间、地点</w:t>
      </w:r>
      <w:r>
        <w:rPr>
          <w:color w:val="auto"/>
        </w:rPr>
        <w:tab/>
      </w:r>
      <w:r>
        <w:rPr>
          <w:color w:val="auto"/>
        </w:rPr>
        <w:fldChar w:fldCharType="begin"/>
      </w:r>
      <w:r>
        <w:rPr>
          <w:color w:val="auto"/>
        </w:rPr>
        <w:instrText xml:space="preserve"> PAGEREF _Toc2876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二、质量保证及售后服务</w:t>
      </w:r>
      <w:r>
        <w:rPr>
          <w:color w:val="auto"/>
        </w:rPr>
        <w:tab/>
      </w:r>
      <w:r>
        <w:rPr>
          <w:color w:val="auto"/>
        </w:rPr>
        <w:fldChar w:fldCharType="begin"/>
      </w:r>
      <w:r>
        <w:rPr>
          <w:color w:val="auto"/>
        </w:rPr>
        <w:instrText xml:space="preserve"> PAGEREF _Toc9110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_Toc29147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三、报价方式</w:t>
      </w:r>
      <w:r>
        <w:rPr>
          <w:color w:val="auto"/>
        </w:rPr>
        <w:tab/>
      </w:r>
      <w:r>
        <w:rPr>
          <w:color w:val="auto"/>
        </w:rPr>
        <w:fldChar w:fldCharType="begin"/>
      </w:r>
      <w:r>
        <w:rPr>
          <w:color w:val="auto"/>
        </w:rPr>
        <w:instrText xml:space="preserve"> PAGEREF _Toc29147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四</w:t>
      </w:r>
      <w:r>
        <w:rPr>
          <w:rFonts w:hint="eastAsia" w:ascii="微软雅黑" w:hAnsi="微软雅黑" w:eastAsia="微软雅黑" w:cs="微软雅黑"/>
          <w:color w:val="auto"/>
          <w:szCs w:val="24"/>
        </w:rPr>
        <w:t>、付款方式</w:t>
      </w:r>
      <w:r>
        <w:rPr>
          <w:color w:val="auto"/>
        </w:rPr>
        <w:tab/>
      </w:r>
      <w:r>
        <w:rPr>
          <w:color w:val="auto"/>
        </w:rPr>
        <w:fldChar w:fldCharType="begin"/>
      </w:r>
      <w:r>
        <w:rPr>
          <w:color w:val="auto"/>
        </w:rPr>
        <w:instrText xml:space="preserve"> PAGEREF _Toc13699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_Toc16848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五、知识产权</w:t>
      </w:r>
      <w:r>
        <w:rPr>
          <w:color w:val="auto"/>
        </w:rPr>
        <w:tab/>
      </w:r>
      <w:r>
        <w:rPr>
          <w:color w:val="auto"/>
        </w:rPr>
        <w:fldChar w:fldCharType="begin"/>
      </w:r>
      <w:r>
        <w:rPr>
          <w:color w:val="auto"/>
        </w:rPr>
        <w:instrText xml:space="preserve"> PAGEREF _Toc16848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_Toc12042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六、培训</w:t>
      </w:r>
      <w:r>
        <w:rPr>
          <w:color w:val="auto"/>
        </w:rPr>
        <w:tab/>
      </w:r>
      <w:r>
        <w:rPr>
          <w:color w:val="auto"/>
        </w:rPr>
        <w:fldChar w:fldCharType="begin"/>
      </w:r>
      <w:r>
        <w:rPr>
          <w:color w:val="auto"/>
        </w:rPr>
        <w:instrText xml:space="preserve"> PAGEREF _Toc12042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_Toc10538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七、其他</w:t>
      </w:r>
      <w:r>
        <w:rPr>
          <w:color w:val="auto"/>
        </w:rPr>
        <w:tab/>
      </w:r>
      <w:r>
        <w:rPr>
          <w:color w:val="auto"/>
        </w:rPr>
        <w:fldChar w:fldCharType="begin"/>
      </w:r>
      <w:r>
        <w:rPr>
          <w:color w:val="auto"/>
        </w:rPr>
        <w:instrText xml:space="preserve"> PAGEREF _Toc10538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_Toc19662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_Toc19662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_Toc25993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_Toc25993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二、货物内容</w:t>
      </w:r>
      <w:r>
        <w:rPr>
          <w:color w:val="auto"/>
        </w:rPr>
        <w:tab/>
      </w:r>
      <w:r>
        <w:rPr>
          <w:color w:val="auto"/>
        </w:rPr>
        <w:fldChar w:fldCharType="begin"/>
      </w:r>
      <w:r>
        <w:rPr>
          <w:color w:val="auto"/>
        </w:rPr>
        <w:instrText xml:space="preserve"> PAGEREF _Toc9041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_Toc22849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_Toc22849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_Toc5130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_Toc3732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_Toc3732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_Toc7219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_Toc7219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_Toc16851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七、检查验收</w:t>
      </w:r>
      <w:r>
        <w:rPr>
          <w:color w:val="auto"/>
        </w:rPr>
        <w:tab/>
      </w:r>
      <w:r>
        <w:rPr>
          <w:color w:val="auto"/>
        </w:rPr>
        <w:fldChar w:fldCharType="begin"/>
      </w:r>
      <w:r>
        <w:rPr>
          <w:color w:val="auto"/>
        </w:rPr>
        <w:instrText xml:space="preserve"> PAGEREF _Toc16851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_Toc21229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八、索赔</w:t>
      </w:r>
      <w:r>
        <w:rPr>
          <w:color w:val="auto"/>
        </w:rPr>
        <w:tab/>
      </w:r>
      <w:r>
        <w:rPr>
          <w:color w:val="auto"/>
        </w:rPr>
        <w:fldChar w:fldCharType="begin"/>
      </w:r>
      <w:r>
        <w:rPr>
          <w:color w:val="auto"/>
        </w:rPr>
        <w:instrText xml:space="preserve"> PAGEREF _Toc21229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_Toc4448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九、知识产权</w:t>
      </w:r>
      <w:r>
        <w:rPr>
          <w:color w:val="auto"/>
        </w:rPr>
        <w:tab/>
      </w:r>
      <w:r>
        <w:rPr>
          <w:color w:val="auto"/>
        </w:rPr>
        <w:fldChar w:fldCharType="begin"/>
      </w:r>
      <w:r>
        <w:rPr>
          <w:color w:val="auto"/>
        </w:rPr>
        <w:instrText xml:space="preserve"> PAGEREF _Toc4448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_Toc22963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十、合同争议的解决</w:t>
      </w:r>
      <w:r>
        <w:rPr>
          <w:color w:val="auto"/>
        </w:rPr>
        <w:tab/>
      </w:r>
      <w:r>
        <w:rPr>
          <w:color w:val="auto"/>
        </w:rPr>
        <w:fldChar w:fldCharType="begin"/>
      </w:r>
      <w:r>
        <w:rPr>
          <w:color w:val="auto"/>
        </w:rPr>
        <w:instrText xml:space="preserve"> PAGEREF _Toc22963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_Toc10984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十一、违约责任</w:t>
      </w:r>
      <w:r>
        <w:rPr>
          <w:color w:val="auto"/>
        </w:rPr>
        <w:tab/>
      </w:r>
      <w:r>
        <w:rPr>
          <w:color w:val="auto"/>
        </w:rPr>
        <w:fldChar w:fldCharType="begin"/>
      </w:r>
      <w:r>
        <w:rPr>
          <w:color w:val="auto"/>
        </w:rPr>
        <w:instrText xml:space="preserve"> PAGEREF _Toc10984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_Toc22831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十二、合同生效及其它</w:t>
      </w:r>
      <w:r>
        <w:rPr>
          <w:color w:val="auto"/>
        </w:rPr>
        <w:tab/>
      </w:r>
      <w:r>
        <w:rPr>
          <w:color w:val="auto"/>
        </w:rPr>
        <w:fldChar w:fldCharType="begin"/>
      </w:r>
      <w:r>
        <w:rPr>
          <w:color w:val="auto"/>
        </w:rPr>
        <w:instrText xml:space="preserve"> PAGEREF _Toc22831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_Toc18258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_Toc18258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_Toc13808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_Toc13808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_Toc4913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_Toc4913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_Toc17297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_Toc17297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_Toc20411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_Toc20411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_Toc12877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_Toc12877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_Toc6296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kern w:val="2"/>
          <w:sz w:val="28"/>
          <w:szCs w:val="24"/>
          <w:lang w:val="en-US" w:eastAsia="zh-CN" w:bidi="ar-SA"/>
        </w:rPr>
        <w:t>重庆医科大学附属永川医院参加医院院内采购活动来院人员新冠肺炎疫情防控工作告知书</w:t>
      </w:r>
      <w:r>
        <w:rPr>
          <w:color w:val="auto"/>
        </w:rPr>
        <w:tab/>
      </w:r>
      <w:r>
        <w:rPr>
          <w:color w:val="auto"/>
        </w:rPr>
        <w:fldChar w:fldCharType="begin"/>
      </w:r>
      <w:r>
        <w:rPr>
          <w:color w:val="auto"/>
        </w:rPr>
        <w:instrText xml:space="preserve"> PAGEREF _Toc6296 \h </w:instrText>
      </w:r>
      <w:r>
        <w:rPr>
          <w:color w:val="auto"/>
        </w:rPr>
        <w:fldChar w:fldCharType="separate"/>
      </w:r>
      <w:r>
        <w:rPr>
          <w:color w:val="auto"/>
        </w:rPr>
        <w:t>40</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12789052"/>
      <w:bookmarkStart w:id="1" w:name="_Toc11641050"/>
      <w:bookmarkStart w:id="2" w:name="_Toc485108766"/>
      <w:bookmarkStart w:id="3" w:name="_Toc428"/>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color w:val="auto"/>
          <w:sz w:val="28"/>
          <w:szCs w:val="20"/>
        </w:rPr>
      </w:pPr>
      <w:bookmarkStart w:id="4" w:name="_Toc317775178"/>
      <w:bookmarkStart w:id="5" w:name="_Toc373860293"/>
      <w:r>
        <w:rPr>
          <w:rFonts w:hint="eastAsia" w:ascii="方正仿宋_GBK" w:hAnsi="宋体" w:eastAsia="方正仿宋_GBK" w:cs="Times New Roman"/>
          <w:color w:val="auto"/>
          <w:sz w:val="24"/>
          <w:szCs w:val="24"/>
        </w:rPr>
        <w:t>重庆医科大学附属永川医院（简称“重医附属永川医院”）对</w:t>
      </w:r>
      <w:r>
        <w:rPr>
          <w:rFonts w:hint="eastAsia" w:ascii="方正仿宋_GBK" w:hAnsi="宋体" w:eastAsia="方正仿宋_GBK"/>
          <w:color w:val="auto"/>
          <w:szCs w:val="21"/>
          <w:lang w:eastAsia="zh-CN"/>
        </w:rPr>
        <w:t>自助取袋机采购</w:t>
      </w:r>
      <w:r>
        <w:rPr>
          <w:rFonts w:hint="eastAsia" w:ascii="方正仿宋_GBK" w:hAnsi="宋体" w:eastAsia="方正仿宋_GBK" w:cs="Times New Roman"/>
          <w:color w:val="auto"/>
          <w:sz w:val="24"/>
          <w:szCs w:val="24"/>
        </w:rPr>
        <w:t>项目进行院内比选采购。欢迎有资格、有实力的潜在供应商参加。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485108767"/>
      <w:bookmarkStart w:id="7" w:name="_Toc313893526"/>
      <w:bookmarkStart w:id="8" w:name="_Toc26861"/>
      <w:bookmarkStart w:id="9" w:name="_Toc317775175"/>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3"/>
        <w:gridCol w:w="2150"/>
        <w:gridCol w:w="1225"/>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113"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150" w:type="dxa"/>
          </w:tcPr>
          <w:p>
            <w:pPr>
              <w:spacing w:line="400" w:lineRule="exact"/>
              <w:ind w:left="720" w:hanging="720" w:hangingChars="300"/>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1225" w:type="dxa"/>
            <w:vAlign w:val="center"/>
          </w:tcPr>
          <w:p>
            <w:pPr>
              <w:spacing w:line="400" w:lineRule="exact"/>
              <w:rPr>
                <w:rFonts w:ascii="方正仿宋_GBK" w:hAnsi="宋体" w:eastAsia="方正仿宋_GBK"/>
                <w:color w:val="auto"/>
                <w:sz w:val="24"/>
                <w:szCs w:val="24"/>
              </w:rPr>
            </w:pPr>
            <w:r>
              <w:rPr>
                <w:rFonts w:hint="eastAsia" w:ascii="方正仿宋_GBK" w:hAnsi="宋体" w:eastAsia="方正仿宋_GBK"/>
                <w:color w:val="auto"/>
                <w:sz w:val="24"/>
                <w:szCs w:val="24"/>
              </w:rPr>
              <w:t>最高限价</w:t>
            </w:r>
          </w:p>
          <w:p>
            <w:pPr>
              <w:spacing w:line="400" w:lineRule="exact"/>
              <w:rPr>
                <w:rFonts w:ascii="方正仿宋_GBK" w:hAnsi="宋体" w:eastAsia="方正仿宋_GBK"/>
                <w:color w:val="auto"/>
                <w:sz w:val="24"/>
                <w:szCs w:val="24"/>
              </w:rPr>
            </w:pPr>
            <w:r>
              <w:rPr>
                <w:rFonts w:hint="eastAsia" w:ascii="方正仿宋_GBK" w:hAnsi="宋体" w:eastAsia="方正仿宋_GBK"/>
                <w:color w:val="auto"/>
                <w:sz w:val="24"/>
                <w:szCs w:val="24"/>
              </w:rPr>
              <w:t>（万元）</w:t>
            </w:r>
          </w:p>
        </w:tc>
        <w:tc>
          <w:tcPr>
            <w:tcW w:w="2125"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113" w:type="dxa"/>
            <w:vAlign w:val="center"/>
          </w:tcPr>
          <w:p>
            <w:pPr>
              <w:spacing w:line="400" w:lineRule="exact"/>
              <w:ind w:firstLine="420" w:firstLineChars="200"/>
              <w:rPr>
                <w:rFonts w:hint="eastAsia" w:ascii="方正仿宋_GBK" w:hAnsi="宋体" w:eastAsia="方正仿宋_GBK"/>
                <w:color w:val="auto"/>
                <w:sz w:val="24"/>
                <w:szCs w:val="24"/>
                <w:lang w:eastAsia="zh-CN"/>
              </w:rPr>
            </w:pPr>
            <w:r>
              <w:rPr>
                <w:rFonts w:hint="eastAsia" w:ascii="方正仿宋_GBK" w:hAnsi="宋体" w:eastAsia="方正仿宋_GBK"/>
                <w:color w:val="auto"/>
                <w:szCs w:val="21"/>
                <w:lang w:eastAsia="zh-CN"/>
              </w:rPr>
              <w:t>自助取袋机采购</w:t>
            </w:r>
          </w:p>
        </w:tc>
        <w:tc>
          <w:tcPr>
            <w:tcW w:w="2150" w:type="dxa"/>
            <w:vAlign w:val="center"/>
          </w:tcPr>
          <w:p>
            <w:pPr>
              <w:spacing w:line="400" w:lineRule="exact"/>
              <w:jc w:val="center"/>
              <w:rPr>
                <w:rFonts w:hint="eastAsia" w:ascii="方正仿宋_GBK" w:hAnsi="宋体" w:eastAsia="方正仿宋_GBK"/>
                <w:color w:val="auto"/>
                <w:sz w:val="24"/>
                <w:szCs w:val="24"/>
                <w:lang w:eastAsia="zh-CN"/>
              </w:rPr>
            </w:pPr>
            <w:r>
              <w:rPr>
                <w:rFonts w:hint="eastAsia" w:ascii="方正仿宋_GBK" w:hAnsi="宋体" w:eastAsia="方正仿宋_GBK"/>
                <w:color w:val="auto"/>
                <w:sz w:val="24"/>
                <w:szCs w:val="24"/>
                <w:lang w:val="en-US" w:eastAsia="zh-CN"/>
              </w:rPr>
              <w:t>1</w:t>
            </w:r>
          </w:p>
        </w:tc>
        <w:tc>
          <w:tcPr>
            <w:tcW w:w="1225" w:type="dxa"/>
            <w:vAlign w:val="center"/>
          </w:tcPr>
          <w:p>
            <w:pPr>
              <w:spacing w:line="400" w:lineRule="exact"/>
              <w:ind w:firstLine="480" w:firstLineChars="200"/>
              <w:rPr>
                <w:rFonts w:hint="eastAsia" w:ascii="方正仿宋_GBK" w:hAnsi="宋体" w:eastAsia="方正仿宋_GBK"/>
                <w:color w:val="auto"/>
                <w:sz w:val="24"/>
                <w:szCs w:val="24"/>
                <w:lang w:val="en-US" w:eastAsia="zh-CN"/>
              </w:rPr>
            </w:pPr>
          </w:p>
        </w:tc>
        <w:tc>
          <w:tcPr>
            <w:tcW w:w="2125" w:type="dxa"/>
            <w:vAlign w:val="center"/>
          </w:tcPr>
          <w:p>
            <w:pPr>
              <w:spacing w:line="400" w:lineRule="exact"/>
              <w:ind w:firstLine="420" w:firstLineChars="200"/>
              <w:rPr>
                <w:rFonts w:ascii="方正仿宋_GBK" w:hAnsi="宋体" w:eastAsia="方正仿宋_GBK"/>
                <w:color w:val="auto"/>
                <w:sz w:val="24"/>
                <w:szCs w:val="24"/>
              </w:rPr>
            </w:pPr>
            <w:r>
              <w:rPr>
                <w:rFonts w:hint="eastAsia" w:ascii="方正仿宋_GBK" w:hAnsi="宋体" w:eastAsia="方正仿宋_GBK"/>
                <w:color w:val="auto"/>
                <w:szCs w:val="21"/>
              </w:rPr>
              <w:t>服务期：</w:t>
            </w:r>
            <w:r>
              <w:rPr>
                <w:rFonts w:hint="eastAsia" w:ascii="方正仿宋_GBK" w:hAnsi="宋体" w:eastAsia="方正仿宋_GBK"/>
                <w:color w:val="auto"/>
                <w:szCs w:val="21"/>
                <w:lang w:val="en-US" w:eastAsia="zh-CN"/>
              </w:rPr>
              <w:t>3</w:t>
            </w:r>
            <w:r>
              <w:rPr>
                <w:rFonts w:hint="eastAsia" w:ascii="方正仿宋_GBK" w:hAnsi="宋体" w:eastAsia="方正仿宋_GBK"/>
                <w:color w:val="auto"/>
                <w:szCs w:val="21"/>
              </w:rPr>
              <w:t>年</w:t>
            </w:r>
          </w:p>
        </w:tc>
      </w:tr>
    </w:tbl>
    <w:p>
      <w:pPr>
        <w:keepNext/>
        <w:keepLines/>
        <w:outlineLvl w:val="2"/>
        <w:rPr>
          <w:rFonts w:ascii="方正仿宋_GBK" w:hAnsi="Times New Roman" w:eastAsia="方正仿宋_GBK" w:cs="Times New Roman"/>
          <w:b/>
          <w:color w:val="auto"/>
          <w:sz w:val="24"/>
          <w:szCs w:val="24"/>
        </w:rPr>
      </w:pPr>
      <w:bookmarkStart w:id="10" w:name="_Toc485108768"/>
      <w:bookmarkStart w:id="11" w:name="_Toc308"/>
      <w:r>
        <w:rPr>
          <w:rStyle w:val="69"/>
          <w:rFonts w:hint="eastAsia" w:ascii="微软雅黑" w:hAnsi="微软雅黑" w:eastAsia="微软雅黑" w:cs="微软雅黑"/>
          <w:color w:val="auto"/>
          <w:sz w:val="24"/>
          <w:szCs w:val="24"/>
          <w:lang w:val="en-US" w:eastAsia="zh-CN"/>
        </w:rPr>
        <w:t>二、资金来源</w:t>
      </w:r>
      <w:bookmarkEnd w:id="10"/>
      <w:bookmarkEnd w:id="11"/>
      <w:r>
        <w:rPr>
          <w:rFonts w:hint="eastAsia"/>
          <w:color w:val="auto"/>
        </w:rPr>
        <w:t>：</w:t>
      </w:r>
      <w:bookmarkStart w:id="12" w:name="_Toc3816"/>
      <w:bookmarkStart w:id="13" w:name="_Toc31105"/>
      <w:r>
        <w:rPr>
          <w:rFonts w:hint="eastAsia" w:ascii="方正仿宋_GBK" w:hAnsi="宋体" w:eastAsia="方正仿宋_GBK" w:cs="Times New Roman"/>
          <w:color w:val="auto"/>
          <w:sz w:val="24"/>
          <w:szCs w:val="24"/>
        </w:rPr>
        <w:t>医院自筹</w:t>
      </w:r>
      <w:bookmarkEnd w:id="12"/>
      <w:bookmarkEnd w:id="13"/>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7536"/>
      <w:r>
        <w:rPr>
          <w:rFonts w:hint="eastAsia" w:ascii="微软雅黑" w:hAnsi="微软雅黑" w:eastAsia="微软雅黑" w:cs="微软雅黑"/>
          <w:color w:val="auto"/>
          <w:sz w:val="24"/>
          <w:szCs w:val="24"/>
        </w:rPr>
        <w:t>三、</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货物、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bookmarkEnd w:id="4"/>
    <w:bookmarkEnd w:id="5"/>
    <w:p>
      <w:pPr>
        <w:pStyle w:val="3"/>
        <w:spacing w:line="240" w:lineRule="auto"/>
        <w:rPr>
          <w:color w:val="auto"/>
          <w:sz w:val="24"/>
          <w:szCs w:val="24"/>
        </w:rPr>
      </w:pPr>
      <w:bookmarkStart w:id="16" w:name="_Toc6"/>
      <w:bookmarkStart w:id="17" w:name="_Toc27636"/>
      <w:bookmarkStart w:id="18" w:name="_Toc485108774"/>
      <w:bookmarkStart w:id="19" w:name="_Toc102227313"/>
      <w:r>
        <w:rPr>
          <w:rFonts w:hint="eastAsia" w:ascii="微软雅黑" w:hAnsi="微软雅黑" w:eastAsia="微软雅黑" w:cs="微软雅黑"/>
          <w:color w:val="auto"/>
          <w:sz w:val="24"/>
          <w:szCs w:val="24"/>
        </w:rPr>
        <w:t>四、比选有关说明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（一）凡有意参加比选的供应商，请在重医附属永川医院官网下载本项目比选文件以及图纸、澄清等比选前公布的所有项目资料，无论供应商下载与否，均视为已知晓所有比选实质性要求内容。</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15</w:t>
      </w:r>
      <w:r>
        <w:rPr>
          <w:rFonts w:hint="eastAsia" w:ascii="方正仿宋_GBK" w:hAnsi="宋体" w:eastAsia="方正仿宋_GBK" w:cs="Times New Roman"/>
          <w:color w:val="auto"/>
          <w:sz w:val="24"/>
          <w:szCs w:val="24"/>
        </w:rPr>
        <w:t>日）起三个工作日。</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（三）报名方式</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凡有意参加的供应商，请于202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15</w:t>
      </w:r>
      <w:r>
        <w:rPr>
          <w:rFonts w:hint="eastAsia" w:ascii="方正仿宋_GBK" w:hAnsi="宋体" w:eastAsia="方正仿宋_GBK" w:cs="Times New Roman"/>
          <w:color w:val="auto"/>
          <w:sz w:val="24"/>
          <w:szCs w:val="24"/>
        </w:rPr>
        <w:t>日</w:t>
      </w:r>
      <w:r>
        <w:rPr>
          <w:rFonts w:hint="eastAsia" w:ascii="方正仿宋_GBK" w:hAnsi="宋体" w:eastAsia="方正仿宋_GBK" w:cs="Times New Roman"/>
          <w:color w:val="auto"/>
          <w:sz w:val="24"/>
          <w:szCs w:val="24"/>
          <w:lang w:val="en-US" w:eastAsia="zh-CN"/>
        </w:rPr>
        <w:t>9:3</w:t>
      </w:r>
      <w:r>
        <w:rPr>
          <w:rFonts w:hint="eastAsia" w:ascii="方正仿宋_GBK" w:hAnsi="宋体" w:eastAsia="方正仿宋_GBK" w:cs="Times New Roman"/>
          <w:color w:val="auto"/>
          <w:sz w:val="24"/>
          <w:szCs w:val="24"/>
        </w:rPr>
        <w:t>0时至202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20</w:t>
      </w:r>
      <w:r>
        <w:rPr>
          <w:rFonts w:hint="eastAsia" w:ascii="方正仿宋_GBK" w:hAnsi="宋体" w:eastAsia="方正仿宋_GBK" w:cs="Times New Roman"/>
          <w:color w:val="auto"/>
          <w:sz w:val="24"/>
          <w:szCs w:val="24"/>
        </w:rPr>
        <w:t>日</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0时（法定公休日、法定节假日除外）线上报名。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线上报名方式：</w:t>
      </w:r>
      <w:r>
        <w:rPr>
          <w:color w:val="auto"/>
        </w:rPr>
        <w:fldChar w:fldCharType="begin"/>
      </w:r>
      <w:r>
        <w:rPr>
          <w:color w:val="auto"/>
        </w:rPr>
        <w:instrText xml:space="preserve"> HYPERLINK "mailto:请务必将参与比选文件的采购项目名称及采购项目编号、所参与包号、供应商名称、联系人名称及联系方式、电子邮箱等注明，响应供应商一般资质和特定资格要求扫描后（加盖供应商公章）在报名截止时间前发送到邮箱cgb85385105@163.com。" </w:instrText>
      </w:r>
      <w:r>
        <w:rPr>
          <w:color w:val="auto"/>
        </w:rPr>
        <w:fldChar w:fldCharType="separate"/>
      </w:r>
      <w:r>
        <w:rPr>
          <w:rFonts w:hint="eastAsia" w:ascii="方正仿宋_GBK" w:hAnsi="宋体" w:eastAsia="方正仿宋_GBK" w:cs="Times New Roman"/>
          <w:color w:val="auto"/>
          <w:sz w:val="24"/>
          <w:szCs w:val="24"/>
        </w:rPr>
        <w:t>请务必将参与比选文件的采购项目名称及采购项目编号、所参与包号、供应商名称、联系人名称及联系方式、电子邮箱等注明，响应供应商一般资质扫描后（加盖供应商公章）在报名截止时间前发送到邮箱cgb85385105@163.com。</w:t>
      </w:r>
      <w:r>
        <w:rPr>
          <w:rFonts w:hint="eastAsia" w:ascii="方正仿宋_GBK" w:hAnsi="宋体" w:eastAsia="方正仿宋_GBK" w:cs="Times New Roman"/>
          <w:color w:val="auto"/>
          <w:sz w:val="24"/>
          <w:szCs w:val="24"/>
        </w:rPr>
        <w:fldChar w:fldCharType="end"/>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left="10" w:leftChars="5"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2、按时</w:t>
      </w:r>
      <w:r>
        <w:rPr>
          <w:rFonts w:hint="eastAsia" w:ascii="方正仿宋_GBK" w:hAnsi="宋体" w:eastAsia="方正仿宋_GBK"/>
          <w:color w:val="auto"/>
          <w:sz w:val="24"/>
          <w:szCs w:val="24"/>
        </w:rPr>
        <w:t>线上报名</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spacing w:line="400" w:lineRule="exact"/>
        <w:ind w:left="10" w:leftChars="5"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（六）响应文件递交开始时间：202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21</w:t>
      </w:r>
      <w:r>
        <w:rPr>
          <w:rFonts w:hint="eastAsia" w:ascii="方正仿宋_GBK" w:hAnsi="宋体" w:eastAsia="方正仿宋_GBK" w:cs="Times New Roman"/>
          <w:color w:val="auto"/>
          <w:sz w:val="24"/>
          <w:szCs w:val="24"/>
        </w:rPr>
        <w:t>日北京时间</w:t>
      </w: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0</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21</w:t>
      </w:r>
      <w:r>
        <w:rPr>
          <w:rFonts w:hint="eastAsia" w:ascii="方正仿宋_GBK" w:hAnsi="宋体" w:eastAsia="方正仿宋_GBK" w:cs="Times New Roman"/>
          <w:color w:val="auto"/>
          <w:sz w:val="24"/>
          <w:szCs w:val="24"/>
        </w:rPr>
        <w:t>日北京时间</w:t>
      </w:r>
      <w:bookmarkEnd w:id="20"/>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21</w:t>
      </w:r>
      <w:r>
        <w:rPr>
          <w:rFonts w:hint="eastAsia" w:ascii="方正仿宋_GBK" w:hAnsi="宋体" w:eastAsia="方正仿宋_GBK" w:cs="Times New Roman"/>
          <w:color w:val="auto"/>
          <w:sz w:val="24"/>
          <w:szCs w:val="24"/>
        </w:rPr>
        <w:t>日北京时间</w:t>
      </w:r>
      <w:bookmarkEnd w:id="21"/>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w:t>
      </w:r>
    </w:p>
    <w:p>
      <w:pPr>
        <w:pStyle w:val="3"/>
        <w:keepNext/>
        <w:keepLines/>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color w:val="auto"/>
          <w:sz w:val="24"/>
          <w:szCs w:val="24"/>
        </w:rPr>
      </w:pPr>
      <w:bookmarkStart w:id="22" w:name="_Toc24425"/>
      <w:r>
        <w:rPr>
          <w:rFonts w:hint="eastAsia" w:ascii="微软雅黑" w:hAnsi="微软雅黑" w:eastAsia="微软雅黑" w:cs="微软雅黑"/>
          <w:color w:val="auto"/>
          <w:sz w:val="24"/>
          <w:szCs w:val="24"/>
        </w:rPr>
        <w:t>五、本项目无需购买比选文件</w:t>
      </w:r>
      <w:bookmarkEnd w:id="22"/>
      <w:bookmarkStart w:id="23" w:name="_Toc1625"/>
    </w:p>
    <w:p>
      <w:pPr>
        <w:pStyle w:val="3"/>
        <w:keepNext/>
        <w:keepLines/>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color w:val="auto"/>
          <w:sz w:val="24"/>
          <w:szCs w:val="24"/>
        </w:rPr>
      </w:pPr>
      <w:bookmarkStart w:id="24" w:name="_Toc19960"/>
      <w:r>
        <w:rPr>
          <w:rFonts w:hint="eastAsia" w:ascii="微软雅黑" w:hAnsi="微软雅黑" w:eastAsia="微软雅黑" w:cs="微软雅黑"/>
          <w:color w:val="auto"/>
          <w:sz w:val="24"/>
          <w:szCs w:val="24"/>
        </w:rPr>
        <w:t>六、其它有关规定</w:t>
      </w:r>
      <w:bookmarkEnd w:id="23"/>
      <w:bookmarkEnd w:id="24"/>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（三）同一合同项（分包）下为单一品目的货物采购中，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w:t>
      </w:r>
      <w:r>
        <w:rPr>
          <w:rFonts w:hint="eastAsia" w:ascii="方正仿宋_GBK" w:hAnsi="宋体" w:eastAsia="方正仿宋_GBK" w:cs="Times New Roman"/>
          <w:color w:val="auto"/>
          <w:sz w:val="24"/>
          <w:szCs w:val="24"/>
          <w:lang w:val="en-US" w:eastAsia="zh-CN"/>
        </w:rPr>
        <w:t xml:space="preserve"> </w:t>
      </w:r>
      <w:r>
        <w:rPr>
          <w:rFonts w:hint="eastAsia" w:ascii="方正仿宋_GBK" w:hAnsi="宋体" w:eastAsia="方正仿宋_GBK" w:cs="Times New Roman"/>
          <w:color w:val="auto"/>
          <w:sz w:val="24"/>
          <w:szCs w:val="24"/>
        </w:rPr>
        <w:t>（分包）下的货物，制造商参与比选的，不得再委托代理商参与比选。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重医附属永川医院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未线上报名的，其响应文件恕不接收，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5" w:name="_Toc13746"/>
      <w:bookmarkStart w:id="26" w:name="_Toc96605950"/>
      <w:r>
        <w:rPr>
          <w:rFonts w:hint="eastAsia" w:ascii="微软雅黑" w:hAnsi="微软雅黑" w:eastAsia="微软雅黑" w:cs="微软雅黑"/>
          <w:color w:val="auto"/>
          <w:sz w:val="24"/>
          <w:szCs w:val="24"/>
        </w:rPr>
        <w:t>七、防疫要求</w:t>
      </w:r>
      <w:bookmarkEnd w:id="25"/>
      <w:bookmarkEnd w:id="26"/>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关于加强交易现场疫情防控工作的通知</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按照永川区政府关于当前疫情防控相关工作要求，重庆医科大学附属永川医院将加强现场疫情防控管理，现通知如下：</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入场交易人员须严格遵守永川区政府疫情防控要求和重庆医科大学附属永川医院现场防控管理规定，进场前配合工作人员进行体温检测，出示渝康码、行程码，登记人员信息。全程做好个人防护，佩戴口罩，保持安全距离，自觉听从医院工作人员的引导。</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（二）所有来自或途径中（高）风险区所在城市的来永返永人员，需持48小时内核酸检测阴性证明。若无法提供的，将不能进入医院，产生的一切后果自负。</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（三）请各进入医院人员和单位务必提前详细了解我区疫情防控具体要求，若不符合防控要求，将不能入场参与交易活动，请自行评估后果，合理安排人员参与相关活动。</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（四）由于区域疫情防控政策动态调整，请及时关注最新政策发布情况。如不清楚防控要求，请于采购前致电重庆医科大学附属永川医院采购办询问，咨询电话：85385105</w:t>
      </w:r>
      <w:bookmarkStart w:id="27" w:name="_Toc31390"/>
    </w:p>
    <w:p>
      <w:pPr>
        <w:pStyle w:val="3"/>
        <w:spacing w:line="240" w:lineRule="auto"/>
        <w:rPr>
          <w:rFonts w:hint="eastAsia" w:ascii="微软雅黑" w:hAnsi="微软雅黑" w:eastAsia="微软雅黑" w:cs="微软雅黑"/>
          <w:color w:val="auto"/>
          <w:sz w:val="24"/>
          <w:szCs w:val="24"/>
        </w:rPr>
      </w:pPr>
      <w:bookmarkStart w:id="28" w:name="_Toc31170"/>
      <w:r>
        <w:rPr>
          <w:rFonts w:hint="eastAsia" w:ascii="微软雅黑" w:hAnsi="微软雅黑" w:eastAsia="微软雅黑" w:cs="微软雅黑"/>
          <w:color w:val="auto"/>
          <w:sz w:val="24"/>
          <w:szCs w:val="24"/>
        </w:rPr>
        <w:t>八、联系方式</w:t>
      </w:r>
      <w:bookmarkEnd w:id="27"/>
      <w:bookmarkEnd w:id="28"/>
    </w:p>
    <w:bookmarkEnd w:id="18"/>
    <w:bookmarkEnd w:id="19"/>
    <w:p>
      <w:pPr>
        <w:ind w:firstLine="480" w:firstLineChars="200"/>
        <w:jc w:val="left"/>
        <w:rPr>
          <w:rFonts w:ascii="方正仿宋_GBK" w:hAnsi="宋体" w:eastAsia="方正仿宋_GBK" w:cs="Times New Roman"/>
          <w:color w:val="auto"/>
          <w:sz w:val="24"/>
          <w:szCs w:val="24"/>
        </w:rPr>
      </w:pPr>
      <w:bookmarkStart w:id="29"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29"/>
    <w:p>
      <w:pPr>
        <w:rPr>
          <w:rFonts w:hint="eastAsia"/>
          <w:color w:val="auto"/>
        </w:rPr>
      </w:pPr>
    </w:p>
    <w:p>
      <w:pPr>
        <w:pStyle w:val="2"/>
        <w:bidi w:val="0"/>
        <w:jc w:val="both"/>
        <w:rPr>
          <w:rFonts w:hint="eastAsia" w:ascii="微软雅黑" w:hAnsi="微软雅黑" w:eastAsia="微软雅黑" w:cs="微软雅黑"/>
          <w:b/>
          <w:bCs/>
          <w:color w:val="auto"/>
          <w:sz w:val="36"/>
          <w:szCs w:val="36"/>
        </w:rPr>
      </w:pPr>
    </w:p>
    <w:p>
      <w:pPr>
        <w:rPr>
          <w:rFonts w:hint="eastAsia"/>
          <w:color w:val="auto"/>
        </w:rPr>
      </w:pPr>
    </w:p>
    <w:p>
      <w:pPr>
        <w:pStyle w:val="2"/>
        <w:bidi w:val="0"/>
        <w:jc w:val="both"/>
        <w:rPr>
          <w:rFonts w:hint="eastAsia" w:ascii="微软雅黑" w:hAnsi="微软雅黑" w:eastAsia="微软雅黑" w:cs="微软雅黑"/>
          <w:b/>
          <w:bCs/>
          <w:color w:val="auto"/>
          <w:sz w:val="36"/>
          <w:szCs w:val="36"/>
        </w:rPr>
      </w:pPr>
    </w:p>
    <w:p>
      <w:pPr>
        <w:rPr>
          <w:rFonts w:hint="eastAsia" w:ascii="微软雅黑" w:hAnsi="微软雅黑" w:eastAsia="微软雅黑" w:cs="微软雅黑"/>
          <w:b/>
          <w:bCs/>
          <w:color w:val="auto"/>
          <w:sz w:val="36"/>
          <w:szCs w:val="36"/>
        </w:rPr>
      </w:pPr>
    </w:p>
    <w:p>
      <w:pPr>
        <w:rPr>
          <w:rFonts w:hint="eastAsia" w:ascii="微软雅黑" w:hAnsi="微软雅黑" w:eastAsia="微软雅黑" w:cs="微软雅黑"/>
          <w:b/>
          <w:bCs/>
          <w:color w:val="auto"/>
          <w:sz w:val="36"/>
          <w:szCs w:val="36"/>
        </w:rPr>
      </w:pPr>
    </w:p>
    <w:p>
      <w:pPr>
        <w:pStyle w:val="2"/>
        <w:bidi w:val="0"/>
        <w:jc w:val="center"/>
        <w:rPr>
          <w:rFonts w:hint="eastAsia"/>
          <w:b/>
          <w:color w:val="auto"/>
        </w:rPr>
      </w:pPr>
      <w:bookmarkStart w:id="30" w:name="_Toc15245"/>
      <w:r>
        <w:rPr>
          <w:rFonts w:hint="eastAsia" w:ascii="微软雅黑" w:hAnsi="微软雅黑" w:eastAsia="微软雅黑" w:cs="微软雅黑"/>
          <w:b/>
          <w:bCs/>
          <w:color w:val="auto"/>
          <w:sz w:val="36"/>
          <w:szCs w:val="36"/>
        </w:rPr>
        <w:t>第二篇 供应商须知</w:t>
      </w:r>
      <w:bookmarkEnd w:id="30"/>
    </w:p>
    <w:p>
      <w:pPr>
        <w:pStyle w:val="3"/>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color w:val="auto"/>
          <w:sz w:val="24"/>
          <w:szCs w:val="24"/>
        </w:rPr>
      </w:pPr>
      <w:bookmarkStart w:id="31" w:name="_Toc3368"/>
      <w:r>
        <w:rPr>
          <w:rFonts w:hint="eastAsia" w:ascii="微软雅黑" w:hAnsi="微软雅黑" w:eastAsia="微软雅黑" w:cs="微软雅黑"/>
          <w:color w:val="auto"/>
          <w:sz w:val="24"/>
          <w:szCs w:val="24"/>
        </w:rPr>
        <w:t>一、比选费用</w:t>
      </w:r>
      <w:bookmarkEnd w:id="31"/>
    </w:p>
    <w:p>
      <w:pPr>
        <w:pageBreakBefore w:val="0"/>
        <w:widowControl w:val="0"/>
        <w:kinsoku/>
        <w:wordWrap/>
        <w:overflowPunct/>
        <w:topLinePunct w:val="0"/>
        <w:autoSpaceDE/>
        <w:autoSpaceDN/>
        <w:bidi w:val="0"/>
        <w:adjustRightInd/>
        <w:snapToGrid/>
        <w:spacing w:line="240" w:lineRule="auto"/>
        <w:ind w:firstLine="480" w:firstLineChars="200"/>
        <w:textAlignment w:val="auto"/>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pageBreakBefore w:val="0"/>
        <w:widowControl w:val="0"/>
        <w:kinsoku/>
        <w:wordWrap/>
        <w:overflowPunct/>
        <w:topLinePunct w:val="0"/>
        <w:autoSpaceDE/>
        <w:autoSpaceDN/>
        <w:bidi w:val="0"/>
        <w:adjustRightInd/>
        <w:spacing w:line="240" w:lineRule="auto"/>
        <w:textAlignment w:val="auto"/>
        <w:rPr>
          <w:color w:val="auto"/>
        </w:rPr>
      </w:pPr>
      <w:bookmarkStart w:id="32" w:name="_Toc20624"/>
      <w:r>
        <w:rPr>
          <w:rFonts w:hint="eastAsia" w:ascii="微软雅黑" w:hAnsi="微软雅黑" w:eastAsia="微软雅黑" w:cs="微软雅黑"/>
          <w:color w:val="auto"/>
          <w:sz w:val="24"/>
          <w:szCs w:val="24"/>
        </w:rPr>
        <w:t>二、比选文件</w:t>
      </w:r>
      <w:bookmarkEnd w:id="32"/>
      <w:r>
        <w:rPr>
          <w:color w:val="auto"/>
        </w:rPr>
        <w:tab/>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3" w:name="_Toc9762"/>
      <w:r>
        <w:rPr>
          <w:rFonts w:hint="eastAsia" w:ascii="微软雅黑" w:hAnsi="微软雅黑" w:eastAsia="微软雅黑" w:cs="微软雅黑"/>
          <w:color w:val="auto"/>
          <w:sz w:val="24"/>
          <w:szCs w:val="24"/>
        </w:rPr>
        <w:t>三、比选要求</w:t>
      </w:r>
      <w:bookmarkEnd w:id="33"/>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spacing w:line="400" w:lineRule="exact"/>
        <w:ind w:firstLine="480" w:firstLineChars="200"/>
        <w:rPr>
          <w:rFonts w:hint="default"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比选报价包括完成本项目所需的</w:t>
      </w:r>
      <w:r>
        <w:rPr>
          <w:rFonts w:hint="eastAsia" w:ascii="方正仿宋_GBK" w:hAnsi="宋体" w:eastAsia="方正仿宋_GBK"/>
          <w:color w:val="auto"/>
          <w:sz w:val="24"/>
          <w:szCs w:val="24"/>
          <w:lang w:val="en-US" w:eastAsia="zh-CN"/>
        </w:rPr>
        <w:t>场地管理费、电费</w:t>
      </w:r>
      <w:r>
        <w:rPr>
          <w:rFonts w:hint="eastAsia" w:ascii="方正仿宋_GBK" w:hAnsi="宋体" w:eastAsia="方正仿宋_GBK"/>
          <w:color w:val="auto"/>
          <w:sz w:val="24"/>
          <w:szCs w:val="24"/>
        </w:rPr>
        <w:t>等各项费用</w:t>
      </w:r>
      <w:r>
        <w:rPr>
          <w:rFonts w:hint="default" w:ascii="方正仿宋_GBK" w:hAnsi="宋体" w:eastAsia="方正仿宋_GBK"/>
          <w:color w:val="auto"/>
          <w:sz w:val="24"/>
          <w:szCs w:val="24"/>
        </w:rPr>
        <w:t>。本项目包含但不限于</w:t>
      </w:r>
      <w:r>
        <w:rPr>
          <w:rFonts w:hint="eastAsia" w:ascii="方正仿宋_GBK" w:hAnsi="宋体" w:eastAsia="方正仿宋_GBK" w:cs="Times New Roman"/>
          <w:color w:val="auto"/>
          <w:sz w:val="24"/>
          <w:szCs w:val="24"/>
        </w:rPr>
        <w:t>设备、辅材费、运输费、装卸费、安装调试费、培训费及各种应纳的税费</w:t>
      </w:r>
      <w:r>
        <w:rPr>
          <w:rFonts w:hint="default"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rPr>
        <w:t>以及成交供应商人工工资、奖金、福利、社保、管理、交通、运输、利润、税金、风险费等在内的所有费用</w:t>
      </w:r>
      <w:r>
        <w:rPr>
          <w:rFonts w:hint="default" w:ascii="方正仿宋_GBK" w:hAnsi="宋体" w:eastAsia="方正仿宋_GBK" w:cs="Times New Roman"/>
          <w:color w:val="auto"/>
          <w:sz w:val="24"/>
          <w:szCs w:val="24"/>
        </w:rPr>
        <w:t>由供应商自行承担，供应商应充分估算成本。</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（三）修正错误</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1.响应文件一式二份，其中正本一份，副本三份；副本可为正本的复印件，应与正本一致，如出现不一致情况以正本为准。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w:t>
      </w:r>
      <w:r>
        <w:rPr>
          <w:rFonts w:hint="eastAsia" w:ascii="仿宋" w:hAnsi="仿宋" w:eastAsia="仿宋" w:cs="仿宋"/>
          <w:color w:val="auto"/>
          <w:sz w:val="24"/>
          <w:szCs w:val="24"/>
        </w:rPr>
        <w:t xml:space="preserve"> </w:t>
      </w:r>
      <w:r>
        <w:rPr>
          <w:rFonts w:hint="eastAsia" w:ascii="方正仿宋_GBK" w:hAnsi="宋体" w:eastAsia="方正仿宋_GBK" w:cs="Times New Roman"/>
          <w:color w:val="auto"/>
          <w:sz w:val="24"/>
          <w:szCs w:val="24"/>
        </w:rPr>
        <w:t>邮寄</w:t>
      </w:r>
      <w:r>
        <w:rPr>
          <w:rFonts w:hint="eastAsia" w:ascii="仿宋" w:hAnsi="仿宋" w:eastAsia="仿宋" w:cs="仿宋"/>
          <w:color w:val="auto"/>
          <w:sz w:val="24"/>
          <w:szCs w:val="24"/>
        </w:rPr>
        <w:t>、</w:t>
      </w:r>
      <w:r>
        <w:rPr>
          <w:rFonts w:hint="eastAsia" w:ascii="方正仿宋_GBK" w:hAnsi="宋体" w:eastAsia="方正仿宋_GBK" w:cs="Times New Roman"/>
          <w:color w:val="auto"/>
          <w:sz w:val="24"/>
          <w:szCs w:val="24"/>
        </w:rPr>
        <w:t>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4" w:name="OLE_LINK3"/>
      <w:bookmarkStart w:id="35" w:name="OLE_LINK8"/>
      <w:bookmarkStart w:id="36" w:name="OLE_LINK9"/>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4、如果响应文件通过邮寄或快递递交，供应商应将响应文件用内、外两层封套密封。</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1.不符合规定的基本资格条件或特定资格条件；</w:t>
      </w:r>
    </w:p>
    <w:p>
      <w:pPr>
        <w:snapToGrid w:val="0"/>
        <w:spacing w:line="400" w:lineRule="exac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2.法定代表人或其授权代表未参加比选；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3.响应文件不按规定签字、盖章；</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.供应商响应文件内容有与国家现行法律法规相违背的内容，或附有采购人无法接受的条件。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、单位负责人为同一人或者存在直接控股、管理关系的不同供应商，参加同一合同项下政府采购活动的；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、同一合同项下的货物，制造商参与比选的，再委托代理商参与比选的；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bookmarkEnd w:id="34"/>
    <w:bookmarkEnd w:id="35"/>
    <w:bookmarkEnd w:id="36"/>
    <w:p>
      <w:pPr>
        <w:pStyle w:val="3"/>
        <w:spacing w:line="240" w:lineRule="auto"/>
        <w:rPr>
          <w:rFonts w:hint="eastAsia" w:ascii="微软雅黑" w:hAnsi="微软雅黑" w:eastAsia="微软雅黑" w:cs="微软雅黑"/>
          <w:color w:val="auto"/>
          <w:sz w:val="24"/>
          <w:szCs w:val="24"/>
        </w:rPr>
      </w:pPr>
      <w:bookmarkStart w:id="37" w:name="_Toc18122"/>
      <w:bookmarkStart w:id="38" w:name="_Toc179714298"/>
      <w:bookmarkStart w:id="39" w:name="_Toc11452"/>
      <w:bookmarkStart w:id="40" w:name="_Toc403569780"/>
      <w:bookmarkStart w:id="41" w:name="_Toc342913393"/>
      <w:bookmarkStart w:id="42" w:name="_Toc102227319"/>
      <w:r>
        <w:rPr>
          <w:rFonts w:hint="eastAsia" w:ascii="微软雅黑" w:hAnsi="微软雅黑" w:eastAsia="微软雅黑" w:cs="微软雅黑"/>
          <w:color w:val="auto"/>
          <w:sz w:val="24"/>
          <w:szCs w:val="24"/>
        </w:rPr>
        <w:t>四、比选程序</w:t>
      </w:r>
      <w:bookmarkEnd w:id="37"/>
      <w:bookmarkEnd w:id="38"/>
      <w:bookmarkEnd w:id="39"/>
      <w:bookmarkEnd w:id="40"/>
      <w:bookmarkEnd w:id="41"/>
      <w:bookmarkEnd w:id="42"/>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1.供应商提供2020或2021年度财务状况报告（表）或其基本开户银行出具的资信证明（提供复印件）。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供应商应提供以下四张截图：信用中国--行政处罚；信用中国--失信惩戒；信用中国--重大税收违法案件当事人名单查询；中国政府采购网--政府采购严重违法失信行为信息记录（截图模板见第七篇后模板）。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w:t>
      </w:r>
      <w:r>
        <w:rPr>
          <w:rFonts w:hint="eastAsia" w:ascii="方正仿宋_GBK" w:hAnsi="宋体" w:eastAsia="方正仿宋_GBK" w:cs="Times New Roman"/>
          <w:color w:val="auto"/>
          <w:sz w:val="24"/>
          <w:szCs w:val="24"/>
          <w:lang w:eastAsia="zh-CN"/>
        </w:rPr>
        <w:t>低于</w:t>
      </w:r>
      <w:r>
        <w:rPr>
          <w:rFonts w:hint="eastAsia" w:ascii="方正仿宋_GBK" w:hAnsi="宋体" w:eastAsia="方正仿宋_GBK" w:cs="Times New Roman"/>
          <w:color w:val="auto"/>
          <w:sz w:val="24"/>
          <w:szCs w:val="24"/>
        </w:rPr>
        <w:t>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3" w:name="_Toc403569781"/>
      <w:bookmarkStart w:id="44" w:name="_Toc28776"/>
      <w:bookmarkStart w:id="45" w:name="_Toc8872"/>
      <w:bookmarkStart w:id="46" w:name="_Toc102227320"/>
      <w:bookmarkStart w:id="47" w:name="_Toc342913394"/>
      <w:r>
        <w:rPr>
          <w:rFonts w:hint="eastAsia" w:ascii="微软雅黑" w:hAnsi="微软雅黑" w:eastAsia="微软雅黑" w:cs="微软雅黑"/>
          <w:color w:val="auto"/>
          <w:sz w:val="24"/>
          <w:szCs w:val="24"/>
        </w:rPr>
        <w:t>五、评审依据</w:t>
      </w:r>
      <w:bookmarkEnd w:id="43"/>
      <w:bookmarkEnd w:id="44"/>
      <w:bookmarkEnd w:id="45"/>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8" w:name="_Toc29340"/>
      <w:bookmarkStart w:id="49" w:name="_Toc403569782"/>
      <w:bookmarkStart w:id="50" w:name="_Toc9229"/>
      <w:r>
        <w:rPr>
          <w:rFonts w:hint="eastAsia" w:ascii="微软雅黑" w:hAnsi="微软雅黑" w:eastAsia="微软雅黑" w:cs="微软雅黑"/>
          <w:color w:val="auto"/>
          <w:sz w:val="24"/>
          <w:szCs w:val="24"/>
        </w:rPr>
        <w:t>六、成交</w:t>
      </w:r>
      <w:bookmarkEnd w:id="46"/>
      <w:r>
        <w:rPr>
          <w:rFonts w:hint="eastAsia" w:ascii="微软雅黑" w:hAnsi="微软雅黑" w:eastAsia="微软雅黑" w:cs="微软雅黑"/>
          <w:color w:val="auto"/>
          <w:sz w:val="24"/>
          <w:szCs w:val="24"/>
        </w:rPr>
        <w:t>原则</w:t>
      </w:r>
      <w:bookmarkEnd w:id="47"/>
      <w:bookmarkEnd w:id="48"/>
      <w:bookmarkEnd w:id="49"/>
      <w:bookmarkEnd w:id="50"/>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w:t>
      </w:r>
      <w:r>
        <w:rPr>
          <w:rFonts w:hint="eastAsia" w:ascii="方正仿宋_GBK" w:hAnsi="宋体" w:eastAsia="方正仿宋_GBK" w:cs="Times New Roman"/>
          <w:color w:val="auto"/>
          <w:sz w:val="24"/>
          <w:szCs w:val="24"/>
          <w:lang w:eastAsia="zh-CN"/>
        </w:rPr>
        <w:t>高</w:t>
      </w:r>
      <w:r>
        <w:rPr>
          <w:rFonts w:hint="eastAsia" w:ascii="方正仿宋_GBK" w:hAnsi="宋体" w:eastAsia="方正仿宋_GBK" w:cs="Times New Roman"/>
          <w:color w:val="auto"/>
          <w:sz w:val="24"/>
          <w:szCs w:val="24"/>
        </w:rPr>
        <w:t>到</w:t>
      </w:r>
      <w:r>
        <w:rPr>
          <w:rFonts w:hint="eastAsia" w:ascii="方正仿宋_GBK" w:hAnsi="宋体" w:eastAsia="方正仿宋_GBK" w:cs="Times New Roman"/>
          <w:color w:val="auto"/>
          <w:sz w:val="24"/>
          <w:szCs w:val="24"/>
          <w:lang w:eastAsia="zh-CN"/>
        </w:rPr>
        <w:t>低</w:t>
      </w:r>
      <w:r>
        <w:rPr>
          <w:rFonts w:hint="eastAsia" w:ascii="方正仿宋_GBK" w:hAnsi="宋体" w:eastAsia="方正仿宋_GBK" w:cs="Times New Roman"/>
          <w:color w:val="auto"/>
          <w:sz w:val="24"/>
          <w:szCs w:val="24"/>
        </w:rPr>
        <w:t>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w:t>
      </w:r>
      <w:r>
        <w:rPr>
          <w:rFonts w:hint="eastAsia" w:ascii="方正仿宋_GBK" w:hAnsi="宋体" w:eastAsia="方正仿宋_GBK" w:cs="Times New Roman"/>
          <w:color w:val="auto"/>
          <w:sz w:val="24"/>
          <w:szCs w:val="24"/>
          <w:lang w:eastAsia="zh-CN"/>
        </w:rPr>
        <w:t>调整</w:t>
      </w:r>
      <w:r>
        <w:rPr>
          <w:rFonts w:hint="eastAsia" w:ascii="方正仿宋_GBK" w:hAnsi="宋体" w:eastAsia="方正仿宋_GBK" w:cs="Times New Roman"/>
          <w:color w:val="auto"/>
          <w:sz w:val="24"/>
          <w:szCs w:val="24"/>
        </w:rPr>
        <w:t>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货物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在采购过程中符合竞争要求的供应商或者报价未超过采购预算的供应商不足3家的，</w:t>
      </w:r>
      <w:r>
        <w:rPr>
          <w:rFonts w:hint="eastAsia" w:ascii="方正仿宋_GBK" w:hAnsi="宋体" w:eastAsia="方正仿宋_GBK"/>
          <w:color w:val="auto"/>
          <w:sz w:val="24"/>
          <w:szCs w:val="24"/>
        </w:rPr>
        <w:t>但《医院采购管理办法（试行）》第二十三条第一款（五）规定的情形除外。</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51" w:name="_Toc3212"/>
      <w:bookmarkStart w:id="52" w:name="_Toc26531"/>
      <w:bookmarkStart w:id="53" w:name="_Toc342913395"/>
      <w:bookmarkStart w:id="54" w:name="_Toc102227321"/>
      <w:bookmarkStart w:id="55" w:name="_Toc403569783"/>
      <w:r>
        <w:rPr>
          <w:rFonts w:hint="eastAsia" w:ascii="微软雅黑" w:hAnsi="微软雅黑" w:eastAsia="微软雅黑" w:cs="微软雅黑"/>
          <w:color w:val="auto"/>
          <w:sz w:val="24"/>
          <w:szCs w:val="24"/>
        </w:rPr>
        <w:t>七、成交通知</w:t>
      </w:r>
      <w:bookmarkEnd w:id="51"/>
      <w:bookmarkEnd w:id="52"/>
      <w:bookmarkEnd w:id="53"/>
      <w:bookmarkEnd w:id="54"/>
      <w:bookmarkEnd w:id="55"/>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6" w:name="_Toc17413"/>
      <w:bookmarkStart w:id="57" w:name="_Toc3201"/>
      <w:bookmarkStart w:id="58" w:name="_Toc403569784"/>
      <w:r>
        <w:rPr>
          <w:rFonts w:hint="eastAsia" w:ascii="微软雅黑" w:hAnsi="微软雅黑" w:eastAsia="微软雅黑" w:cs="微软雅黑"/>
          <w:color w:val="auto"/>
          <w:sz w:val="24"/>
          <w:szCs w:val="24"/>
        </w:rPr>
        <w:t>八、关于质疑和投诉</w:t>
      </w:r>
      <w:bookmarkEnd w:id="56"/>
      <w:bookmarkEnd w:id="57"/>
      <w:bookmarkEnd w:id="58"/>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59" w:name="_Toc102227322"/>
      <w:bookmarkStart w:id="60" w:name="_Toc342913396"/>
      <w:bookmarkStart w:id="61" w:name="_Toc403569785"/>
      <w:bookmarkStart w:id="62" w:name="_Toc6381"/>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3" w:name="_Toc14901"/>
      <w:r>
        <w:rPr>
          <w:rFonts w:hint="eastAsia" w:ascii="微软雅黑" w:hAnsi="微软雅黑" w:eastAsia="微软雅黑" w:cs="微软雅黑"/>
          <w:color w:val="auto"/>
          <w:sz w:val="24"/>
          <w:szCs w:val="24"/>
        </w:rPr>
        <w:t>九、签订</w:t>
      </w:r>
      <w:bookmarkEnd w:id="59"/>
      <w:r>
        <w:rPr>
          <w:rFonts w:hint="eastAsia" w:ascii="微软雅黑" w:hAnsi="微软雅黑" w:eastAsia="微软雅黑" w:cs="微软雅黑"/>
          <w:color w:val="auto"/>
          <w:sz w:val="24"/>
          <w:szCs w:val="24"/>
        </w:rPr>
        <w:t>合同</w:t>
      </w:r>
      <w:bookmarkEnd w:id="60"/>
      <w:bookmarkEnd w:id="61"/>
      <w:bookmarkEnd w:id="62"/>
      <w:bookmarkEnd w:id="63"/>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pStyle w:val="3"/>
        <w:spacing w:line="240" w:lineRule="auto"/>
        <w:rPr>
          <w:rFonts w:hint="eastAsia" w:ascii="微软雅黑" w:hAnsi="微软雅黑" w:eastAsia="微软雅黑" w:cs="微软雅黑"/>
          <w:color w:val="auto"/>
          <w:sz w:val="24"/>
          <w:szCs w:val="24"/>
        </w:rPr>
      </w:pPr>
      <w:bookmarkStart w:id="64" w:name="_Toc29479"/>
      <w:bookmarkStart w:id="65" w:name="_Toc15659"/>
      <w:bookmarkStart w:id="66" w:name="_Toc23202"/>
      <w:r>
        <w:rPr>
          <w:rFonts w:hint="eastAsia" w:ascii="微软雅黑" w:hAnsi="微软雅黑" w:eastAsia="微软雅黑" w:cs="微软雅黑"/>
          <w:color w:val="auto"/>
          <w:sz w:val="24"/>
          <w:szCs w:val="24"/>
        </w:rPr>
        <w:t>十、其他</w:t>
      </w:r>
      <w:bookmarkEnd w:id="64"/>
      <w:bookmarkEnd w:id="65"/>
      <w:bookmarkEnd w:id="66"/>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供应商来院参加采购相关活动，应执行医院《采购和产品介绍活动来院人员新冠防疫管理要求》进行防疫防控（按照“第七篇响应文件格式要求”规定执行）。</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pacing w:line="390" w:lineRule="exact"/>
        <w:rPr>
          <w:rFonts w:ascii="方正仿宋_GBK" w:hAnsi="宋体" w:eastAsia="方正仿宋_GBK" w:cs="Times New Roman"/>
          <w:b/>
          <w:color w:val="auto"/>
          <w:sz w:val="24"/>
          <w:szCs w:val="24"/>
        </w:rPr>
      </w:pPr>
    </w:p>
    <w:p>
      <w:pPr>
        <w:pStyle w:val="2"/>
        <w:jc w:val="both"/>
        <w:rPr>
          <w:rFonts w:hint="eastAsia" w:ascii="微软雅黑" w:hAnsi="微软雅黑" w:eastAsia="微软雅黑" w:cs="微软雅黑"/>
          <w:b/>
          <w:color w:val="auto"/>
          <w:sz w:val="36"/>
          <w:szCs w:val="36"/>
        </w:rPr>
      </w:pPr>
      <w:bookmarkStart w:id="67" w:name="_Toc485108784"/>
    </w:p>
    <w:p>
      <w:pPr>
        <w:rPr>
          <w:rFonts w:hint="eastAsia"/>
          <w:color w:val="auto"/>
        </w:rPr>
      </w:pPr>
    </w:p>
    <w:p>
      <w:pPr>
        <w:pStyle w:val="2"/>
        <w:jc w:val="center"/>
        <w:rPr>
          <w:b/>
          <w:color w:val="auto"/>
          <w:sz w:val="44"/>
          <w:szCs w:val="44"/>
        </w:rPr>
      </w:pPr>
      <w:bookmarkStart w:id="68" w:name="_Toc16750"/>
      <w:r>
        <w:rPr>
          <w:rFonts w:hint="eastAsia" w:ascii="微软雅黑" w:hAnsi="微软雅黑" w:eastAsia="微软雅黑" w:cs="微软雅黑"/>
          <w:b/>
          <w:color w:val="auto"/>
          <w:sz w:val="36"/>
          <w:szCs w:val="36"/>
        </w:rPr>
        <w:t>第三篇  项目服务需求</w:t>
      </w:r>
      <w:bookmarkEnd w:id="67"/>
      <w:bookmarkEnd w:id="68"/>
    </w:p>
    <w:p>
      <w:pPr>
        <w:rPr>
          <w:rFonts w:ascii="Times New Roman" w:hAnsi="Times New Roman" w:eastAsia="宋体" w:cs="Times New Roman"/>
          <w:color w:val="auto"/>
          <w:sz w:val="28"/>
          <w:szCs w:val="20"/>
        </w:rPr>
      </w:pPr>
    </w:p>
    <w:p>
      <w:pPr>
        <w:pStyle w:val="3"/>
        <w:spacing w:line="240" w:lineRule="auto"/>
        <w:rPr>
          <w:rFonts w:hint="eastAsia" w:ascii="微软雅黑" w:hAnsi="微软雅黑" w:eastAsia="微软雅黑" w:cs="微软雅黑"/>
          <w:color w:val="auto"/>
          <w:sz w:val="24"/>
          <w:szCs w:val="24"/>
        </w:rPr>
      </w:pPr>
      <w:bookmarkStart w:id="69" w:name="_Toc485108785"/>
      <w:bookmarkStart w:id="70" w:name="_Toc9918"/>
      <w:bookmarkStart w:id="71" w:name="_Toc12789058"/>
      <w:r>
        <w:rPr>
          <w:rFonts w:hint="eastAsia" w:ascii="微软雅黑" w:hAnsi="微软雅黑" w:eastAsia="微软雅黑" w:cs="微软雅黑"/>
          <w:color w:val="auto"/>
          <w:sz w:val="24"/>
          <w:szCs w:val="24"/>
        </w:rPr>
        <w:t>一、</w:t>
      </w:r>
      <w:bookmarkEnd w:id="69"/>
      <w:r>
        <w:rPr>
          <w:rFonts w:hint="eastAsia" w:ascii="微软雅黑" w:hAnsi="微软雅黑" w:eastAsia="微软雅黑" w:cs="微软雅黑"/>
          <w:color w:val="auto"/>
          <w:sz w:val="24"/>
          <w:szCs w:val="24"/>
        </w:rPr>
        <w:t>项目一览表</w:t>
      </w:r>
      <w:bookmarkEnd w:id="70"/>
    </w:p>
    <w:tbl>
      <w:tblPr>
        <w:tblStyle w:val="58"/>
        <w:tblW w:w="9659" w:type="dxa"/>
        <w:tblInd w:w="534" w:type="dxa"/>
        <w:tblLayout w:type="fixed"/>
        <w:tblCellMar>
          <w:top w:w="0" w:type="dxa"/>
          <w:left w:w="108" w:type="dxa"/>
          <w:bottom w:w="0" w:type="dxa"/>
          <w:right w:w="108" w:type="dxa"/>
        </w:tblCellMar>
      </w:tblPr>
      <w:tblGrid>
        <w:gridCol w:w="2693"/>
        <w:gridCol w:w="2613"/>
        <w:gridCol w:w="2206"/>
        <w:gridCol w:w="2147"/>
      </w:tblGrid>
      <w:tr>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项目名称</w:t>
            </w:r>
          </w:p>
        </w:tc>
        <w:tc>
          <w:tcPr>
            <w:tcW w:w="2613"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成交供应商数量</w:t>
            </w:r>
          </w:p>
        </w:tc>
        <w:tc>
          <w:tcPr>
            <w:tcW w:w="2206"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最高限价（元）</w:t>
            </w:r>
          </w:p>
        </w:tc>
        <w:tc>
          <w:tcPr>
            <w:tcW w:w="2147"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备注</w:t>
            </w:r>
          </w:p>
        </w:tc>
      </w:tr>
      <w:tr>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hint="eastAsia" w:ascii="方正仿宋_GBK" w:hAnsi="仿宋" w:eastAsia="方正仿宋_GBK" w:cs="仿宋"/>
                <w:color w:val="auto"/>
                <w:sz w:val="24"/>
                <w:szCs w:val="24"/>
                <w:lang w:eastAsia="zh-CN"/>
              </w:rPr>
            </w:pPr>
            <w:r>
              <w:rPr>
                <w:rFonts w:hint="eastAsia" w:ascii="方正仿宋_GBK" w:hAnsi="宋体" w:eastAsia="方正仿宋_GBK"/>
                <w:color w:val="auto"/>
                <w:szCs w:val="21"/>
                <w:lang w:eastAsia="zh-CN"/>
              </w:rPr>
              <w:t>自助取袋机采购</w:t>
            </w:r>
          </w:p>
        </w:tc>
        <w:tc>
          <w:tcPr>
            <w:tcW w:w="2613"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default" w:ascii="方正仿宋_GBK" w:hAnsi="仿宋" w:eastAsia="方正仿宋_GBK" w:cs="仿宋"/>
                <w:color w:val="auto"/>
                <w:sz w:val="24"/>
                <w:szCs w:val="24"/>
                <w:lang w:val="en-US" w:eastAsia="zh-CN"/>
              </w:rPr>
            </w:pPr>
            <w:r>
              <w:rPr>
                <w:rFonts w:hint="eastAsia" w:ascii="方正仿宋_GBK" w:hAnsi="仿宋" w:eastAsia="方正仿宋_GBK" w:cs="仿宋"/>
                <w:color w:val="auto"/>
                <w:sz w:val="24"/>
                <w:szCs w:val="24"/>
                <w:lang w:val="en-US" w:eastAsia="zh-CN"/>
              </w:rPr>
              <w:t>1</w:t>
            </w:r>
          </w:p>
        </w:tc>
        <w:tc>
          <w:tcPr>
            <w:tcW w:w="2206"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eastAsia" w:ascii="方正仿宋_GBK" w:hAnsi="仿宋" w:eastAsia="方正仿宋_GBK" w:cs="仿宋"/>
                <w:color w:val="auto"/>
                <w:sz w:val="24"/>
                <w:szCs w:val="24"/>
                <w:lang w:val="en-US" w:eastAsia="zh-CN"/>
              </w:rPr>
            </w:pPr>
          </w:p>
        </w:tc>
        <w:tc>
          <w:tcPr>
            <w:tcW w:w="2147"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宋体" w:eastAsia="方正仿宋_GBK"/>
                <w:color w:val="auto"/>
                <w:szCs w:val="21"/>
              </w:rPr>
              <w:t>服务期：</w:t>
            </w:r>
            <w:r>
              <w:rPr>
                <w:rFonts w:hint="eastAsia" w:ascii="方正仿宋_GBK" w:hAnsi="宋体" w:eastAsia="方正仿宋_GBK"/>
                <w:color w:val="auto"/>
                <w:szCs w:val="21"/>
                <w:lang w:val="en-US" w:eastAsia="zh-CN"/>
              </w:rPr>
              <w:t>3</w:t>
            </w:r>
            <w:r>
              <w:rPr>
                <w:rFonts w:hint="eastAsia" w:ascii="方正仿宋_GBK" w:hAnsi="宋体" w:eastAsia="方正仿宋_GBK"/>
                <w:color w:val="auto"/>
                <w:szCs w:val="21"/>
              </w:rPr>
              <w:t>年</w:t>
            </w:r>
          </w:p>
        </w:tc>
      </w:tr>
    </w:tbl>
    <w:p>
      <w:pPr>
        <w:ind w:firstLine="480" w:firstLineChars="200"/>
        <w:rPr>
          <w:rFonts w:ascii="方正仿宋_GBK" w:hAnsi="仿宋" w:eastAsia="方正仿宋_GBK" w:cs="仿宋"/>
          <w:color w:val="auto"/>
          <w:sz w:val="24"/>
          <w:szCs w:val="24"/>
        </w:rPr>
      </w:pPr>
    </w:p>
    <w:p>
      <w:pPr>
        <w:pStyle w:val="3"/>
        <w:spacing w:line="240" w:lineRule="auto"/>
        <w:rPr>
          <w:rFonts w:hint="eastAsia" w:ascii="微软雅黑" w:hAnsi="微软雅黑" w:eastAsia="微软雅黑" w:cs="微软雅黑"/>
          <w:color w:val="auto"/>
          <w:sz w:val="24"/>
          <w:szCs w:val="24"/>
        </w:rPr>
      </w:pPr>
      <w:bookmarkStart w:id="72" w:name="_Toc5089"/>
      <w:bookmarkStart w:id="73" w:name="_Toc485108786"/>
      <w:r>
        <w:rPr>
          <w:rFonts w:hint="eastAsia" w:ascii="微软雅黑" w:hAnsi="微软雅黑" w:eastAsia="微软雅黑" w:cs="微软雅黑"/>
          <w:color w:val="auto"/>
          <w:sz w:val="24"/>
          <w:szCs w:val="24"/>
        </w:rPr>
        <w:t>二、服务要求</w:t>
      </w:r>
      <w:bookmarkEnd w:id="72"/>
      <w:bookmarkEnd w:id="73"/>
    </w:p>
    <w:p>
      <w:pPr>
        <w:spacing w:line="400" w:lineRule="exact"/>
        <w:ind w:firstLine="480" w:firstLineChars="200"/>
        <w:outlineLvl w:val="2"/>
        <w:rPr>
          <w:rFonts w:hint="eastAsia" w:ascii="方正仿宋_GBK" w:hAnsi="宋体" w:eastAsia="方正仿宋_GBK" w:cs="Times New Roman"/>
          <w:color w:val="auto"/>
          <w:sz w:val="24"/>
          <w:szCs w:val="24"/>
        </w:rPr>
      </w:pPr>
      <w:bookmarkStart w:id="74" w:name="_Toc429584853"/>
      <w:bookmarkStart w:id="75" w:name="_Toc429584806"/>
      <w:bookmarkStart w:id="76" w:name="_Toc75793507"/>
      <w:r>
        <w:rPr>
          <w:rFonts w:hint="eastAsia" w:ascii="方正仿宋_GBK" w:hAnsi="宋体" w:eastAsia="方正仿宋_GBK" w:cs="Times New Roman"/>
          <w:color w:val="auto"/>
          <w:sz w:val="24"/>
          <w:szCs w:val="24"/>
          <w:lang w:eastAsia="zh-CN"/>
        </w:rPr>
        <w:t>供货商</w:t>
      </w:r>
      <w:r>
        <w:rPr>
          <w:rFonts w:hint="eastAsia" w:ascii="方正仿宋_GBK" w:hAnsi="宋体" w:eastAsia="方正仿宋_GBK" w:cs="Times New Roman"/>
          <w:color w:val="auto"/>
          <w:sz w:val="24"/>
          <w:szCs w:val="24"/>
        </w:rPr>
        <w:t>提供自动取袋机</w:t>
      </w:r>
      <w:r>
        <w:rPr>
          <w:rFonts w:hint="eastAsia" w:ascii="方正仿宋_GBK" w:hAnsi="宋体" w:eastAsia="方正仿宋_GBK" w:cs="Times New Roman"/>
          <w:color w:val="auto"/>
          <w:sz w:val="24"/>
          <w:szCs w:val="24"/>
          <w:lang w:val="en-US" w:eastAsia="zh-CN"/>
        </w:rPr>
        <w:t>2台，</w:t>
      </w:r>
      <w:r>
        <w:rPr>
          <w:rFonts w:hint="eastAsia" w:ascii="方正仿宋_GBK" w:hAnsi="宋体" w:eastAsia="方正仿宋_GBK" w:cs="Times New Roman"/>
          <w:color w:val="auto"/>
          <w:sz w:val="24"/>
          <w:szCs w:val="24"/>
        </w:rPr>
        <w:t>采用扫码免费取袋方式，所提供的环保袋必须是可降解的环保袋，且符合国家卫生、环保、安全等标准。</w:t>
      </w:r>
    </w:p>
    <w:p>
      <w:pPr>
        <w:spacing w:line="400" w:lineRule="exact"/>
        <w:ind w:firstLine="480" w:firstLineChars="200"/>
        <w:outlineLvl w:val="2"/>
        <w:rPr>
          <w:rFonts w:hint="eastAsia" w:ascii="方正仿宋_GBK" w:hAnsi="宋体" w:eastAsia="方正仿宋_GBK" w:cs="Times New Roman"/>
          <w:color w:val="auto"/>
          <w:sz w:val="24"/>
          <w:szCs w:val="24"/>
        </w:rPr>
      </w:pPr>
    </w:p>
    <w:p>
      <w:pPr>
        <w:spacing w:line="400" w:lineRule="exact"/>
        <w:ind w:firstLine="480" w:firstLineChars="200"/>
        <w:outlineLvl w:val="2"/>
        <w:rPr>
          <w:rFonts w:hint="eastAsia" w:ascii="方正仿宋_GBK" w:hAnsi="宋体" w:eastAsia="方正仿宋_GBK" w:cs="Times New Roman"/>
          <w:color w:val="auto"/>
          <w:sz w:val="24"/>
          <w:szCs w:val="24"/>
        </w:rPr>
      </w:pPr>
    </w:p>
    <w:p>
      <w:pPr>
        <w:spacing w:line="400" w:lineRule="exact"/>
        <w:ind w:firstLine="480" w:firstLineChars="200"/>
        <w:outlineLvl w:val="2"/>
        <w:rPr>
          <w:rFonts w:hint="eastAsia" w:ascii="方正仿宋_GBK" w:hAnsi="宋体" w:eastAsia="方正仿宋_GBK" w:cs="Times New Roman"/>
          <w:color w:val="auto"/>
          <w:sz w:val="24"/>
          <w:szCs w:val="24"/>
        </w:rPr>
      </w:pPr>
    </w:p>
    <w:p>
      <w:pPr>
        <w:spacing w:line="400" w:lineRule="exact"/>
        <w:ind w:firstLine="480" w:firstLineChars="200"/>
        <w:outlineLvl w:val="2"/>
        <w:rPr>
          <w:rFonts w:hint="eastAsia" w:ascii="方正仿宋_GBK" w:hAnsi="宋体" w:eastAsia="方正仿宋_GBK" w:cs="Times New Roman"/>
          <w:color w:val="auto"/>
          <w:sz w:val="24"/>
          <w:szCs w:val="24"/>
        </w:rPr>
      </w:pPr>
    </w:p>
    <w:p>
      <w:pPr>
        <w:spacing w:line="400" w:lineRule="exact"/>
        <w:ind w:firstLine="480" w:firstLineChars="200"/>
        <w:outlineLvl w:val="2"/>
        <w:rPr>
          <w:rFonts w:hint="eastAsia" w:ascii="方正仿宋_GBK" w:hAnsi="宋体" w:eastAsia="方正仿宋_GBK" w:cs="Times New Roman"/>
          <w:color w:val="auto"/>
          <w:sz w:val="24"/>
          <w:szCs w:val="24"/>
        </w:rPr>
      </w:pPr>
    </w:p>
    <w:p>
      <w:pPr>
        <w:spacing w:line="400" w:lineRule="exact"/>
        <w:ind w:firstLine="480" w:firstLineChars="200"/>
        <w:outlineLvl w:val="2"/>
        <w:rPr>
          <w:rFonts w:hint="eastAsia" w:ascii="方正仿宋_GBK" w:hAnsi="宋体" w:eastAsia="方正仿宋_GBK" w:cs="Times New Roman"/>
          <w:color w:val="auto"/>
          <w:sz w:val="24"/>
          <w:szCs w:val="24"/>
        </w:rPr>
      </w:pPr>
    </w:p>
    <w:p>
      <w:pPr>
        <w:spacing w:line="400" w:lineRule="exact"/>
        <w:ind w:firstLine="480" w:firstLineChars="200"/>
        <w:outlineLvl w:val="2"/>
        <w:rPr>
          <w:rFonts w:hint="eastAsia" w:ascii="方正仿宋_GBK" w:hAnsi="宋体" w:eastAsia="方正仿宋_GBK" w:cs="Times New Roman"/>
          <w:color w:val="auto"/>
          <w:sz w:val="24"/>
          <w:szCs w:val="24"/>
        </w:rPr>
      </w:pPr>
    </w:p>
    <w:p>
      <w:pPr>
        <w:spacing w:line="400" w:lineRule="exact"/>
        <w:ind w:firstLine="480" w:firstLineChars="200"/>
        <w:outlineLvl w:val="2"/>
        <w:rPr>
          <w:rFonts w:hint="eastAsia" w:ascii="方正仿宋_GBK" w:hAnsi="宋体" w:eastAsia="方正仿宋_GBK" w:cs="Times New Roman"/>
          <w:color w:val="auto"/>
          <w:sz w:val="24"/>
          <w:szCs w:val="24"/>
        </w:rPr>
      </w:pPr>
    </w:p>
    <w:p>
      <w:pPr>
        <w:spacing w:line="400" w:lineRule="exact"/>
        <w:ind w:firstLine="480" w:firstLineChars="200"/>
        <w:outlineLvl w:val="2"/>
        <w:rPr>
          <w:rFonts w:hint="eastAsia" w:ascii="方正仿宋_GBK" w:hAnsi="宋体" w:eastAsia="方正仿宋_GBK" w:cs="Times New Roman"/>
          <w:color w:val="auto"/>
          <w:sz w:val="24"/>
          <w:szCs w:val="24"/>
        </w:rPr>
      </w:pPr>
    </w:p>
    <w:p>
      <w:pPr>
        <w:spacing w:line="400" w:lineRule="exact"/>
        <w:ind w:firstLine="480" w:firstLineChars="200"/>
        <w:outlineLvl w:val="2"/>
        <w:rPr>
          <w:rFonts w:hint="eastAsia" w:ascii="方正仿宋_GBK" w:hAnsi="宋体" w:eastAsia="方正仿宋_GBK" w:cs="Times New Roman"/>
          <w:color w:val="auto"/>
          <w:sz w:val="24"/>
          <w:szCs w:val="24"/>
        </w:rPr>
      </w:pPr>
    </w:p>
    <w:p>
      <w:pPr>
        <w:spacing w:line="400" w:lineRule="exact"/>
        <w:ind w:firstLine="480" w:firstLineChars="200"/>
        <w:outlineLvl w:val="2"/>
        <w:rPr>
          <w:rFonts w:hint="eastAsia" w:ascii="方正仿宋_GBK" w:hAnsi="宋体" w:eastAsia="方正仿宋_GBK" w:cs="Times New Roman"/>
          <w:color w:val="auto"/>
          <w:sz w:val="24"/>
          <w:szCs w:val="24"/>
        </w:rPr>
      </w:pPr>
    </w:p>
    <w:p>
      <w:pPr>
        <w:spacing w:line="400" w:lineRule="exact"/>
        <w:ind w:firstLine="480" w:firstLineChars="200"/>
        <w:outlineLvl w:val="2"/>
        <w:rPr>
          <w:rFonts w:hint="eastAsia" w:ascii="方正仿宋_GBK" w:hAnsi="宋体" w:eastAsia="方正仿宋_GBK" w:cs="Times New Roman"/>
          <w:color w:val="auto"/>
          <w:sz w:val="24"/>
          <w:szCs w:val="24"/>
        </w:rPr>
      </w:pPr>
    </w:p>
    <w:p>
      <w:pPr>
        <w:spacing w:line="400" w:lineRule="exact"/>
        <w:ind w:firstLine="480" w:firstLineChars="200"/>
        <w:outlineLvl w:val="2"/>
        <w:rPr>
          <w:rFonts w:hint="eastAsia" w:ascii="方正仿宋_GBK" w:hAnsi="宋体" w:eastAsia="方正仿宋_GBK" w:cs="Times New Roman"/>
          <w:color w:val="auto"/>
          <w:sz w:val="24"/>
          <w:szCs w:val="24"/>
        </w:rPr>
      </w:pPr>
    </w:p>
    <w:p>
      <w:pPr>
        <w:spacing w:line="400" w:lineRule="exact"/>
        <w:ind w:firstLine="480" w:firstLineChars="200"/>
        <w:outlineLvl w:val="2"/>
        <w:rPr>
          <w:rFonts w:hint="eastAsia" w:ascii="方正仿宋_GBK" w:hAnsi="宋体" w:eastAsia="方正仿宋_GBK" w:cs="Times New Roman"/>
          <w:color w:val="auto"/>
          <w:sz w:val="24"/>
          <w:szCs w:val="24"/>
        </w:rPr>
      </w:pPr>
    </w:p>
    <w:p>
      <w:pPr>
        <w:spacing w:line="400" w:lineRule="exact"/>
        <w:ind w:firstLine="480" w:firstLineChars="200"/>
        <w:outlineLvl w:val="2"/>
        <w:rPr>
          <w:rFonts w:hint="eastAsia" w:ascii="方正仿宋_GBK" w:hAnsi="宋体" w:eastAsia="方正仿宋_GBK" w:cs="Times New Roman"/>
          <w:color w:val="auto"/>
          <w:sz w:val="24"/>
          <w:szCs w:val="24"/>
        </w:rPr>
      </w:pPr>
    </w:p>
    <w:p>
      <w:pPr>
        <w:spacing w:line="400" w:lineRule="exact"/>
        <w:ind w:firstLine="480" w:firstLineChars="200"/>
        <w:outlineLvl w:val="2"/>
        <w:rPr>
          <w:rFonts w:hint="eastAsia" w:ascii="方正仿宋_GBK" w:hAnsi="宋体" w:eastAsia="方正仿宋_GBK" w:cs="Times New Roman"/>
          <w:color w:val="auto"/>
          <w:sz w:val="24"/>
          <w:szCs w:val="24"/>
        </w:rPr>
      </w:pPr>
    </w:p>
    <w:p>
      <w:pPr>
        <w:spacing w:line="400" w:lineRule="exact"/>
        <w:ind w:firstLine="480" w:firstLineChars="200"/>
        <w:outlineLvl w:val="2"/>
        <w:rPr>
          <w:rFonts w:hint="eastAsia" w:ascii="方正仿宋_GBK" w:hAnsi="宋体" w:eastAsia="方正仿宋_GBK" w:cs="Times New Roman"/>
          <w:color w:val="auto"/>
          <w:sz w:val="24"/>
          <w:szCs w:val="24"/>
        </w:rPr>
      </w:pPr>
    </w:p>
    <w:p>
      <w:pPr>
        <w:spacing w:line="400" w:lineRule="exact"/>
        <w:ind w:firstLine="480" w:firstLineChars="200"/>
        <w:outlineLvl w:val="2"/>
        <w:rPr>
          <w:rFonts w:hint="eastAsia" w:ascii="方正仿宋_GBK" w:hAnsi="宋体" w:eastAsia="方正仿宋_GBK" w:cs="Times New Roman"/>
          <w:color w:val="auto"/>
          <w:sz w:val="24"/>
          <w:szCs w:val="24"/>
        </w:rPr>
      </w:pPr>
    </w:p>
    <w:p>
      <w:pPr>
        <w:spacing w:line="400" w:lineRule="exact"/>
        <w:ind w:firstLine="480" w:firstLineChars="200"/>
        <w:outlineLvl w:val="2"/>
        <w:rPr>
          <w:rFonts w:hint="eastAsia" w:ascii="方正仿宋_GBK" w:hAnsi="宋体" w:eastAsia="方正仿宋_GBK" w:cs="Times New Roman"/>
          <w:color w:val="auto"/>
          <w:sz w:val="24"/>
          <w:szCs w:val="24"/>
        </w:rPr>
      </w:pPr>
    </w:p>
    <w:bookmarkEnd w:id="74"/>
    <w:bookmarkEnd w:id="75"/>
    <w:bookmarkEnd w:id="76"/>
    <w:p>
      <w:pPr>
        <w:pStyle w:val="2"/>
        <w:jc w:val="center"/>
        <w:rPr>
          <w:b/>
          <w:color w:val="auto"/>
          <w:sz w:val="44"/>
          <w:szCs w:val="44"/>
        </w:rPr>
      </w:pPr>
      <w:bookmarkStart w:id="77" w:name="_Toc485108787"/>
      <w:bookmarkStart w:id="78" w:name="_Toc30387"/>
      <w:r>
        <w:rPr>
          <w:rFonts w:hint="eastAsia" w:ascii="微软雅黑" w:hAnsi="微软雅黑" w:eastAsia="微软雅黑" w:cs="微软雅黑"/>
          <w:b/>
          <w:color w:val="auto"/>
          <w:sz w:val="36"/>
          <w:szCs w:val="36"/>
        </w:rPr>
        <w:t>第四篇  项目商务需求</w:t>
      </w:r>
      <w:bookmarkEnd w:id="71"/>
      <w:bookmarkEnd w:id="77"/>
      <w:bookmarkEnd w:id="78"/>
      <w:bookmarkStart w:id="79" w:name="_Toc11641055"/>
      <w:bookmarkStart w:id="80" w:name="_Toc12789059"/>
    </w:p>
    <w:p>
      <w:pPr>
        <w:pStyle w:val="3"/>
        <w:spacing w:line="240" w:lineRule="auto"/>
        <w:rPr>
          <w:rFonts w:hint="eastAsia" w:ascii="微软雅黑" w:hAnsi="微软雅黑" w:eastAsia="微软雅黑" w:cs="微软雅黑"/>
          <w:color w:val="auto"/>
          <w:sz w:val="24"/>
          <w:szCs w:val="24"/>
        </w:rPr>
      </w:pPr>
      <w:bookmarkStart w:id="81" w:name="_Toc485108788"/>
      <w:bookmarkStart w:id="82" w:name="_Toc2876"/>
      <w:bookmarkStart w:id="83" w:name="_Toc344475121"/>
      <w:r>
        <w:rPr>
          <w:rFonts w:hint="eastAsia" w:ascii="微软雅黑" w:hAnsi="微软雅黑" w:eastAsia="微软雅黑" w:cs="微软雅黑"/>
          <w:color w:val="auto"/>
          <w:sz w:val="24"/>
          <w:szCs w:val="24"/>
        </w:rPr>
        <w:t>一、服务时间、地点</w:t>
      </w:r>
      <w:bookmarkEnd w:id="81"/>
      <w:bookmarkEnd w:id="82"/>
    </w:p>
    <w:p>
      <w:pPr>
        <w:spacing w:line="360" w:lineRule="auto"/>
        <w:ind w:firstLine="564" w:firstLineChars="235"/>
        <w:rPr>
          <w:rFonts w:ascii="仿宋" w:hAnsi="仿宋" w:eastAsia="仿宋" w:cs="仿宋"/>
          <w:color w:val="auto"/>
          <w:sz w:val="24"/>
          <w:szCs w:val="24"/>
        </w:rPr>
      </w:pPr>
      <w:r>
        <w:rPr>
          <w:rFonts w:hint="eastAsia" w:ascii="方正仿宋_GBK" w:hAnsi="宋体" w:eastAsia="方正仿宋_GBK" w:cs="Times New Roman"/>
          <w:color w:val="auto"/>
          <w:sz w:val="24"/>
          <w:szCs w:val="24"/>
        </w:rPr>
        <w:t>（一）服务时间：</w:t>
      </w:r>
      <w:r>
        <w:rPr>
          <w:rFonts w:hint="eastAsia" w:ascii="方正仿宋_GBK" w:hAnsi="宋体" w:eastAsia="方正仿宋_GBK" w:cs="Times New Roman"/>
          <w:color w:val="auto"/>
          <w:sz w:val="24"/>
          <w:szCs w:val="24"/>
          <w:u w:val="single"/>
          <w:lang w:val="en-US" w:eastAsia="zh-CN"/>
        </w:rPr>
        <w:t>3</w:t>
      </w:r>
      <w:r>
        <w:rPr>
          <w:rFonts w:hint="eastAsia" w:ascii="方正仿宋_GBK" w:hAnsi="宋体" w:eastAsia="方正仿宋_GBK" w:cs="Times New Roman"/>
          <w:color w:val="auto"/>
          <w:sz w:val="24"/>
          <w:szCs w:val="24"/>
          <w:u w:val="single"/>
        </w:rPr>
        <w:t>年。</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（二）服务地点：重庆医科大学附属永川医院（</w:t>
      </w:r>
      <w:r>
        <w:rPr>
          <w:rFonts w:hint="eastAsia" w:ascii="方正仿宋_GBK" w:hAnsi="宋体" w:eastAsia="方正仿宋_GBK"/>
          <w:color w:val="auto"/>
          <w:sz w:val="24"/>
          <w:szCs w:val="24"/>
        </w:rPr>
        <w:t>重庆市永川区萱花路439号</w:t>
      </w:r>
      <w:r>
        <w:rPr>
          <w:rFonts w:hint="eastAsia" w:ascii="方正仿宋_GBK" w:hAnsi="宋体" w:eastAsia="方正仿宋_GBK" w:cs="Times New Roman"/>
          <w:color w:val="auto"/>
          <w:sz w:val="24"/>
          <w:szCs w:val="24"/>
        </w:rPr>
        <w:t xml:space="preserve">） </w:t>
      </w:r>
    </w:p>
    <w:bookmarkEnd w:id="83"/>
    <w:p>
      <w:pPr>
        <w:pStyle w:val="3"/>
        <w:pageBreakBefore w:val="0"/>
        <w:widowControl w:val="0"/>
        <w:kinsoku/>
        <w:wordWrap/>
        <w:overflowPunct/>
        <w:topLinePunct w:val="0"/>
        <w:autoSpaceDE/>
        <w:autoSpaceDN/>
        <w:bidi w:val="0"/>
        <w:adjustRightInd/>
        <w:snapToGrid/>
        <w:spacing w:after="0" w:line="240" w:lineRule="auto"/>
        <w:textAlignment w:val="auto"/>
        <w:rPr>
          <w:rFonts w:hint="eastAsia" w:ascii="微软雅黑" w:hAnsi="微软雅黑" w:eastAsia="微软雅黑" w:cs="微软雅黑"/>
          <w:color w:val="auto"/>
          <w:sz w:val="24"/>
          <w:szCs w:val="24"/>
        </w:rPr>
      </w:pPr>
      <w:bookmarkStart w:id="84" w:name="_Toc485108789"/>
      <w:bookmarkStart w:id="85" w:name="_Toc9110"/>
      <w:bookmarkStart w:id="86" w:name="_Toc485108790"/>
      <w:bookmarkStart w:id="87" w:name="_Toc344475122"/>
      <w:r>
        <w:rPr>
          <w:rFonts w:hint="eastAsia" w:ascii="微软雅黑" w:hAnsi="微软雅黑" w:eastAsia="微软雅黑" w:cs="微软雅黑"/>
          <w:color w:val="auto"/>
          <w:sz w:val="24"/>
          <w:szCs w:val="24"/>
        </w:rPr>
        <w:t>二、质量保证及售后服务</w:t>
      </w:r>
      <w:bookmarkEnd w:id="84"/>
      <w:bookmarkEnd w:id="85"/>
    </w:p>
    <w:p>
      <w:pPr>
        <w:pageBreakBefore w:val="0"/>
        <w:widowControl w:val="0"/>
        <w:kinsoku/>
        <w:wordWrap/>
        <w:overflowPunct/>
        <w:topLinePunct w:val="0"/>
        <w:autoSpaceDE/>
        <w:autoSpaceDN/>
        <w:bidi w:val="0"/>
        <w:adjustRightInd/>
        <w:snapToGrid/>
        <w:spacing w:line="240" w:lineRule="auto"/>
        <w:ind w:firstLine="240" w:firstLineChars="100"/>
        <w:textAlignment w:val="auto"/>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※产品合同有效期质量保证：供应商对产品质量保证、产品有效期、售后服务承诺。</w:t>
      </w:r>
    </w:p>
    <w:p>
      <w:pPr>
        <w:pageBreakBefore w:val="0"/>
        <w:widowControl w:val="0"/>
        <w:kinsoku/>
        <w:wordWrap/>
        <w:overflowPunct/>
        <w:topLinePunct w:val="0"/>
        <w:autoSpaceDE/>
        <w:autoSpaceDN/>
        <w:bidi w:val="0"/>
        <w:adjustRightInd/>
        <w:snapToGrid/>
        <w:spacing w:line="240" w:lineRule="auto"/>
        <w:ind w:firstLine="240" w:firstLineChars="100"/>
        <w:textAlignment w:val="auto"/>
        <w:rPr>
          <w:rFonts w:hint="eastAsia" w:ascii="方正仿宋_GBK" w:hAnsi="宋体" w:eastAsia="方正仿宋_GBK"/>
          <w:color w:val="auto"/>
          <w:sz w:val="24"/>
          <w:szCs w:val="24"/>
          <w:lang w:val="en-US" w:eastAsia="zh-CN"/>
        </w:rPr>
      </w:pPr>
      <w:r>
        <w:rPr>
          <w:rFonts w:hint="eastAsia" w:ascii="方正仿宋_GBK" w:hAnsi="宋体" w:eastAsia="方正仿宋_GBK"/>
          <w:color w:val="auto"/>
          <w:sz w:val="24"/>
          <w:szCs w:val="24"/>
          <w:lang w:val="en-US" w:eastAsia="zh-CN"/>
        </w:rPr>
        <w:t>（1）采购方提供场地及电源，响应供货商提供自动取袋机并全权负责与自动取袋机有关的运营，保证其经营的合法性，负责自动取袋机的日常运营、维护及销售商品的售后服务，所有商品符合国家卫生、环保、安全标准，采购方有权进行抽检监管，如有发生安全问题响应供货商负相关责任。</w:t>
      </w:r>
    </w:p>
    <w:p>
      <w:pPr>
        <w:pageBreakBefore w:val="0"/>
        <w:widowControl w:val="0"/>
        <w:kinsoku/>
        <w:wordWrap/>
        <w:overflowPunct/>
        <w:topLinePunct w:val="0"/>
        <w:autoSpaceDE/>
        <w:autoSpaceDN/>
        <w:bidi w:val="0"/>
        <w:adjustRightInd/>
        <w:snapToGrid/>
        <w:spacing w:line="240" w:lineRule="auto"/>
        <w:ind w:firstLine="240" w:firstLineChars="100"/>
        <w:textAlignment w:val="auto"/>
        <w:rPr>
          <w:rFonts w:hint="eastAsia" w:ascii="方正仿宋_GBK" w:hAnsi="宋体" w:eastAsia="方正仿宋_GBK"/>
          <w:color w:val="auto"/>
          <w:sz w:val="24"/>
          <w:szCs w:val="24"/>
          <w:lang w:val="en-US" w:eastAsia="zh-CN"/>
        </w:rPr>
      </w:pPr>
      <w:r>
        <w:rPr>
          <w:rFonts w:hint="eastAsia" w:ascii="方正仿宋_GBK" w:hAnsi="宋体" w:eastAsia="方正仿宋_GBK"/>
          <w:color w:val="auto"/>
          <w:sz w:val="24"/>
          <w:szCs w:val="24"/>
          <w:lang w:val="en-US" w:eastAsia="zh-CN"/>
        </w:rPr>
        <w:t>（2）响应供货商开通24小时客服热线，如在服务过程出现任何客户投诉事宜或设备故障事宜，拔打客服热线，响应供货商保证在24小时内安排专人处理相关事宜。</w:t>
      </w:r>
    </w:p>
    <w:p>
      <w:pPr>
        <w:pageBreakBefore w:val="0"/>
        <w:widowControl w:val="0"/>
        <w:kinsoku/>
        <w:wordWrap/>
        <w:overflowPunct/>
        <w:topLinePunct w:val="0"/>
        <w:autoSpaceDE/>
        <w:autoSpaceDN/>
        <w:bidi w:val="0"/>
        <w:adjustRightInd/>
        <w:snapToGrid/>
        <w:spacing w:line="240" w:lineRule="auto"/>
        <w:ind w:firstLine="240" w:firstLineChars="100"/>
        <w:textAlignment w:val="auto"/>
        <w:rPr>
          <w:rFonts w:hint="eastAsia" w:ascii="方正仿宋_GBK" w:hAnsi="宋体" w:eastAsia="方正仿宋_GBK"/>
          <w:color w:val="auto"/>
          <w:sz w:val="24"/>
          <w:szCs w:val="24"/>
          <w:lang w:val="en-US" w:eastAsia="zh-CN"/>
        </w:rPr>
      </w:pPr>
      <w:r>
        <w:rPr>
          <w:rFonts w:hint="eastAsia" w:ascii="方正仿宋_GBK" w:hAnsi="宋体" w:eastAsia="方正仿宋_GBK"/>
          <w:color w:val="auto"/>
          <w:sz w:val="24"/>
          <w:szCs w:val="24"/>
          <w:lang w:val="en-US" w:eastAsia="zh-CN"/>
        </w:rPr>
        <w:t>（3）中标方能按时完成设备安装调试。自动取袋机安装点经选定后，未经许可不得擅自改变，所选安装点不得影响采购方的正常医疗秩序。</w:t>
      </w:r>
    </w:p>
    <w:p>
      <w:pPr>
        <w:pageBreakBefore w:val="0"/>
        <w:widowControl w:val="0"/>
        <w:kinsoku/>
        <w:wordWrap/>
        <w:overflowPunct/>
        <w:topLinePunct w:val="0"/>
        <w:autoSpaceDE/>
        <w:autoSpaceDN/>
        <w:bidi w:val="0"/>
        <w:adjustRightInd/>
        <w:snapToGrid/>
        <w:spacing w:line="240" w:lineRule="auto"/>
        <w:ind w:firstLine="240" w:firstLineChars="100"/>
        <w:textAlignment w:val="auto"/>
        <w:rPr>
          <w:rFonts w:hint="eastAsia" w:ascii="方正仿宋_GBK" w:hAnsi="宋体" w:eastAsia="方正仿宋_GBK"/>
          <w:color w:val="auto"/>
          <w:sz w:val="24"/>
          <w:szCs w:val="24"/>
          <w:lang w:val="en-US" w:eastAsia="zh-CN"/>
        </w:rPr>
      </w:pPr>
      <w:r>
        <w:rPr>
          <w:rFonts w:hint="eastAsia" w:ascii="方正仿宋_GBK" w:hAnsi="宋体" w:eastAsia="方正仿宋_GBK"/>
          <w:color w:val="auto"/>
          <w:sz w:val="24"/>
          <w:szCs w:val="24"/>
          <w:lang w:val="en-US" w:eastAsia="zh-CN"/>
        </w:rPr>
        <w:t>（4）在运营过程中，响应供货商应确保设备安全、可靠，并承担因设备安全事故导致的一切经济和法律责任。</w:t>
      </w:r>
    </w:p>
    <w:p>
      <w:pPr>
        <w:pStyle w:val="3"/>
        <w:spacing w:line="240" w:lineRule="auto"/>
        <w:rPr>
          <w:rFonts w:hint="eastAsia" w:ascii="微软雅黑" w:hAnsi="微软雅黑" w:eastAsia="微软雅黑" w:cs="微软雅黑"/>
          <w:color w:val="auto"/>
          <w:sz w:val="24"/>
          <w:szCs w:val="24"/>
          <w:lang w:eastAsia="zh-CN"/>
        </w:rPr>
      </w:pPr>
      <w:bookmarkStart w:id="88" w:name="_Toc29147"/>
      <w:r>
        <w:rPr>
          <w:rFonts w:hint="eastAsia" w:ascii="微软雅黑" w:hAnsi="微软雅黑" w:eastAsia="微软雅黑" w:cs="微软雅黑"/>
          <w:color w:val="auto"/>
          <w:sz w:val="24"/>
          <w:szCs w:val="24"/>
          <w:lang w:eastAsia="zh-CN"/>
        </w:rPr>
        <w:t>三、报价方式</w:t>
      </w:r>
      <w:bookmarkEnd w:id="88"/>
    </w:p>
    <w:p>
      <w:pPr>
        <w:snapToGrid w:val="0"/>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本次报价须为人民币报价，报价包含</w:t>
      </w:r>
      <w:r>
        <w:rPr>
          <w:rFonts w:hint="eastAsia" w:ascii="方正仿宋_GBK" w:hAnsi="宋体" w:eastAsia="方正仿宋_GBK"/>
          <w:color w:val="auto"/>
          <w:sz w:val="24"/>
          <w:szCs w:val="24"/>
          <w:lang w:val="en-US" w:eastAsia="zh-CN"/>
        </w:rPr>
        <w:t>场地管理及电费</w:t>
      </w:r>
      <w:r>
        <w:rPr>
          <w:rFonts w:hint="eastAsia" w:ascii="方正仿宋_GBK" w:hAnsi="宋体" w:eastAsia="方正仿宋_GBK"/>
          <w:color w:val="auto"/>
          <w:sz w:val="24"/>
          <w:szCs w:val="24"/>
        </w:rPr>
        <w:t>等各项费用</w:t>
      </w:r>
      <w:r>
        <w:rPr>
          <w:rFonts w:hint="default" w:ascii="方正仿宋_GBK" w:hAnsi="宋体" w:eastAsia="方正仿宋_GBK"/>
          <w:color w:val="auto"/>
          <w:sz w:val="24"/>
          <w:szCs w:val="24"/>
        </w:rPr>
        <w:t>，其他费用包含</w:t>
      </w:r>
      <w:r>
        <w:rPr>
          <w:rFonts w:hint="eastAsia" w:ascii="方正仿宋_GBK" w:hAnsi="宋体" w:eastAsia="方正仿宋_GBK"/>
          <w:color w:val="auto"/>
          <w:sz w:val="24"/>
          <w:szCs w:val="24"/>
        </w:rPr>
        <w:t>但不限于：材料费、人工费、运输费、保险费、税费</w:t>
      </w:r>
      <w:r>
        <w:rPr>
          <w:rFonts w:hint="default" w:ascii="方正仿宋_GBK" w:hAnsi="宋体" w:eastAsia="方正仿宋_GBK"/>
          <w:color w:val="auto"/>
          <w:sz w:val="24"/>
          <w:szCs w:val="24"/>
        </w:rPr>
        <w:t>等各项费用由供应商自行承担</w:t>
      </w:r>
      <w:r>
        <w:rPr>
          <w:rFonts w:hint="eastAsia" w:ascii="方正仿宋_GBK" w:hAnsi="宋体" w:eastAsia="方正仿宋_GBK"/>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89" w:name="_Toc13699"/>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、付款方式</w:t>
      </w:r>
      <w:bookmarkEnd w:id="86"/>
      <w:bookmarkEnd w:id="87"/>
      <w:bookmarkEnd w:id="89"/>
    </w:p>
    <w:p>
      <w:pPr>
        <w:snapToGrid w:val="0"/>
        <w:ind w:firstLine="480" w:firstLineChars="200"/>
        <w:rPr>
          <w:rFonts w:hint="eastAsia" w:ascii="方正仿宋_GBK" w:hAnsi="宋体" w:eastAsia="方正仿宋_GBK"/>
          <w:color w:val="auto"/>
          <w:sz w:val="24"/>
          <w:szCs w:val="24"/>
          <w:lang w:val="en-US" w:eastAsia="zh-CN"/>
        </w:rPr>
      </w:pPr>
      <w:r>
        <w:rPr>
          <w:rFonts w:hint="eastAsia" w:ascii="方正仿宋_GBK" w:hAnsi="宋体" w:eastAsia="方正仿宋_GBK"/>
          <w:color w:val="auto"/>
          <w:sz w:val="24"/>
          <w:szCs w:val="24"/>
          <w:lang w:val="en-US" w:eastAsia="zh-CN"/>
        </w:rPr>
        <w:t>响应供应商提前预付每季度场地管理及电费</w:t>
      </w:r>
      <w:r>
        <w:rPr>
          <w:rFonts w:hint="eastAsia" w:ascii="方正仿宋_GBK" w:hAnsi="宋体" w:eastAsia="方正仿宋_GBK"/>
          <w:color w:val="auto"/>
          <w:sz w:val="24"/>
          <w:szCs w:val="24"/>
        </w:rPr>
        <w:t>等各项费用</w:t>
      </w:r>
      <w:r>
        <w:rPr>
          <w:rFonts w:hint="eastAsia" w:ascii="方正仿宋_GBK" w:hAnsi="宋体" w:eastAsia="方正仿宋_GBK"/>
          <w:color w:val="auto"/>
          <w:sz w:val="24"/>
          <w:szCs w:val="24"/>
          <w:lang w:val="en-US" w:eastAsia="zh-CN"/>
        </w:rPr>
        <w:t>，每季度末提前支付下一季度费用，如未支付，采购方有权解除合同。</w:t>
      </w:r>
    </w:p>
    <w:p>
      <w:pPr>
        <w:pStyle w:val="3"/>
        <w:spacing w:line="240" w:lineRule="auto"/>
        <w:rPr>
          <w:rFonts w:hint="eastAsia" w:ascii="微软雅黑" w:hAnsi="微软雅黑" w:eastAsia="微软雅黑" w:cs="微软雅黑"/>
          <w:color w:val="auto"/>
          <w:sz w:val="24"/>
          <w:szCs w:val="24"/>
        </w:rPr>
      </w:pPr>
      <w:bookmarkStart w:id="90" w:name="_Toc16848"/>
      <w:r>
        <w:rPr>
          <w:rFonts w:hint="eastAsia" w:ascii="微软雅黑" w:hAnsi="微软雅黑" w:eastAsia="微软雅黑" w:cs="微软雅黑"/>
          <w:color w:val="auto"/>
          <w:sz w:val="24"/>
          <w:szCs w:val="24"/>
        </w:rPr>
        <w:t>五、知识产权</w:t>
      </w:r>
      <w:bookmarkEnd w:id="90"/>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bookmarkStart w:id="91" w:name="_Toc485108792"/>
      <w:bookmarkStart w:id="92" w:name="_Toc12042"/>
      <w:bookmarkStart w:id="93" w:name="_Toc403569794"/>
      <w:r>
        <w:rPr>
          <w:rFonts w:hint="eastAsia" w:ascii="微软雅黑" w:hAnsi="微软雅黑" w:eastAsia="微软雅黑" w:cs="微软雅黑"/>
          <w:color w:val="auto"/>
          <w:sz w:val="24"/>
          <w:szCs w:val="24"/>
        </w:rPr>
        <w:t>六、培训</w:t>
      </w:r>
      <w:bookmarkEnd w:id="91"/>
      <w:bookmarkEnd w:id="92"/>
      <w:bookmarkEnd w:id="93"/>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成交供应商须提供对设备的操作培训，使相关使用人员能够正常操作相关设备。</w:t>
      </w:r>
    </w:p>
    <w:p>
      <w:pPr>
        <w:pStyle w:val="3"/>
        <w:spacing w:line="240" w:lineRule="auto"/>
        <w:rPr>
          <w:rFonts w:hint="eastAsia" w:ascii="微软雅黑" w:hAnsi="微软雅黑" w:eastAsia="微软雅黑" w:cs="微软雅黑"/>
          <w:color w:val="auto"/>
          <w:sz w:val="24"/>
          <w:szCs w:val="24"/>
        </w:rPr>
      </w:pPr>
      <w:bookmarkStart w:id="94" w:name="_Toc10538"/>
      <w:bookmarkStart w:id="95" w:name="_Toc403569795"/>
      <w:bookmarkStart w:id="96" w:name="_Toc485108793"/>
      <w:r>
        <w:rPr>
          <w:rFonts w:hint="eastAsia" w:ascii="微软雅黑" w:hAnsi="微软雅黑" w:eastAsia="微软雅黑" w:cs="微软雅黑"/>
          <w:color w:val="auto"/>
          <w:sz w:val="24"/>
          <w:szCs w:val="24"/>
        </w:rPr>
        <w:t>七、其他</w:t>
      </w:r>
      <w:bookmarkEnd w:id="94"/>
      <w:bookmarkEnd w:id="95"/>
      <w:bookmarkEnd w:id="96"/>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snapToGrid w:val="0"/>
        <w:spacing w:line="400" w:lineRule="exact"/>
        <w:ind w:firstLine="540"/>
        <w:rPr>
          <w:rFonts w:ascii="方正仿宋_GBK" w:hAnsi="Times New Roman" w:eastAsia="方正仿宋_GBK" w:cs="Times New Roman"/>
          <w:color w:val="auto"/>
          <w:sz w:val="24"/>
          <w:szCs w:val="24"/>
        </w:rPr>
      </w:pPr>
    </w:p>
    <w:p>
      <w:pPr>
        <w:pStyle w:val="2"/>
        <w:jc w:val="center"/>
        <w:rPr>
          <w:color w:val="auto"/>
          <w:sz w:val="44"/>
          <w:szCs w:val="44"/>
        </w:rPr>
      </w:pPr>
      <w:r>
        <w:rPr>
          <w:rFonts w:eastAsia="黑体"/>
          <w:b/>
          <w:color w:val="auto"/>
        </w:rPr>
        <w:br w:type="page"/>
      </w:r>
      <w:bookmarkEnd w:id="79"/>
      <w:bookmarkEnd w:id="80"/>
      <w:bookmarkStart w:id="97" w:name="_Toc485108794"/>
      <w:bookmarkStart w:id="98" w:name="_Toc19662"/>
      <w:bookmarkStart w:id="99" w:name="_Toc403569796"/>
      <w:bookmarkStart w:id="100" w:name="_Toc303945820"/>
      <w:bookmarkStart w:id="101" w:name="_Toc148265480"/>
      <w:r>
        <w:rPr>
          <w:rFonts w:hint="eastAsia" w:ascii="微软雅黑" w:hAnsi="微软雅黑" w:eastAsia="微软雅黑" w:cs="微软雅黑"/>
          <w:b/>
          <w:color w:val="auto"/>
          <w:sz w:val="36"/>
          <w:szCs w:val="36"/>
        </w:rPr>
        <w:t>第五篇  合同草案条款</w:t>
      </w:r>
      <w:bookmarkEnd w:id="97"/>
      <w:bookmarkEnd w:id="98"/>
      <w:bookmarkEnd w:id="99"/>
    </w:p>
    <w:p>
      <w:pPr>
        <w:pStyle w:val="3"/>
        <w:spacing w:line="240" w:lineRule="auto"/>
        <w:rPr>
          <w:rFonts w:hint="eastAsia" w:ascii="微软雅黑" w:hAnsi="微软雅黑" w:eastAsia="微软雅黑" w:cs="微软雅黑"/>
          <w:color w:val="auto"/>
          <w:sz w:val="24"/>
          <w:szCs w:val="24"/>
        </w:rPr>
      </w:pPr>
      <w:bookmarkStart w:id="102" w:name="_Toc25993"/>
      <w:bookmarkStart w:id="103" w:name="_Toc54718202"/>
      <w:r>
        <w:rPr>
          <w:rFonts w:hint="eastAsia" w:ascii="微软雅黑" w:hAnsi="微软雅黑" w:eastAsia="微软雅黑" w:cs="微软雅黑"/>
          <w:color w:val="auto"/>
          <w:sz w:val="24"/>
          <w:szCs w:val="24"/>
        </w:rPr>
        <w:t>一、定义</w:t>
      </w:r>
      <w:bookmarkEnd w:id="102"/>
      <w:bookmarkEnd w:id="103"/>
    </w:p>
    <w:p>
      <w:pPr>
        <w:snapToGrid w:val="0"/>
        <w:spacing w:line="400" w:lineRule="exact"/>
        <w:ind w:firstLine="480" w:firstLineChars="200"/>
        <w:jc w:val="left"/>
        <w:rPr>
          <w:rFonts w:ascii="方正仿宋_GBK" w:hAnsi="宋体" w:eastAsia="方正仿宋_GBK" w:cs="Times New Roman"/>
          <w:color w:val="auto"/>
          <w:sz w:val="24"/>
          <w:szCs w:val="24"/>
        </w:rPr>
      </w:pPr>
      <w:bookmarkStart w:id="104" w:name="_Toc988"/>
      <w:r>
        <w:rPr>
          <w:rFonts w:hint="eastAsia" w:ascii="方正仿宋_GBK" w:hAnsi="宋体" w:eastAsia="方正仿宋_GBK" w:cs="Times New Roman"/>
          <w:color w:val="auto"/>
          <w:sz w:val="24"/>
          <w:szCs w:val="24"/>
        </w:rPr>
        <w:t>（一）甲方（需方）即重庆医科大学附属永川医院。</w:t>
      </w:r>
      <w:bookmarkEnd w:id="104"/>
    </w:p>
    <w:p>
      <w:pPr>
        <w:snapToGrid w:val="0"/>
        <w:spacing w:line="400" w:lineRule="exact"/>
        <w:ind w:firstLine="480" w:firstLineChars="200"/>
        <w:jc w:val="left"/>
        <w:rPr>
          <w:rFonts w:ascii="方正仿宋_GBK" w:hAnsi="宋体" w:eastAsia="方正仿宋_GBK" w:cs="Times New Roman"/>
          <w:color w:val="auto"/>
          <w:sz w:val="24"/>
          <w:szCs w:val="24"/>
        </w:rPr>
      </w:pPr>
      <w:bookmarkStart w:id="105" w:name="_Toc22662"/>
      <w:r>
        <w:rPr>
          <w:rFonts w:hint="eastAsia" w:ascii="方正仿宋_GBK" w:hAnsi="宋体" w:eastAsia="方正仿宋_GBK" w:cs="Times New Roman"/>
          <w:color w:val="auto"/>
          <w:sz w:val="24"/>
          <w:szCs w:val="24"/>
        </w:rPr>
        <w:t>（二）乙方（供方）即成交供应商，是指成交后提供合同货物和服务的自然人、法人及其他组织。</w:t>
      </w:r>
      <w:bookmarkEnd w:id="105"/>
    </w:p>
    <w:p>
      <w:pPr>
        <w:snapToGrid w:val="0"/>
        <w:spacing w:line="400" w:lineRule="exact"/>
        <w:ind w:firstLine="480" w:firstLineChars="200"/>
        <w:jc w:val="left"/>
        <w:rPr>
          <w:rFonts w:ascii="方正仿宋_GBK" w:hAnsi="宋体" w:eastAsia="方正仿宋_GBK" w:cs="Times New Roman"/>
          <w:color w:val="auto"/>
          <w:sz w:val="24"/>
          <w:szCs w:val="24"/>
        </w:rPr>
      </w:pPr>
      <w:bookmarkStart w:id="106"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106"/>
    </w:p>
    <w:p>
      <w:pPr>
        <w:snapToGrid w:val="0"/>
        <w:spacing w:line="400" w:lineRule="exact"/>
        <w:ind w:firstLine="480" w:firstLineChars="200"/>
        <w:jc w:val="left"/>
        <w:rPr>
          <w:rFonts w:ascii="方正仿宋_GBK" w:hAnsi="宋体" w:eastAsia="方正仿宋_GBK" w:cs="Times New Roman"/>
          <w:color w:val="auto"/>
          <w:sz w:val="24"/>
          <w:szCs w:val="24"/>
        </w:rPr>
      </w:pPr>
      <w:bookmarkStart w:id="107" w:name="_Toc2152"/>
      <w:r>
        <w:rPr>
          <w:rFonts w:hint="eastAsia" w:ascii="方正仿宋_GBK" w:hAnsi="宋体" w:eastAsia="方正仿宋_GBK" w:cs="Times New Roman"/>
          <w:color w:val="auto"/>
          <w:sz w:val="24"/>
          <w:szCs w:val="24"/>
        </w:rPr>
        <w:t>（四）合同价格指以成交价格为依据，在供方全面履行合同义务后，</w:t>
      </w:r>
      <w:r>
        <w:rPr>
          <w:rFonts w:hint="eastAsia" w:ascii="方正仿宋_GBK" w:hAnsi="宋体" w:eastAsia="方正仿宋_GBK" w:cs="Times New Roman"/>
          <w:color w:val="auto"/>
          <w:sz w:val="24"/>
          <w:szCs w:val="24"/>
          <w:lang w:eastAsia="zh-CN"/>
        </w:rPr>
        <w:t>供</w:t>
      </w:r>
      <w:r>
        <w:rPr>
          <w:rFonts w:hint="eastAsia" w:ascii="方正仿宋_GBK" w:hAnsi="宋体" w:eastAsia="方正仿宋_GBK" w:cs="Times New Roman"/>
          <w:color w:val="auto"/>
          <w:sz w:val="24"/>
          <w:szCs w:val="24"/>
        </w:rPr>
        <w:t>方应支付给</w:t>
      </w:r>
      <w:r>
        <w:rPr>
          <w:rFonts w:hint="eastAsia" w:ascii="方正仿宋_GBK" w:hAnsi="宋体" w:eastAsia="方正仿宋_GBK" w:cs="Times New Roman"/>
          <w:color w:val="auto"/>
          <w:sz w:val="24"/>
          <w:szCs w:val="24"/>
          <w:lang w:eastAsia="zh-CN"/>
        </w:rPr>
        <w:t>需</w:t>
      </w:r>
      <w:r>
        <w:rPr>
          <w:rFonts w:hint="eastAsia" w:ascii="方正仿宋_GBK" w:hAnsi="宋体" w:eastAsia="方正仿宋_GBK" w:cs="Times New Roman"/>
          <w:color w:val="auto"/>
          <w:sz w:val="24"/>
          <w:szCs w:val="24"/>
        </w:rPr>
        <w:t>方的金额。</w:t>
      </w:r>
      <w:bookmarkEnd w:id="107"/>
    </w:p>
    <w:p>
      <w:pPr>
        <w:snapToGrid w:val="0"/>
        <w:spacing w:line="400" w:lineRule="exact"/>
        <w:ind w:firstLine="480" w:firstLineChars="200"/>
        <w:jc w:val="left"/>
        <w:rPr>
          <w:rFonts w:ascii="方正仿宋_GBK" w:hAnsi="宋体" w:eastAsia="方正仿宋_GBK" w:cs="Times New Roman"/>
          <w:color w:val="auto"/>
          <w:sz w:val="24"/>
          <w:szCs w:val="24"/>
        </w:rPr>
      </w:pPr>
      <w:bookmarkStart w:id="108" w:name="_Toc9666"/>
      <w:r>
        <w:rPr>
          <w:rFonts w:hint="eastAsia" w:ascii="方正仿宋_GBK" w:hAnsi="宋体" w:eastAsia="方正仿宋_GBK" w:cs="Times New Roman"/>
          <w:color w:val="auto"/>
          <w:sz w:val="24"/>
          <w:szCs w:val="24"/>
        </w:rPr>
        <w:t>（五）技术资料是指合同货物及其相关的设计、制造、监造、检验、验收等文件（包括图纸、各种文字说明、标准）。</w:t>
      </w:r>
      <w:bookmarkEnd w:id="108"/>
    </w:p>
    <w:p>
      <w:pPr>
        <w:pStyle w:val="3"/>
        <w:spacing w:line="240" w:lineRule="auto"/>
        <w:rPr>
          <w:rFonts w:hint="eastAsia" w:ascii="微软雅黑" w:hAnsi="微软雅黑" w:eastAsia="微软雅黑" w:cs="微软雅黑"/>
          <w:color w:val="auto"/>
          <w:sz w:val="24"/>
          <w:szCs w:val="24"/>
        </w:rPr>
      </w:pPr>
      <w:bookmarkStart w:id="109" w:name="_Toc54718203"/>
      <w:bookmarkStart w:id="110" w:name="_Toc9041"/>
      <w:r>
        <w:rPr>
          <w:rFonts w:hint="eastAsia" w:ascii="微软雅黑" w:hAnsi="微软雅黑" w:eastAsia="微软雅黑" w:cs="微软雅黑"/>
          <w:color w:val="auto"/>
          <w:sz w:val="24"/>
          <w:szCs w:val="24"/>
        </w:rPr>
        <w:t>二、货物内容</w:t>
      </w:r>
      <w:bookmarkEnd w:id="109"/>
      <w:bookmarkEnd w:id="110"/>
    </w:p>
    <w:p>
      <w:pPr>
        <w:snapToGrid w:val="0"/>
        <w:spacing w:line="400" w:lineRule="exact"/>
        <w:ind w:firstLine="480" w:firstLineChars="200"/>
        <w:jc w:val="left"/>
        <w:rPr>
          <w:rFonts w:ascii="方正仿宋_GBK" w:hAnsi="宋体" w:eastAsia="方正仿宋_GBK" w:cs="Times New Roman"/>
          <w:color w:val="auto"/>
          <w:sz w:val="24"/>
          <w:szCs w:val="24"/>
        </w:rPr>
      </w:pPr>
      <w:bookmarkStart w:id="111" w:name="_Toc28967"/>
      <w:r>
        <w:rPr>
          <w:rFonts w:hint="eastAsia" w:ascii="方正仿宋_GBK" w:hAnsi="宋体" w:eastAsia="方正仿宋_GBK" w:cs="Times New Roman"/>
          <w:color w:val="auto"/>
          <w:sz w:val="24"/>
          <w:szCs w:val="24"/>
        </w:rPr>
        <w:t>合同包括以下内容：货物名称、型号规格、技术参数、数量（单位）等内容。</w:t>
      </w:r>
      <w:bookmarkEnd w:id="111"/>
    </w:p>
    <w:p>
      <w:pPr>
        <w:pStyle w:val="3"/>
        <w:spacing w:line="240" w:lineRule="auto"/>
        <w:rPr>
          <w:rFonts w:hint="default" w:ascii="微软雅黑" w:hAnsi="微软雅黑" w:eastAsia="微软雅黑" w:cs="微软雅黑"/>
          <w:color w:val="auto"/>
          <w:sz w:val="24"/>
          <w:szCs w:val="24"/>
        </w:rPr>
      </w:pPr>
      <w:bookmarkStart w:id="112" w:name="_Toc22849"/>
      <w:bookmarkStart w:id="113" w:name="_Toc54718204"/>
      <w:r>
        <w:rPr>
          <w:rFonts w:hint="eastAsia" w:ascii="微软雅黑" w:hAnsi="微软雅黑" w:eastAsia="微软雅黑" w:cs="微软雅黑"/>
          <w:color w:val="auto"/>
          <w:sz w:val="24"/>
          <w:szCs w:val="24"/>
        </w:rPr>
        <w:t>三、合同</w:t>
      </w:r>
      <w:bookmarkEnd w:id="112"/>
      <w:bookmarkEnd w:id="113"/>
      <w:r>
        <w:rPr>
          <w:rFonts w:hint="default" w:ascii="微软雅黑" w:hAnsi="微软雅黑" w:eastAsia="微软雅黑" w:cs="微软雅黑"/>
          <w:color w:val="auto"/>
          <w:sz w:val="24"/>
          <w:szCs w:val="24"/>
        </w:rPr>
        <w:t>金额</w:t>
      </w:r>
    </w:p>
    <w:p>
      <w:pPr>
        <w:snapToGrid w:val="0"/>
        <w:spacing w:line="400" w:lineRule="exact"/>
        <w:ind w:firstLine="480" w:firstLineChars="200"/>
        <w:jc w:val="left"/>
        <w:rPr>
          <w:rFonts w:hint="default" w:ascii="方正仿宋_GBK" w:hAnsi="宋体" w:eastAsia="方正仿宋_GBK" w:cs="Times New Roman"/>
          <w:color w:val="auto"/>
          <w:sz w:val="24"/>
          <w:szCs w:val="24"/>
        </w:rPr>
      </w:pPr>
      <w:bookmarkStart w:id="114" w:name="_Toc25177"/>
      <w:r>
        <w:rPr>
          <w:rFonts w:hint="eastAsia" w:ascii="方正仿宋_GBK" w:hAnsi="宋体" w:eastAsia="方正仿宋_GBK" w:cs="Times New Roman"/>
          <w:color w:val="auto"/>
          <w:sz w:val="24"/>
          <w:szCs w:val="24"/>
        </w:rPr>
        <w:t>（一）</w:t>
      </w:r>
      <w:r>
        <w:rPr>
          <w:rFonts w:hint="eastAsia" w:ascii="方正仿宋_GBK" w:hAnsi="宋体" w:eastAsia="方正仿宋_GBK" w:cs="Times New Roman"/>
          <w:color w:val="auto"/>
          <w:sz w:val="24"/>
          <w:szCs w:val="24"/>
          <w:lang w:eastAsia="zh-CN"/>
        </w:rPr>
        <w:t>每月</w:t>
      </w:r>
      <w:r>
        <w:rPr>
          <w:rFonts w:hint="default" w:ascii="方正仿宋_GBK" w:hAnsi="宋体" w:eastAsia="方正仿宋_GBK" w:cs="Times New Roman"/>
          <w:color w:val="auto"/>
          <w:sz w:val="24"/>
          <w:szCs w:val="24"/>
        </w:rPr>
        <w:t>报价与合同期限与月份的积是</w:t>
      </w:r>
      <w:r>
        <w:rPr>
          <w:rFonts w:hint="eastAsia" w:ascii="方正仿宋_GBK" w:hAnsi="宋体" w:eastAsia="方正仿宋_GBK" w:cs="Times New Roman"/>
          <w:color w:val="auto"/>
          <w:sz w:val="24"/>
          <w:szCs w:val="24"/>
        </w:rPr>
        <w:t>合同总价。</w:t>
      </w:r>
      <w:bookmarkEnd w:id="114"/>
      <w:r>
        <w:rPr>
          <w:rFonts w:hint="default"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每月</w:t>
      </w:r>
      <w:r>
        <w:rPr>
          <w:rFonts w:hint="default" w:ascii="方正仿宋_GBK" w:hAnsi="宋体" w:eastAsia="方正仿宋_GBK" w:cs="Times New Roman"/>
          <w:color w:val="auto"/>
          <w:sz w:val="24"/>
          <w:szCs w:val="24"/>
        </w:rPr>
        <w:t>报价*3年*12月=合同总价）</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115" w:name="_Toc3890"/>
      <w:r>
        <w:rPr>
          <w:rFonts w:hint="eastAsia" w:ascii="方正仿宋_GBK" w:hAnsi="宋体" w:eastAsia="方正仿宋_GBK" w:cs="Times New Roman"/>
          <w:color w:val="auto"/>
          <w:sz w:val="24"/>
          <w:szCs w:val="24"/>
        </w:rPr>
        <w:t>（二）合同价格包括</w:t>
      </w:r>
      <w:r>
        <w:rPr>
          <w:rFonts w:hint="eastAsia" w:ascii="方正仿宋_GBK" w:hAnsi="宋体" w:eastAsia="方正仿宋_GBK"/>
          <w:color w:val="auto"/>
          <w:sz w:val="24"/>
          <w:szCs w:val="24"/>
          <w:lang w:val="en-US" w:eastAsia="zh-CN"/>
        </w:rPr>
        <w:t>场地管理费、电费</w:t>
      </w:r>
      <w:r>
        <w:rPr>
          <w:rFonts w:hint="eastAsia" w:ascii="方正仿宋_GBK" w:hAnsi="宋体" w:eastAsia="方正仿宋_GBK"/>
          <w:color w:val="auto"/>
          <w:sz w:val="24"/>
          <w:szCs w:val="24"/>
        </w:rPr>
        <w:t>等各项费用</w:t>
      </w:r>
      <w:r>
        <w:rPr>
          <w:rFonts w:hint="default" w:ascii="方正仿宋_GBK" w:hAnsi="宋体" w:eastAsia="方正仿宋_GBK"/>
          <w:color w:val="auto"/>
          <w:sz w:val="24"/>
          <w:szCs w:val="24"/>
        </w:rPr>
        <w:t>。</w:t>
      </w:r>
      <w:bookmarkEnd w:id="115"/>
    </w:p>
    <w:p>
      <w:pPr>
        <w:pStyle w:val="3"/>
        <w:spacing w:line="240" w:lineRule="auto"/>
        <w:rPr>
          <w:rFonts w:hint="eastAsia" w:ascii="微软雅黑" w:hAnsi="微软雅黑" w:eastAsia="微软雅黑" w:cs="微软雅黑"/>
          <w:color w:val="auto"/>
          <w:sz w:val="24"/>
          <w:szCs w:val="24"/>
        </w:rPr>
      </w:pPr>
      <w:bookmarkStart w:id="116" w:name="_Toc54718205"/>
      <w:bookmarkStart w:id="117" w:name="_Toc5130"/>
      <w:r>
        <w:rPr>
          <w:rFonts w:hint="eastAsia" w:ascii="微软雅黑" w:hAnsi="微软雅黑" w:eastAsia="微软雅黑" w:cs="微软雅黑"/>
          <w:color w:val="auto"/>
          <w:sz w:val="24"/>
          <w:szCs w:val="24"/>
        </w:rPr>
        <w:t>四、转包或分包</w:t>
      </w:r>
      <w:bookmarkEnd w:id="116"/>
      <w:bookmarkEnd w:id="117"/>
    </w:p>
    <w:p>
      <w:pPr>
        <w:snapToGrid w:val="0"/>
        <w:spacing w:line="400" w:lineRule="exact"/>
        <w:ind w:firstLine="480" w:firstLineChars="200"/>
        <w:jc w:val="left"/>
        <w:rPr>
          <w:rFonts w:ascii="方正仿宋_GBK" w:hAnsi="宋体" w:eastAsia="方正仿宋_GBK" w:cs="Times New Roman"/>
          <w:color w:val="auto"/>
          <w:sz w:val="24"/>
          <w:szCs w:val="24"/>
        </w:rPr>
      </w:pPr>
      <w:bookmarkStart w:id="118" w:name="_Toc8161"/>
      <w:r>
        <w:rPr>
          <w:rFonts w:hint="eastAsia" w:ascii="方正仿宋_GBK" w:hAnsi="宋体" w:eastAsia="方正仿宋_GBK" w:cs="Times New Roman"/>
          <w:color w:val="auto"/>
          <w:sz w:val="24"/>
          <w:szCs w:val="24"/>
        </w:rPr>
        <w:t>（一）本合同范围的货物，应由乙方直接供应，不得转让他人供应；</w:t>
      </w:r>
      <w:bookmarkEnd w:id="118"/>
    </w:p>
    <w:p>
      <w:pPr>
        <w:snapToGrid w:val="0"/>
        <w:spacing w:line="400" w:lineRule="exact"/>
        <w:ind w:firstLine="480" w:firstLineChars="200"/>
        <w:jc w:val="left"/>
        <w:rPr>
          <w:rFonts w:ascii="方正仿宋_GBK" w:hAnsi="宋体" w:eastAsia="方正仿宋_GBK" w:cs="Times New Roman"/>
          <w:color w:val="auto"/>
          <w:sz w:val="24"/>
          <w:szCs w:val="24"/>
        </w:rPr>
      </w:pPr>
      <w:bookmarkStart w:id="119" w:name="_Toc26926"/>
      <w:r>
        <w:rPr>
          <w:rFonts w:hint="eastAsia" w:ascii="方正仿宋_GBK" w:hAnsi="宋体" w:eastAsia="方正仿宋_GBK" w:cs="Times New Roman"/>
          <w:color w:val="auto"/>
          <w:sz w:val="24"/>
          <w:szCs w:val="24"/>
        </w:rPr>
        <w:t>（二）非经甲方书面同意，乙方不得将本合同范围的货物全部或部分分包给他人供应；</w:t>
      </w:r>
      <w:bookmarkEnd w:id="119"/>
    </w:p>
    <w:p>
      <w:pPr>
        <w:snapToGrid w:val="0"/>
        <w:spacing w:line="400" w:lineRule="exact"/>
        <w:ind w:firstLine="480" w:firstLineChars="200"/>
        <w:jc w:val="left"/>
        <w:rPr>
          <w:rFonts w:ascii="方正仿宋_GBK" w:hAnsi="宋体" w:eastAsia="方正仿宋_GBK" w:cs="Times New Roman"/>
          <w:color w:val="auto"/>
          <w:sz w:val="24"/>
          <w:szCs w:val="24"/>
        </w:rPr>
      </w:pPr>
      <w:bookmarkStart w:id="120"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20"/>
    </w:p>
    <w:p>
      <w:pPr>
        <w:pStyle w:val="3"/>
        <w:spacing w:line="240" w:lineRule="auto"/>
        <w:rPr>
          <w:rFonts w:hint="eastAsia" w:ascii="微软雅黑" w:hAnsi="微软雅黑" w:eastAsia="微软雅黑" w:cs="微软雅黑"/>
          <w:color w:val="auto"/>
          <w:sz w:val="24"/>
          <w:szCs w:val="24"/>
        </w:rPr>
      </w:pPr>
      <w:bookmarkStart w:id="121" w:name="_Toc54718206"/>
      <w:bookmarkStart w:id="122" w:name="_Toc3732"/>
      <w:r>
        <w:rPr>
          <w:rFonts w:hint="eastAsia" w:ascii="微软雅黑" w:hAnsi="微软雅黑" w:eastAsia="微软雅黑" w:cs="微软雅黑"/>
          <w:color w:val="auto"/>
          <w:sz w:val="24"/>
          <w:szCs w:val="24"/>
        </w:rPr>
        <w:t>五、质量保证及售后服务</w:t>
      </w:r>
      <w:bookmarkEnd w:id="121"/>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21178"/>
      <w:r>
        <w:rPr>
          <w:rFonts w:hint="eastAsia" w:ascii="方正仿宋_GBK" w:hAnsi="宋体" w:eastAsia="方正仿宋_GBK" w:cs="Times New Roman"/>
          <w:color w:val="auto"/>
          <w:sz w:val="24"/>
          <w:szCs w:val="24"/>
        </w:rPr>
        <w:t>（一）乙方应按比选文件规定的货物性能、技术要求、质量标准向甲方提供未经使用的全新产品。</w:t>
      </w:r>
      <w:bookmarkEnd w:id="123"/>
    </w:p>
    <w:p>
      <w:pPr>
        <w:snapToGrid w:val="0"/>
        <w:spacing w:line="400" w:lineRule="exact"/>
        <w:ind w:firstLine="480" w:firstLineChars="200"/>
        <w:jc w:val="left"/>
        <w:rPr>
          <w:rFonts w:hint="eastAsia" w:ascii="方正仿宋_GBK" w:hAnsi="宋体" w:eastAsia="方正仿宋_GBK" w:cs="Times New Roman"/>
          <w:color w:val="auto"/>
          <w:sz w:val="24"/>
          <w:szCs w:val="24"/>
          <w:lang w:eastAsia="zh-CN"/>
        </w:rPr>
      </w:pPr>
      <w:bookmarkStart w:id="124" w:name="_Toc3746"/>
      <w:r>
        <w:rPr>
          <w:rFonts w:hint="eastAsia" w:ascii="方正仿宋_GBK" w:hAnsi="宋体" w:eastAsia="方正仿宋_GBK" w:cs="Times New Roman"/>
          <w:color w:val="auto"/>
          <w:sz w:val="24"/>
          <w:szCs w:val="24"/>
        </w:rPr>
        <w:t>（二）乙方提供的货物在质保期内因货物本身的质量问题发生故障，乙方应负责免费更换。对达不到技术要求者，根据实际情况，经双方协商</w:t>
      </w:r>
      <w:bookmarkEnd w:id="124"/>
      <w:bookmarkStart w:id="125" w:name="_Toc12985"/>
      <w:r>
        <w:rPr>
          <w:rFonts w:hint="eastAsia" w:ascii="方正仿宋_GBK" w:hAnsi="宋体" w:eastAsia="方正仿宋_GBK" w:cs="Times New Roman"/>
          <w:color w:val="auto"/>
          <w:sz w:val="24"/>
          <w:szCs w:val="24"/>
          <w:lang w:eastAsia="zh-CN"/>
        </w:rPr>
        <w:t>解决。</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（三）如在使用过程中发生质量问题，乙方应同本项目“第四篇 项目商务要求”对质量保证及售后服务内容的约定。</w:t>
      </w:r>
      <w:bookmarkEnd w:id="125"/>
    </w:p>
    <w:p>
      <w:pPr>
        <w:snapToGrid w:val="0"/>
        <w:spacing w:line="400" w:lineRule="exact"/>
        <w:ind w:firstLine="480" w:firstLineChars="200"/>
        <w:jc w:val="left"/>
        <w:rPr>
          <w:rFonts w:ascii="方正仿宋_GBK" w:hAnsi="宋体" w:eastAsia="方正仿宋_GBK" w:cs="Times New Roman"/>
          <w:color w:val="auto"/>
          <w:sz w:val="24"/>
          <w:szCs w:val="24"/>
        </w:rPr>
      </w:pPr>
      <w:bookmarkStart w:id="126" w:name="_Toc23372"/>
      <w:r>
        <w:rPr>
          <w:rFonts w:hint="eastAsia" w:ascii="方正仿宋_GBK" w:hAnsi="宋体" w:eastAsia="方正仿宋_GBK" w:cs="Times New Roman"/>
          <w:color w:val="auto"/>
          <w:sz w:val="24"/>
          <w:szCs w:val="24"/>
        </w:rPr>
        <w:t>（四）在</w:t>
      </w:r>
      <w:r>
        <w:rPr>
          <w:rFonts w:hint="eastAsia" w:ascii="方正仿宋_GBK" w:hAnsi="宋体" w:eastAsia="方正仿宋_GBK" w:cs="Times New Roman"/>
          <w:color w:val="auto"/>
          <w:sz w:val="24"/>
          <w:szCs w:val="24"/>
          <w:lang w:eastAsia="zh-CN"/>
        </w:rPr>
        <w:t>合同</w:t>
      </w:r>
      <w:r>
        <w:rPr>
          <w:rFonts w:hint="eastAsia" w:ascii="方正仿宋_GBK" w:hAnsi="宋体" w:eastAsia="方正仿宋_GBK" w:cs="Times New Roman"/>
          <w:color w:val="auto"/>
          <w:sz w:val="24"/>
          <w:szCs w:val="24"/>
        </w:rPr>
        <w:t>期内，乙方应对货物出现的质量及安全问题负责处理解决并承担一切费用。</w:t>
      </w:r>
      <w:bookmarkEnd w:id="126"/>
    </w:p>
    <w:p>
      <w:pPr>
        <w:pStyle w:val="3"/>
        <w:spacing w:line="240" w:lineRule="auto"/>
        <w:rPr>
          <w:rFonts w:hint="eastAsia" w:ascii="微软雅黑" w:hAnsi="微软雅黑" w:eastAsia="微软雅黑" w:cs="微软雅黑"/>
          <w:color w:val="auto"/>
          <w:sz w:val="24"/>
          <w:szCs w:val="24"/>
        </w:rPr>
      </w:pPr>
      <w:bookmarkStart w:id="127" w:name="_Toc54718207"/>
      <w:bookmarkStart w:id="128" w:name="_Toc7219"/>
      <w:r>
        <w:rPr>
          <w:rFonts w:hint="eastAsia" w:ascii="微软雅黑" w:hAnsi="微软雅黑" w:eastAsia="微软雅黑" w:cs="微软雅黑"/>
          <w:color w:val="auto"/>
          <w:sz w:val="24"/>
          <w:szCs w:val="24"/>
        </w:rPr>
        <w:t>六、付款</w:t>
      </w:r>
      <w:bookmarkEnd w:id="127"/>
      <w:bookmarkEnd w:id="128"/>
    </w:p>
    <w:p>
      <w:pPr>
        <w:snapToGrid w:val="0"/>
        <w:spacing w:line="400" w:lineRule="exact"/>
        <w:ind w:firstLine="480" w:firstLineChars="200"/>
        <w:jc w:val="left"/>
        <w:rPr>
          <w:rFonts w:ascii="方正仿宋_GBK" w:hAnsi="宋体" w:eastAsia="方正仿宋_GBK" w:cs="Times New Roman"/>
          <w:color w:val="auto"/>
          <w:sz w:val="24"/>
          <w:szCs w:val="24"/>
        </w:rPr>
      </w:pPr>
      <w:bookmarkStart w:id="129" w:name="_Toc23183"/>
      <w:r>
        <w:rPr>
          <w:rFonts w:hint="eastAsia" w:ascii="方正仿宋_GBK" w:hAnsi="宋体" w:eastAsia="方正仿宋_GBK" w:cs="Times New Roman"/>
          <w:color w:val="auto"/>
          <w:sz w:val="24"/>
          <w:szCs w:val="24"/>
        </w:rPr>
        <w:t>（一）本合同使用货币币制如未作特别说明均为人民币。</w:t>
      </w:r>
      <w:bookmarkEnd w:id="129"/>
    </w:p>
    <w:p>
      <w:pPr>
        <w:snapToGrid w:val="0"/>
        <w:spacing w:line="400" w:lineRule="exact"/>
        <w:ind w:firstLine="480" w:firstLineChars="200"/>
        <w:jc w:val="left"/>
        <w:rPr>
          <w:rFonts w:ascii="方正仿宋_GBK" w:hAnsi="宋体" w:eastAsia="方正仿宋_GBK" w:cs="Times New Roman"/>
          <w:color w:val="auto"/>
          <w:sz w:val="24"/>
          <w:szCs w:val="24"/>
        </w:rPr>
      </w:pPr>
      <w:bookmarkStart w:id="130" w:name="_Toc8880"/>
      <w:r>
        <w:rPr>
          <w:rFonts w:hint="eastAsia" w:ascii="方正仿宋_GBK" w:hAnsi="宋体" w:eastAsia="方正仿宋_GBK" w:cs="Times New Roman"/>
          <w:color w:val="auto"/>
          <w:sz w:val="24"/>
          <w:szCs w:val="24"/>
        </w:rPr>
        <w:t>（二）付款方式：银行转账。</w:t>
      </w:r>
      <w:bookmarkEnd w:id="130"/>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ascii="方正仿宋_GBK" w:hAnsi="宋体" w:eastAsia="方正仿宋_GBK" w:cs="Times New Roman"/>
          <w:color w:val="auto"/>
          <w:sz w:val="24"/>
          <w:szCs w:val="24"/>
        </w:rPr>
      </w:pPr>
      <w:bookmarkStart w:id="131"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31"/>
    </w:p>
    <w:p>
      <w:pPr>
        <w:pStyle w:val="3"/>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auto"/>
          <w:sz w:val="24"/>
          <w:szCs w:val="24"/>
        </w:rPr>
      </w:pPr>
      <w:bookmarkStart w:id="132" w:name="_Toc54718208"/>
      <w:bookmarkStart w:id="133" w:name="_Toc16851"/>
      <w:r>
        <w:rPr>
          <w:rFonts w:hint="eastAsia" w:ascii="微软雅黑" w:hAnsi="微软雅黑" w:eastAsia="微软雅黑" w:cs="微软雅黑"/>
          <w:color w:val="auto"/>
          <w:sz w:val="24"/>
          <w:szCs w:val="24"/>
        </w:rPr>
        <w:t>七、检查验收</w:t>
      </w:r>
      <w:bookmarkEnd w:id="132"/>
      <w:bookmarkEnd w:id="133"/>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方所交货物的各种质量指标不得低于供方提供样品的质量指标（无样品时按供方响应文件中所提供的“技术文件”执行），售后服务质量要求按照比选文件和响应文件的内容执行。供方交货时，需方可根据需要随机抽取一部分货物送有关权威检测部门检测，如检测不合格，供方负责赔偿需方一切损失。</w:t>
      </w:r>
    </w:p>
    <w:p>
      <w:pPr>
        <w:pStyle w:val="3"/>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auto"/>
          <w:sz w:val="24"/>
          <w:szCs w:val="24"/>
        </w:rPr>
      </w:pPr>
      <w:bookmarkStart w:id="134" w:name="_Toc21229"/>
      <w:bookmarkStart w:id="135" w:name="_Toc54718209"/>
      <w:r>
        <w:rPr>
          <w:rFonts w:hint="eastAsia" w:ascii="微软雅黑" w:hAnsi="微软雅黑" w:eastAsia="微软雅黑" w:cs="微软雅黑"/>
          <w:color w:val="auto"/>
          <w:sz w:val="24"/>
          <w:szCs w:val="24"/>
        </w:rPr>
        <w:t>八、索赔</w:t>
      </w:r>
      <w:bookmarkEnd w:id="134"/>
      <w:bookmarkEnd w:id="135"/>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olor w:val="auto"/>
          <w:sz w:val="24"/>
          <w:szCs w:val="24"/>
        </w:rPr>
      </w:pPr>
      <w:bookmarkStart w:id="136" w:name="_Toc54718210"/>
      <w:r>
        <w:rPr>
          <w:rFonts w:hint="eastAsia" w:ascii="方正仿宋_GBK" w:hAnsi="宋体" w:eastAsia="方正仿宋_GBK"/>
          <w:color w:val="auto"/>
          <w:sz w:val="24"/>
          <w:szCs w:val="24"/>
        </w:rPr>
        <w:t>乙方超许可范围经营、提供虚假或过期资质材料，甲方有权终止合同，并追究乙方法律责任，乙方承担由此造成的所有损失及赔偿责任；如果甲方因此而被第三人起诉或被行政处罚的，由乙方承担由此给甲方造成的所有损失。</w:t>
      </w:r>
    </w:p>
    <w:p>
      <w:pPr>
        <w:pStyle w:val="3"/>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auto"/>
          <w:sz w:val="24"/>
          <w:szCs w:val="24"/>
        </w:rPr>
      </w:pPr>
      <w:bookmarkStart w:id="137" w:name="_Toc4448"/>
      <w:r>
        <w:rPr>
          <w:rFonts w:hint="eastAsia" w:ascii="微软雅黑" w:hAnsi="微软雅黑" w:eastAsia="微软雅黑" w:cs="微软雅黑"/>
          <w:color w:val="auto"/>
          <w:sz w:val="24"/>
          <w:szCs w:val="24"/>
        </w:rPr>
        <w:t>九、知识产权</w:t>
      </w:r>
      <w:bookmarkEnd w:id="136"/>
      <w:bookmarkEnd w:id="137"/>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ascii="方正仿宋_GBK" w:hAnsi="宋体" w:eastAsia="方正仿宋_GBK" w:cs="Times New Roman"/>
          <w:color w:val="auto"/>
          <w:sz w:val="24"/>
          <w:szCs w:val="24"/>
        </w:rPr>
      </w:pPr>
      <w:bookmarkStart w:id="138" w:name="_Toc11938"/>
      <w:r>
        <w:rPr>
          <w:rFonts w:hint="eastAsia" w:ascii="方正仿宋_GBK" w:hAnsi="宋体" w:eastAsia="方正仿宋_GBK" w:cs="Times New Roman"/>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38"/>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ascii="方正仿宋_GBK" w:hAnsi="宋体" w:eastAsia="方正仿宋_GBK" w:cs="Times New Roman"/>
          <w:color w:val="auto"/>
          <w:sz w:val="24"/>
          <w:szCs w:val="24"/>
        </w:rPr>
      </w:pPr>
      <w:bookmarkStart w:id="139" w:name="_Toc17287"/>
      <w:r>
        <w:rPr>
          <w:rFonts w:hint="eastAsia" w:ascii="方正仿宋_GBK" w:hAnsi="宋体" w:eastAsia="方正仿宋_GBK" w:cs="Times New Roman"/>
          <w:color w:val="auto"/>
          <w:sz w:val="24"/>
          <w:szCs w:val="24"/>
        </w:rPr>
        <w:t>（二）若涉及软件开发等服务类项目知识产权的，知识产权归医院所有。</w:t>
      </w:r>
      <w:bookmarkEnd w:id="139"/>
    </w:p>
    <w:p>
      <w:pPr>
        <w:pStyle w:val="3"/>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auto"/>
          <w:sz w:val="24"/>
          <w:szCs w:val="24"/>
        </w:rPr>
      </w:pPr>
      <w:bookmarkStart w:id="140" w:name="_Toc54718211"/>
      <w:bookmarkStart w:id="141" w:name="_Toc22963"/>
      <w:r>
        <w:rPr>
          <w:rFonts w:hint="eastAsia" w:ascii="微软雅黑" w:hAnsi="微软雅黑" w:eastAsia="微软雅黑" w:cs="微软雅黑"/>
          <w:color w:val="auto"/>
          <w:sz w:val="24"/>
          <w:szCs w:val="24"/>
        </w:rPr>
        <w:t>十、合同争议的解决</w:t>
      </w:r>
      <w:bookmarkEnd w:id="140"/>
      <w:bookmarkEnd w:id="141"/>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ascii="方正仿宋_GBK" w:hAnsi="宋体" w:eastAsia="方正仿宋_GBK" w:cs="Times New Roman"/>
          <w:color w:val="auto"/>
          <w:sz w:val="24"/>
          <w:szCs w:val="24"/>
        </w:rPr>
      </w:pPr>
      <w:bookmarkStart w:id="142" w:name="_Toc5382"/>
      <w:r>
        <w:rPr>
          <w:rFonts w:hint="eastAsia" w:ascii="方正仿宋_GBK" w:hAnsi="宋体" w:eastAsia="方正仿宋_GBK" w:cs="Times New Roman"/>
          <w:color w:val="auto"/>
          <w:sz w:val="24"/>
          <w:szCs w:val="24"/>
        </w:rPr>
        <w:t>（一）当事人友好协商达成一致</w:t>
      </w:r>
      <w:bookmarkEnd w:id="142"/>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ascii="方正仿宋_GBK" w:hAnsi="宋体" w:eastAsia="方正仿宋_GBK" w:cs="Times New Roman"/>
          <w:color w:val="auto"/>
          <w:sz w:val="24"/>
          <w:szCs w:val="24"/>
        </w:rPr>
      </w:pPr>
      <w:bookmarkStart w:id="143" w:name="_Toc29926"/>
      <w:r>
        <w:rPr>
          <w:rFonts w:hint="eastAsia" w:ascii="方正仿宋_GBK" w:hAnsi="宋体" w:eastAsia="方正仿宋_GBK" w:cs="Times New Roman"/>
          <w:color w:val="auto"/>
          <w:sz w:val="24"/>
          <w:szCs w:val="24"/>
        </w:rPr>
        <w:t>（二）在60天内当事人协商不能达成协议的，可提请医院当地仲裁机构仲裁。</w:t>
      </w:r>
      <w:bookmarkEnd w:id="143"/>
    </w:p>
    <w:p>
      <w:pPr>
        <w:pStyle w:val="3"/>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auto"/>
          <w:sz w:val="24"/>
          <w:szCs w:val="24"/>
        </w:rPr>
      </w:pPr>
      <w:bookmarkStart w:id="144" w:name="_Toc10984"/>
      <w:bookmarkStart w:id="145" w:name="_Toc54718212"/>
      <w:r>
        <w:rPr>
          <w:rFonts w:hint="eastAsia" w:ascii="微软雅黑" w:hAnsi="微软雅黑" w:eastAsia="微软雅黑" w:cs="微软雅黑"/>
          <w:color w:val="auto"/>
          <w:sz w:val="24"/>
          <w:szCs w:val="24"/>
        </w:rPr>
        <w:t>十一、违约责任</w:t>
      </w:r>
      <w:bookmarkEnd w:id="144"/>
      <w:bookmarkEnd w:id="145"/>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ascii="方正仿宋_GBK" w:hAnsi="宋体" w:eastAsia="方正仿宋_GBK" w:cs="Times New Roman"/>
          <w:color w:val="auto"/>
          <w:sz w:val="24"/>
          <w:szCs w:val="24"/>
        </w:rPr>
      </w:pPr>
      <w:bookmarkStart w:id="146" w:name="_Toc54718213"/>
      <w:r>
        <w:rPr>
          <w:rFonts w:hint="eastAsia" w:ascii="方正仿宋_GBK" w:hAnsi="宋体" w:eastAsia="方正仿宋_GBK" w:cs="Times New Roman"/>
          <w:color w:val="auto"/>
          <w:sz w:val="24"/>
          <w:szCs w:val="24"/>
        </w:rPr>
        <w:t>按《中华人民共和国民法典》有关条款，或由供需双方约定。</w:t>
      </w:r>
    </w:p>
    <w:p>
      <w:pPr>
        <w:pStyle w:val="3"/>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auto"/>
          <w:sz w:val="24"/>
          <w:szCs w:val="24"/>
        </w:rPr>
      </w:pPr>
      <w:bookmarkStart w:id="147" w:name="_Toc22831"/>
      <w:r>
        <w:rPr>
          <w:rFonts w:hint="eastAsia" w:ascii="微软雅黑" w:hAnsi="微软雅黑" w:eastAsia="微软雅黑" w:cs="微软雅黑"/>
          <w:color w:val="auto"/>
          <w:sz w:val="24"/>
          <w:szCs w:val="24"/>
        </w:rPr>
        <w:t>十二、合同生效及其它</w:t>
      </w:r>
      <w:bookmarkEnd w:id="146"/>
      <w:bookmarkEnd w:id="147"/>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ascii="方正仿宋_GBK" w:hAnsi="宋体" w:eastAsia="方正仿宋_GBK" w:cs="Times New Roman"/>
          <w:color w:val="auto"/>
          <w:sz w:val="24"/>
          <w:szCs w:val="24"/>
        </w:rPr>
      </w:pPr>
      <w:bookmarkStart w:id="148" w:name="_Toc7071"/>
      <w:r>
        <w:rPr>
          <w:rFonts w:hint="eastAsia" w:ascii="方正仿宋_GBK" w:hAnsi="宋体" w:eastAsia="方正仿宋_GBK" w:cs="Times New Roman"/>
          <w:color w:val="auto"/>
          <w:sz w:val="24"/>
          <w:szCs w:val="24"/>
        </w:rPr>
        <w:t>（一）合同生效及其效力应符合《中华人民共和国民法典》有关规定。</w:t>
      </w:r>
      <w:bookmarkEnd w:id="148"/>
    </w:p>
    <w:p>
      <w:pPr>
        <w:snapToGrid w:val="0"/>
        <w:spacing w:line="400" w:lineRule="exact"/>
        <w:ind w:firstLine="480" w:firstLineChars="200"/>
        <w:jc w:val="left"/>
        <w:rPr>
          <w:rFonts w:ascii="方正仿宋_GBK" w:hAnsi="宋体" w:eastAsia="方正仿宋_GBK" w:cs="Times New Roman"/>
          <w:color w:val="auto"/>
          <w:sz w:val="24"/>
          <w:szCs w:val="24"/>
        </w:rPr>
      </w:pPr>
      <w:bookmarkStart w:id="149"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49"/>
    </w:p>
    <w:p>
      <w:pPr>
        <w:snapToGrid w:val="0"/>
        <w:spacing w:line="400" w:lineRule="exact"/>
        <w:ind w:firstLine="480" w:firstLineChars="200"/>
        <w:jc w:val="left"/>
        <w:rPr>
          <w:rFonts w:ascii="方正仿宋_GBK" w:hAnsi="宋体" w:eastAsia="方正仿宋_GBK" w:cs="Times New Roman"/>
          <w:color w:val="auto"/>
          <w:sz w:val="24"/>
          <w:szCs w:val="24"/>
        </w:rPr>
      </w:pPr>
      <w:bookmarkStart w:id="150"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50"/>
    </w:p>
    <w:p>
      <w:pPr>
        <w:snapToGrid w:val="0"/>
        <w:spacing w:line="400" w:lineRule="exact"/>
        <w:ind w:firstLine="480" w:firstLineChars="200"/>
        <w:jc w:val="left"/>
        <w:rPr>
          <w:rFonts w:ascii="方正仿宋_GBK" w:hAnsi="宋体" w:eastAsia="方正仿宋_GBK" w:cs="Times New Roman"/>
          <w:color w:val="auto"/>
          <w:sz w:val="24"/>
          <w:szCs w:val="24"/>
        </w:rPr>
      </w:pPr>
      <w:bookmarkStart w:id="151" w:name="_Toc28233"/>
      <w:r>
        <w:rPr>
          <w:rFonts w:hint="eastAsia" w:ascii="方正仿宋_GBK" w:hAnsi="宋体" w:eastAsia="方正仿宋_GBK" w:cs="Times New Roman"/>
          <w:color w:val="auto"/>
          <w:sz w:val="24"/>
          <w:szCs w:val="24"/>
        </w:rPr>
        <w:t>（四）合同需提供担保的，按《中华人民共和国担保法》规定执行。</w:t>
      </w:r>
      <w:bookmarkEnd w:id="151"/>
    </w:p>
    <w:p>
      <w:pPr>
        <w:snapToGrid w:val="0"/>
        <w:spacing w:line="400" w:lineRule="exact"/>
        <w:ind w:firstLine="480" w:firstLineChars="200"/>
        <w:jc w:val="left"/>
        <w:rPr>
          <w:rFonts w:ascii="方正仿宋_GBK" w:hAnsi="宋体" w:eastAsia="方正仿宋_GBK" w:cs="Times New Roman"/>
          <w:color w:val="auto"/>
          <w:sz w:val="24"/>
          <w:szCs w:val="24"/>
        </w:rPr>
      </w:pPr>
      <w:bookmarkStart w:id="152"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52"/>
    </w:p>
    <w:p>
      <w:pPr>
        <w:snapToGrid w:val="0"/>
        <w:spacing w:line="400" w:lineRule="exact"/>
        <w:ind w:firstLine="480" w:firstLineChars="200"/>
        <w:rPr>
          <w:rFonts w:hint="eastAsia" w:ascii="方正仿宋_GBK" w:hAnsi="Times New Roman" w:eastAsia="方正仿宋_GBK" w:cs="Times New Roman"/>
          <w:color w:val="auto"/>
          <w:sz w:val="24"/>
          <w:szCs w:val="20"/>
        </w:rPr>
      </w:pPr>
    </w:p>
    <w:bookmarkEnd w:id="100"/>
    <w:bookmarkEnd w:id="101"/>
    <w:p>
      <w:pPr>
        <w:pStyle w:val="2"/>
        <w:jc w:val="center"/>
        <w:rPr>
          <w:rFonts w:hint="eastAsia" w:ascii="微软雅黑" w:hAnsi="微软雅黑" w:eastAsia="微软雅黑" w:cs="微软雅黑"/>
          <w:b/>
          <w:color w:val="auto"/>
          <w:sz w:val="36"/>
          <w:szCs w:val="36"/>
        </w:rPr>
      </w:pPr>
      <w:bookmarkStart w:id="153" w:name="_Hlt41879464"/>
      <w:bookmarkEnd w:id="153"/>
      <w:bookmarkStart w:id="154" w:name="_Toc12789072"/>
      <w:bookmarkStart w:id="155" w:name="_Toc485108795"/>
      <w:bookmarkStart w:id="156" w:name="_Toc18258"/>
      <w:r>
        <w:rPr>
          <w:rFonts w:hint="eastAsia" w:ascii="微软雅黑" w:hAnsi="微软雅黑" w:eastAsia="微软雅黑" w:cs="微软雅黑"/>
          <w:b/>
          <w:color w:val="auto"/>
          <w:sz w:val="36"/>
          <w:szCs w:val="36"/>
        </w:rPr>
        <w:t>第六篇  响应文件格式要求</w:t>
      </w:r>
      <w:bookmarkEnd w:id="154"/>
      <w:bookmarkEnd w:id="155"/>
      <w:bookmarkEnd w:id="156"/>
    </w:p>
    <w:p>
      <w:pPr>
        <w:pStyle w:val="3"/>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auto"/>
          <w:sz w:val="24"/>
          <w:szCs w:val="24"/>
        </w:rPr>
      </w:pPr>
      <w:bookmarkStart w:id="157" w:name="_Toc13808"/>
      <w:r>
        <w:rPr>
          <w:rFonts w:hint="eastAsia" w:ascii="微软雅黑" w:hAnsi="微软雅黑" w:eastAsia="微软雅黑" w:cs="微软雅黑"/>
          <w:color w:val="auto"/>
          <w:sz w:val="24"/>
          <w:szCs w:val="24"/>
        </w:rPr>
        <w:t>一、经济部分</w:t>
      </w:r>
      <w:bookmarkEnd w:id="157"/>
    </w:p>
    <w:p>
      <w:pPr>
        <w:pageBreakBefore w:val="0"/>
        <w:widowControl w:val="0"/>
        <w:kinsoku/>
        <w:wordWrap/>
        <w:overflowPunct/>
        <w:topLinePunct w:val="0"/>
        <w:autoSpaceDE/>
        <w:autoSpaceDN/>
        <w:bidi w:val="0"/>
        <w:adjustRightInd/>
        <w:spacing w:line="440" w:lineRule="exact"/>
        <w:ind w:firstLine="480" w:firstLineChars="200"/>
        <w:textAlignment w:val="auto"/>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pageBreakBefore w:val="0"/>
        <w:widowControl w:val="0"/>
        <w:kinsoku/>
        <w:wordWrap/>
        <w:overflowPunct/>
        <w:topLinePunct w:val="0"/>
        <w:autoSpaceDE/>
        <w:autoSpaceDN/>
        <w:bidi w:val="0"/>
        <w:adjustRightInd/>
        <w:spacing w:line="440" w:lineRule="exact"/>
        <w:ind w:firstLine="480" w:firstLineChars="200"/>
        <w:textAlignment w:val="auto"/>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auto"/>
          <w:sz w:val="24"/>
          <w:szCs w:val="24"/>
        </w:rPr>
      </w:pPr>
      <w:bookmarkStart w:id="158" w:name="_Toc4913"/>
      <w:r>
        <w:rPr>
          <w:rFonts w:hint="eastAsia" w:ascii="微软雅黑" w:hAnsi="微软雅黑" w:eastAsia="微软雅黑" w:cs="微软雅黑"/>
          <w:color w:val="auto"/>
          <w:sz w:val="24"/>
          <w:szCs w:val="24"/>
        </w:rPr>
        <w:t>二、服务部分</w:t>
      </w:r>
      <w:bookmarkEnd w:id="158"/>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（一）按照“第三篇  项目服务需求”提供相应资料</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（二）服务响应偏离表</w:t>
      </w:r>
    </w:p>
    <w:p>
      <w:pPr>
        <w:pStyle w:val="3"/>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auto"/>
          <w:sz w:val="24"/>
          <w:szCs w:val="24"/>
        </w:rPr>
      </w:pPr>
      <w:bookmarkStart w:id="159" w:name="_Toc17297"/>
      <w:r>
        <w:rPr>
          <w:rFonts w:hint="eastAsia" w:ascii="微软雅黑" w:hAnsi="微软雅黑" w:eastAsia="微软雅黑" w:cs="微软雅黑"/>
          <w:color w:val="auto"/>
          <w:sz w:val="24"/>
          <w:szCs w:val="24"/>
        </w:rPr>
        <w:t>三、商务部分</w:t>
      </w:r>
      <w:bookmarkEnd w:id="159"/>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Times New Roman"/>
          <w:color w:val="auto"/>
          <w:sz w:val="24"/>
          <w:szCs w:val="24"/>
        </w:rPr>
      </w:pPr>
      <w:bookmarkStart w:id="160" w:name="_Toc38358147"/>
      <w:bookmarkStart w:id="161" w:name="OLE_LINK10"/>
      <w:bookmarkStart w:id="162" w:name="OLE_LINK11"/>
      <w:r>
        <w:rPr>
          <w:rFonts w:hint="eastAsia" w:ascii="方正仿宋_GBK" w:hAnsi="宋体" w:eastAsia="方正仿宋_GBK" w:cs="Times New Roman"/>
          <w:color w:val="auto"/>
          <w:sz w:val="24"/>
          <w:szCs w:val="24"/>
        </w:rPr>
        <w:t>（一）按照“第四篇  项目商务需求”提供相应资料</w:t>
      </w:r>
      <w:bookmarkEnd w:id="160"/>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（二）商务响应偏离表</w:t>
      </w:r>
    </w:p>
    <w:p>
      <w:pPr>
        <w:pageBreakBefore w:val="0"/>
        <w:widowControl w:val="0"/>
        <w:kinsoku/>
        <w:wordWrap/>
        <w:overflowPunct/>
        <w:topLinePunct w:val="0"/>
        <w:autoSpaceDE/>
        <w:autoSpaceDN/>
        <w:bidi w:val="0"/>
        <w:adjustRightInd/>
        <w:spacing w:line="440" w:lineRule="exact"/>
        <w:ind w:firstLine="480" w:firstLineChars="200"/>
        <w:textAlignment w:val="auto"/>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auto"/>
          <w:sz w:val="24"/>
          <w:szCs w:val="24"/>
        </w:rPr>
      </w:pPr>
      <w:bookmarkStart w:id="163" w:name="_Toc20411"/>
      <w:r>
        <w:rPr>
          <w:rFonts w:hint="eastAsia" w:ascii="微软雅黑" w:hAnsi="微软雅黑" w:eastAsia="微软雅黑" w:cs="微软雅黑"/>
          <w:color w:val="auto"/>
          <w:sz w:val="24"/>
          <w:szCs w:val="24"/>
        </w:rPr>
        <w:t>四、资格条件及其他</w:t>
      </w:r>
      <w:bookmarkEnd w:id="163"/>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（五）2020或2021年度财务状况报告（表）或其基本开户银行出具的资信证明复印件，本年度新成立或成立不满一年的组织和自然人无法提供财务状况报告（表）的，可提供银行出具的资信证明复印件。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行政处罚；信用中国--失信惩戒；信用中国--重大税收违法案件当事人名单查询；中国政府采购网--政府采购严重违法失信行为信息记录（截图模板见第六篇后模板）</w:t>
      </w:r>
    </w:p>
    <w:p>
      <w:pPr>
        <w:pStyle w:val="3"/>
        <w:spacing w:line="240" w:lineRule="auto"/>
        <w:rPr>
          <w:rFonts w:hint="eastAsia" w:ascii="微软雅黑" w:hAnsi="微软雅黑" w:eastAsia="微软雅黑" w:cs="微软雅黑"/>
          <w:color w:val="auto"/>
          <w:sz w:val="24"/>
          <w:szCs w:val="24"/>
        </w:rPr>
      </w:pPr>
      <w:bookmarkStart w:id="164" w:name="_Toc12877"/>
      <w:r>
        <w:rPr>
          <w:rFonts w:hint="eastAsia" w:ascii="微软雅黑" w:hAnsi="微软雅黑" w:eastAsia="微软雅黑" w:cs="微软雅黑"/>
          <w:color w:val="auto"/>
          <w:sz w:val="24"/>
          <w:szCs w:val="24"/>
        </w:rPr>
        <w:t>五、其他应提供的资料</w:t>
      </w:r>
      <w:bookmarkEnd w:id="164"/>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61"/>
    <w:bookmarkEnd w:id="162"/>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cols w:space="720" w:num="1"/>
          <w:docGrid w:linePitch="380" w:charSpace="-5735"/>
        </w:sectPr>
      </w:pPr>
    </w:p>
    <w:p>
      <w:pPr>
        <w:pStyle w:val="180"/>
        <w:numPr>
          <w:ilvl w:val="0"/>
          <w:numId w:val="13"/>
        </w:numPr>
        <w:ind w:firstLineChars="0"/>
        <w:rPr>
          <w:rFonts w:hint="eastAsia"/>
          <w:b/>
          <w:color w:val="auto"/>
          <w:sz w:val="24"/>
          <w:szCs w:val="24"/>
        </w:rPr>
      </w:pPr>
      <w:bookmarkStart w:id="165" w:name="_Toc313008356"/>
      <w:bookmarkStart w:id="166" w:name="_Toc342913419"/>
      <w:bookmarkStart w:id="167" w:name="_Toc485108796"/>
      <w:bookmarkStart w:id="168" w:name="_Toc480979018"/>
      <w:bookmarkStart w:id="169" w:name="_Toc313888360"/>
      <w:bookmarkStart w:id="170" w:name="_Toc12789073"/>
      <w:bookmarkStart w:id="171" w:name="_Toc283382454"/>
      <w:r>
        <w:rPr>
          <w:rFonts w:hint="eastAsia"/>
          <w:b/>
          <w:color w:val="auto"/>
          <w:sz w:val="24"/>
          <w:szCs w:val="24"/>
        </w:rPr>
        <w:t>经济部分</w:t>
      </w:r>
      <w:bookmarkEnd w:id="165"/>
      <w:bookmarkEnd w:id="166"/>
      <w:bookmarkEnd w:id="167"/>
      <w:bookmarkEnd w:id="168"/>
      <w:bookmarkEnd w:id="169"/>
    </w:p>
    <w:p>
      <w:pPr>
        <w:pStyle w:val="180"/>
        <w:ind w:left="450" w:firstLine="0" w:firstLineChars="0"/>
        <w:rPr>
          <w:b/>
          <w:color w:val="auto"/>
        </w:rPr>
      </w:pPr>
    </w:p>
    <w:bookmarkEnd w:id="170"/>
    <w:bookmarkEnd w:id="171"/>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1、愿意按照比选文件中的一切要求，提供本项目的技术服务、商务需求，初始报价为人民币大写：</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元整；人民币小写：</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元。以我公司最后报价为准。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6300"/>
        </w:tabs>
        <w:snapToGrid w:val="0"/>
        <w:spacing w:line="312" w:lineRule="auto"/>
        <w:ind w:firstLine="480"/>
        <w:rPr>
          <w:rFonts w:hint="eastAsia" w:ascii="方正仿宋_GBK" w:hAnsi="宋体" w:eastAsia="方正仿宋_GBK"/>
          <w:color w:val="auto"/>
          <w:szCs w:val="24"/>
        </w:rPr>
      </w:pPr>
      <w:r>
        <w:rPr>
          <w:rFonts w:hint="eastAsia" w:ascii="方正仿宋_GBK" w:hAnsi="宋体" w:eastAsia="方正仿宋_GBK"/>
          <w:color w:val="auto"/>
          <w:szCs w:val="24"/>
        </w:rPr>
        <w:t>（二）分项报价明细表</w:t>
      </w:r>
    </w:p>
    <w:p>
      <w:pPr>
        <w:tabs>
          <w:tab w:val="left" w:pos="6300"/>
        </w:tabs>
        <w:snapToGrid w:val="0"/>
        <w:spacing w:line="360" w:lineRule="auto"/>
        <w:ind w:firstLine="560" w:firstLineChars="200"/>
        <w:jc w:val="center"/>
        <w:rPr>
          <w:rFonts w:hint="eastAsia" w:ascii="方正仿宋_GBK" w:hAnsi="宋体" w:eastAsia="方正仿宋_GBK" w:cs="Times New Roman"/>
          <w:b/>
          <w:bCs/>
          <w:color w:val="auto"/>
          <w:sz w:val="28"/>
          <w:szCs w:val="28"/>
        </w:rPr>
      </w:pPr>
      <w:r>
        <w:rPr>
          <w:rFonts w:hint="eastAsia" w:ascii="方正仿宋_GBK" w:hAnsi="宋体" w:eastAsia="方正仿宋_GBK" w:cs="Times New Roman"/>
          <w:b/>
          <w:bCs/>
          <w:color w:val="auto"/>
          <w:sz w:val="28"/>
          <w:szCs w:val="28"/>
        </w:rPr>
        <w:t>报 价 表</w:t>
      </w:r>
    </w:p>
    <w:tbl>
      <w:tblPr>
        <w:tblStyle w:val="58"/>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1"/>
        <w:gridCol w:w="269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4791" w:type="dxa"/>
            <w:noWrap w:val="0"/>
            <w:vAlign w:val="center"/>
          </w:tcPr>
          <w:p>
            <w:pPr>
              <w:tabs>
                <w:tab w:val="left" w:pos="6300"/>
              </w:tabs>
              <w:snapToGrid w:val="0"/>
              <w:spacing w:line="360" w:lineRule="auto"/>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b/>
                <w:bCs/>
                <w:color w:val="auto"/>
                <w:sz w:val="24"/>
                <w:szCs w:val="24"/>
              </w:rPr>
              <w:t>项目名称</w:t>
            </w:r>
          </w:p>
        </w:tc>
        <w:tc>
          <w:tcPr>
            <w:tcW w:w="2693" w:type="dxa"/>
            <w:noWrap w:val="0"/>
            <w:vAlign w:val="center"/>
          </w:tcPr>
          <w:p>
            <w:pPr>
              <w:tabs>
                <w:tab w:val="left" w:pos="6300"/>
              </w:tabs>
              <w:snapToGrid w:val="0"/>
              <w:spacing w:line="360" w:lineRule="auto"/>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b/>
                <w:bCs/>
                <w:color w:val="auto"/>
                <w:sz w:val="24"/>
                <w:szCs w:val="24"/>
              </w:rPr>
              <w:t>费用</w:t>
            </w:r>
          </w:p>
        </w:tc>
        <w:tc>
          <w:tcPr>
            <w:tcW w:w="1418" w:type="dxa"/>
            <w:noWrap w:val="0"/>
            <w:vAlign w:val="center"/>
          </w:tcPr>
          <w:p>
            <w:pPr>
              <w:tabs>
                <w:tab w:val="left" w:pos="6300"/>
              </w:tabs>
              <w:snapToGrid w:val="0"/>
              <w:spacing w:line="360" w:lineRule="auto"/>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b/>
                <w:bCs/>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4791" w:type="dxa"/>
            <w:noWrap w:val="0"/>
            <w:vAlign w:val="center"/>
          </w:tcPr>
          <w:p>
            <w:pPr>
              <w:tabs>
                <w:tab w:val="left" w:pos="6300"/>
              </w:tabs>
              <w:snapToGrid w:val="0"/>
              <w:spacing w:line="360" w:lineRule="auto"/>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p>
        </w:tc>
        <w:tc>
          <w:tcPr>
            <w:tcW w:w="2693" w:type="dxa"/>
            <w:noWrap w:val="0"/>
            <w:vAlign w:val="center"/>
          </w:tcPr>
          <w:p>
            <w:pPr>
              <w:tabs>
                <w:tab w:val="left" w:pos="6300"/>
              </w:tabs>
              <w:snapToGrid w:val="0"/>
              <w:spacing w:line="360" w:lineRule="auto"/>
              <w:ind w:firstLine="480" w:firstLineChars="200"/>
              <w:rPr>
                <w:rFonts w:hint="eastAsia" w:ascii="方正仿宋_GBK" w:hAnsi="宋体" w:eastAsia="方正仿宋_GBK" w:cs="Times New Roman"/>
                <w:color w:val="auto"/>
                <w:sz w:val="24"/>
                <w:szCs w:val="24"/>
              </w:rPr>
            </w:pPr>
          </w:p>
        </w:tc>
        <w:tc>
          <w:tcPr>
            <w:tcW w:w="1418" w:type="dxa"/>
            <w:noWrap w:val="0"/>
            <w:vAlign w:val="center"/>
          </w:tcPr>
          <w:p>
            <w:pPr>
              <w:tabs>
                <w:tab w:val="left" w:pos="6300"/>
              </w:tabs>
              <w:snapToGrid w:val="0"/>
              <w:spacing w:line="360" w:lineRule="auto"/>
              <w:ind w:firstLine="480" w:firstLineChars="200"/>
              <w:rPr>
                <w:rFonts w:hint="eastAsia" w:ascii="方正仿宋_GBK" w:hAnsi="宋体" w:eastAsia="方正仿宋_GBK"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4791" w:type="dxa"/>
            <w:noWrap w:val="0"/>
            <w:vAlign w:val="center"/>
          </w:tcPr>
          <w:p>
            <w:pPr>
              <w:tabs>
                <w:tab w:val="left" w:pos="6300"/>
              </w:tabs>
              <w:snapToGrid w:val="0"/>
              <w:spacing w:line="360" w:lineRule="auto"/>
              <w:ind w:firstLine="480" w:firstLineChars="200"/>
              <w:rPr>
                <w:rFonts w:hint="default" w:ascii="方正仿宋_GBK" w:hAnsi="宋体" w:eastAsia="方正仿宋_GBK" w:cs="Times New Roman"/>
                <w:color w:val="auto"/>
                <w:sz w:val="24"/>
                <w:szCs w:val="24"/>
              </w:rPr>
            </w:pPr>
            <w:r>
              <w:rPr>
                <w:rFonts w:hint="default" w:ascii="方正仿宋_GBK" w:hAnsi="宋体" w:eastAsia="方正仿宋_GBK" w:cs="Times New Roman"/>
                <w:b/>
                <w:bCs/>
                <w:color w:val="auto"/>
                <w:sz w:val="24"/>
                <w:szCs w:val="24"/>
              </w:rPr>
              <w:t>工期</w:t>
            </w:r>
          </w:p>
        </w:tc>
        <w:tc>
          <w:tcPr>
            <w:tcW w:w="4111" w:type="dxa"/>
            <w:gridSpan w:val="2"/>
            <w:noWrap w:val="0"/>
            <w:vAlign w:val="center"/>
          </w:tcPr>
          <w:p>
            <w:pPr>
              <w:tabs>
                <w:tab w:val="left" w:pos="6300"/>
              </w:tabs>
              <w:snapToGrid w:val="0"/>
              <w:spacing w:line="360" w:lineRule="auto"/>
              <w:ind w:firstLine="480" w:firstLineChars="200"/>
              <w:rPr>
                <w:rFonts w:hint="eastAsia" w:ascii="方正仿宋_GBK" w:hAnsi="宋体" w:eastAsia="方正仿宋_GBK"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4791" w:type="dxa"/>
            <w:noWrap w:val="0"/>
            <w:vAlign w:val="center"/>
          </w:tcPr>
          <w:p>
            <w:pPr>
              <w:tabs>
                <w:tab w:val="left" w:pos="6300"/>
              </w:tabs>
              <w:snapToGrid w:val="0"/>
              <w:spacing w:line="360" w:lineRule="auto"/>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b/>
                <w:bCs/>
                <w:color w:val="auto"/>
                <w:sz w:val="24"/>
                <w:szCs w:val="24"/>
              </w:rPr>
              <w:t>总价</w:t>
            </w:r>
            <w:r>
              <w:rPr>
                <w:rFonts w:hint="eastAsia" w:ascii="方正仿宋_GBK" w:hAnsi="宋体" w:eastAsia="方正仿宋_GBK" w:cs="Times New Roman"/>
                <w:color w:val="auto"/>
                <w:sz w:val="24"/>
                <w:szCs w:val="24"/>
              </w:rPr>
              <w:t xml:space="preserve"> </w:t>
            </w:r>
          </w:p>
        </w:tc>
        <w:tc>
          <w:tcPr>
            <w:tcW w:w="4111" w:type="dxa"/>
            <w:gridSpan w:val="2"/>
            <w:noWrap w:val="0"/>
            <w:vAlign w:val="center"/>
          </w:tcPr>
          <w:p>
            <w:pPr>
              <w:tabs>
                <w:tab w:val="left" w:pos="6300"/>
              </w:tabs>
              <w:snapToGrid w:val="0"/>
              <w:spacing w:line="360" w:lineRule="auto"/>
              <w:ind w:firstLine="480" w:firstLineChars="200"/>
              <w:rPr>
                <w:rFonts w:hint="eastAsia" w:ascii="方正仿宋_GBK" w:hAnsi="宋体" w:eastAsia="方正仿宋_GBK" w:cs="Times New Roman"/>
                <w:color w:val="auto"/>
                <w:sz w:val="24"/>
                <w:szCs w:val="24"/>
              </w:rPr>
            </w:pPr>
          </w:p>
        </w:tc>
      </w:tr>
    </w:tbl>
    <w:p>
      <w:pPr>
        <w:tabs>
          <w:tab w:val="left" w:pos="6300"/>
        </w:tabs>
        <w:snapToGrid w:val="0"/>
        <w:spacing w:line="360" w:lineRule="auto"/>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备注：</w:t>
      </w:r>
      <w:r>
        <w:rPr>
          <w:rFonts w:hint="eastAsia" w:ascii="方正仿宋_GBK" w:hAnsi="宋体" w:eastAsia="方正仿宋_GBK" w:cs="Times New Roman"/>
          <w:color w:val="auto"/>
          <w:sz w:val="24"/>
          <w:szCs w:val="24"/>
          <w:lang w:eastAsia="zh-CN"/>
        </w:rPr>
        <w:t>响应</w:t>
      </w:r>
      <w:r>
        <w:rPr>
          <w:rFonts w:hint="eastAsia" w:ascii="方正仿宋_GBK" w:hAnsi="宋体" w:eastAsia="方正仿宋_GBK" w:cs="Times New Roman"/>
          <w:color w:val="auto"/>
          <w:sz w:val="24"/>
          <w:szCs w:val="24"/>
        </w:rPr>
        <w:t>报价为包干价，包含</w:t>
      </w:r>
      <w:r>
        <w:rPr>
          <w:rFonts w:hint="eastAsia" w:ascii="方正仿宋_GBK" w:hAnsi="宋体" w:eastAsia="方正仿宋_GBK"/>
          <w:color w:val="auto"/>
          <w:sz w:val="24"/>
          <w:szCs w:val="24"/>
          <w:lang w:val="en-US" w:eastAsia="zh-CN"/>
        </w:rPr>
        <w:t>场地管理及电费</w:t>
      </w:r>
      <w:r>
        <w:rPr>
          <w:rFonts w:hint="eastAsia" w:ascii="方正仿宋_GBK" w:hAnsi="宋体" w:eastAsia="方正仿宋_GBK"/>
          <w:color w:val="auto"/>
          <w:sz w:val="24"/>
          <w:szCs w:val="24"/>
        </w:rPr>
        <w:t>等各项费用</w:t>
      </w:r>
      <w:r>
        <w:rPr>
          <w:rFonts w:hint="eastAsia" w:ascii="方正仿宋_GBK" w:hAnsi="宋体" w:eastAsia="方正仿宋_GBK" w:cs="Times New Roman"/>
          <w:color w:val="auto"/>
          <w:sz w:val="24"/>
          <w:szCs w:val="24"/>
        </w:rPr>
        <w:t>各项费用。</w:t>
      </w:r>
    </w:p>
    <w:p>
      <w:pPr>
        <w:ind w:left="480"/>
        <w:rPr>
          <w:rFonts w:hint="eastAsia"/>
          <w:color w:val="auto"/>
        </w:rPr>
      </w:pPr>
    </w:p>
    <w:p>
      <w:pPr>
        <w:ind w:left="480"/>
        <w:rPr>
          <w:rFonts w:hint="eastAsia"/>
          <w:color w:val="auto"/>
        </w:rPr>
      </w:pPr>
    </w:p>
    <w:p>
      <w:pPr>
        <w:spacing w:line="500" w:lineRule="exact"/>
        <w:ind w:firstLine="525" w:firstLineChars="250"/>
        <w:rPr>
          <w:rFonts w:hint="eastAsia" w:ascii="方正仿宋_GBK" w:hAnsi="仿宋" w:eastAsia="方正仿宋_GBK"/>
          <w:color w:val="auto"/>
          <w:szCs w:val="28"/>
        </w:rPr>
      </w:pPr>
      <w:r>
        <w:rPr>
          <w:rFonts w:hint="eastAsia" w:ascii="方正仿宋_GBK" w:hAnsi="仿宋" w:eastAsia="方正仿宋_GBK"/>
          <w:color w:val="auto"/>
          <w:szCs w:val="28"/>
          <w:lang w:eastAsia="zh-CN"/>
        </w:rPr>
        <w:t>响应</w:t>
      </w:r>
      <w:r>
        <w:rPr>
          <w:rFonts w:hint="eastAsia" w:ascii="方正仿宋_GBK" w:hAnsi="仿宋" w:eastAsia="方正仿宋_GBK"/>
          <w:color w:val="auto"/>
          <w:szCs w:val="28"/>
        </w:rPr>
        <w:t>人：                       法定代表人或法定代表人授权代表：</w:t>
      </w:r>
    </w:p>
    <w:p>
      <w:pPr>
        <w:spacing w:line="500" w:lineRule="exact"/>
        <w:rPr>
          <w:rFonts w:hint="eastAsia" w:ascii="方正仿宋_GBK" w:hAnsi="仿宋" w:eastAsia="方正仿宋_GBK"/>
          <w:color w:val="auto"/>
          <w:szCs w:val="28"/>
        </w:rPr>
      </w:pPr>
      <w:r>
        <w:rPr>
          <w:rFonts w:hint="eastAsia" w:ascii="方正仿宋_GBK" w:hAnsi="仿宋" w:eastAsia="方正仿宋_GBK"/>
          <w:color w:val="auto"/>
          <w:szCs w:val="28"/>
        </w:rPr>
        <w:t xml:space="preserve"> （</w:t>
      </w:r>
      <w:r>
        <w:rPr>
          <w:rFonts w:hint="eastAsia" w:ascii="方正仿宋_GBK" w:hAnsi="仿宋" w:eastAsia="方正仿宋_GBK"/>
          <w:color w:val="auto"/>
          <w:szCs w:val="28"/>
          <w:lang w:eastAsia="zh-CN"/>
        </w:rPr>
        <w:t>响应</w:t>
      </w:r>
      <w:r>
        <w:rPr>
          <w:rFonts w:hint="eastAsia" w:ascii="方正仿宋_GBK" w:hAnsi="仿宋" w:eastAsia="方正仿宋_GBK"/>
          <w:color w:val="auto"/>
          <w:szCs w:val="28"/>
        </w:rPr>
        <w:t>人公章）                               （签字或盖章）</w:t>
      </w:r>
    </w:p>
    <w:p>
      <w:pPr>
        <w:spacing w:line="500" w:lineRule="exact"/>
        <w:ind w:firstLine="480"/>
        <w:rPr>
          <w:rFonts w:hint="eastAsia" w:ascii="方正仿宋_GBK" w:hAnsi="仿宋" w:eastAsia="方正仿宋_GBK"/>
          <w:color w:val="auto"/>
          <w:szCs w:val="28"/>
        </w:rPr>
      </w:pPr>
    </w:p>
    <w:p>
      <w:pPr>
        <w:spacing w:line="500" w:lineRule="exact"/>
        <w:ind w:firstLine="480"/>
        <w:rPr>
          <w:rFonts w:hint="eastAsia" w:ascii="方正仿宋_GBK" w:hAnsi="仿宋" w:eastAsia="方正仿宋_GBK"/>
          <w:color w:val="auto"/>
          <w:szCs w:val="28"/>
        </w:rPr>
      </w:pPr>
    </w:p>
    <w:p>
      <w:pPr>
        <w:snapToGrid w:val="0"/>
        <w:spacing w:line="500" w:lineRule="exact"/>
        <w:ind w:firstLine="480"/>
        <w:rPr>
          <w:rFonts w:hint="eastAsia" w:ascii="方正仿宋_GBK" w:hAnsi="仿宋" w:eastAsia="方正仿宋_GBK"/>
          <w:color w:val="auto"/>
          <w:szCs w:val="28"/>
        </w:rPr>
      </w:pPr>
      <w:r>
        <w:rPr>
          <w:rFonts w:hint="eastAsia" w:ascii="方正仿宋_GBK" w:hAnsi="仿宋" w:eastAsia="方正仿宋_GBK"/>
          <w:color w:val="auto"/>
          <w:szCs w:val="28"/>
        </w:rPr>
        <w:t xml:space="preserve">                                            年     月     日</w:t>
      </w:r>
    </w:p>
    <w:p>
      <w:pPr>
        <w:snapToGrid w:val="0"/>
        <w:spacing w:line="500" w:lineRule="exact"/>
        <w:ind w:firstLine="480"/>
        <w:rPr>
          <w:rFonts w:hint="eastAsia" w:ascii="方正仿宋_GBK" w:hAnsi="仿宋" w:eastAsia="方正仿宋_GBK"/>
          <w:color w:val="auto"/>
          <w:szCs w:val="28"/>
        </w:rPr>
      </w:pPr>
    </w:p>
    <w:p>
      <w:pPr>
        <w:snapToGrid w:val="0"/>
        <w:spacing w:line="500" w:lineRule="exact"/>
        <w:ind w:firstLine="480"/>
        <w:rPr>
          <w:rFonts w:hint="eastAsia" w:ascii="方正仿宋_GBK" w:hAnsi="仿宋" w:eastAsia="方正仿宋_GBK"/>
          <w:color w:val="auto"/>
          <w:szCs w:val="28"/>
        </w:rPr>
      </w:pPr>
      <w:r>
        <w:rPr>
          <w:rFonts w:hint="eastAsia" w:ascii="方正仿宋_GBK" w:hAnsi="仿宋" w:eastAsia="方正仿宋_GBK"/>
          <w:color w:val="auto"/>
          <w:szCs w:val="28"/>
        </w:rPr>
        <w:t>注：</w:t>
      </w:r>
    </w:p>
    <w:p>
      <w:pPr>
        <w:snapToGrid w:val="0"/>
        <w:spacing w:line="500" w:lineRule="exact"/>
        <w:ind w:firstLine="480"/>
        <w:rPr>
          <w:rFonts w:hint="eastAsia" w:ascii="方正仿宋_GBK" w:hAnsi="仿宋" w:eastAsia="方正仿宋_GBK"/>
          <w:color w:val="auto"/>
          <w:szCs w:val="28"/>
        </w:rPr>
      </w:pPr>
      <w:r>
        <w:rPr>
          <w:rFonts w:hint="eastAsia" w:ascii="方正仿宋_GBK" w:hAnsi="仿宋" w:eastAsia="方正仿宋_GBK"/>
          <w:color w:val="auto"/>
          <w:szCs w:val="28"/>
        </w:rPr>
        <w:t>1.请</w:t>
      </w:r>
      <w:r>
        <w:rPr>
          <w:rFonts w:hint="eastAsia" w:ascii="方正仿宋_GBK" w:hAnsi="仿宋" w:eastAsia="方正仿宋_GBK"/>
          <w:color w:val="auto"/>
          <w:szCs w:val="28"/>
          <w:lang w:eastAsia="zh-CN"/>
        </w:rPr>
        <w:t>响应</w:t>
      </w:r>
      <w:r>
        <w:rPr>
          <w:rFonts w:hint="eastAsia" w:ascii="方正仿宋_GBK" w:hAnsi="仿宋" w:eastAsia="方正仿宋_GBK"/>
          <w:color w:val="auto"/>
          <w:szCs w:val="28"/>
        </w:rPr>
        <w:t>人完整填写本表；</w:t>
      </w:r>
    </w:p>
    <w:p>
      <w:pPr>
        <w:snapToGrid w:val="0"/>
        <w:spacing w:line="500" w:lineRule="exact"/>
        <w:ind w:firstLine="480"/>
        <w:rPr>
          <w:rFonts w:hint="eastAsia" w:ascii="方正仿宋_GBK" w:hAnsi="仿宋" w:eastAsia="方正仿宋_GBK"/>
          <w:color w:val="auto"/>
          <w:szCs w:val="28"/>
        </w:rPr>
      </w:pPr>
      <w:r>
        <w:rPr>
          <w:rFonts w:hint="eastAsia" w:ascii="方正仿宋_GBK" w:hAnsi="仿宋" w:eastAsia="方正仿宋_GBK"/>
          <w:color w:val="auto"/>
          <w:szCs w:val="28"/>
        </w:rPr>
        <w:t>2</w:t>
      </w:r>
      <w:r>
        <w:rPr>
          <w:rFonts w:hint="eastAsia" w:ascii="方正仿宋_GBK" w:hAnsi="仿宋" w:eastAsia="方正仿宋_GBK"/>
          <w:color w:val="auto"/>
          <w:szCs w:val="28"/>
          <w:lang w:val="en-US" w:eastAsia="zh-CN"/>
        </w:rPr>
        <w:t>.</w:t>
      </w:r>
      <w:r>
        <w:rPr>
          <w:rFonts w:hint="eastAsia" w:ascii="方正仿宋_GBK" w:hAnsi="仿宋" w:eastAsia="方正仿宋_GBK"/>
          <w:color w:val="auto"/>
          <w:szCs w:val="28"/>
        </w:rPr>
        <w:t>该表可扩展</w:t>
      </w:r>
      <w:bookmarkStart w:id="172" w:name="OLE_LINK2"/>
      <w:bookmarkStart w:id="173" w:name="OLE_LINK1"/>
      <w:r>
        <w:rPr>
          <w:rFonts w:hint="eastAsia" w:ascii="方正仿宋_GBK" w:hAnsi="仿宋" w:eastAsia="方正仿宋_GBK"/>
          <w:color w:val="auto"/>
          <w:szCs w:val="28"/>
        </w:rPr>
        <w:t>，并逐页签字或盖章。</w:t>
      </w:r>
      <w:bookmarkEnd w:id="172"/>
      <w:bookmarkEnd w:id="173"/>
    </w:p>
    <w:p>
      <w:pPr>
        <w:ind w:left="480"/>
        <w:rPr>
          <w:rFonts w:hint="eastAsia"/>
          <w:color w:val="auto"/>
        </w:rPr>
      </w:pPr>
    </w:p>
    <w:p>
      <w:pPr>
        <w:snapToGrid w:val="0"/>
        <w:spacing w:line="560" w:lineRule="exact"/>
        <w:ind w:firstLine="420" w:firstLineChars="200"/>
        <w:rPr>
          <w:rFonts w:hint="eastAsia" w:ascii="方正仿宋_GBK" w:hAnsi="宋体" w:eastAsia="方正仿宋_GBK"/>
          <w:color w:val="auto"/>
          <w:szCs w:val="28"/>
        </w:rPr>
      </w:pP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7" w:type="default"/>
          <w:pgSz w:w="11907" w:h="16840"/>
          <w:pgMar w:top="1134" w:right="1191" w:bottom="1134" w:left="1304" w:header="851" w:footer="992" w:gutter="0"/>
          <w:cols w:space="720" w:num="1"/>
          <w:docGrid w:linePitch="380" w:charSpace="-5735"/>
        </w:sectPr>
      </w:pPr>
    </w:p>
    <w:p>
      <w:pPr>
        <w:rPr>
          <w:b/>
          <w:color w:val="auto"/>
          <w:sz w:val="24"/>
          <w:szCs w:val="24"/>
        </w:rPr>
      </w:pPr>
      <w:bookmarkStart w:id="174" w:name="_Toc342913420"/>
      <w:bookmarkStart w:id="175" w:name="_Toc485108797"/>
      <w:bookmarkStart w:id="176" w:name="_Toc480979019"/>
      <w:bookmarkStart w:id="177" w:name="_Toc313888361"/>
      <w:bookmarkStart w:id="178" w:name="_Toc313008357"/>
      <w:r>
        <w:rPr>
          <w:rFonts w:hint="eastAsia"/>
          <w:b/>
          <w:color w:val="auto"/>
          <w:sz w:val="24"/>
          <w:szCs w:val="24"/>
        </w:rPr>
        <w:t>二、服务部分</w:t>
      </w:r>
      <w:bookmarkEnd w:id="174"/>
      <w:bookmarkEnd w:id="175"/>
      <w:bookmarkEnd w:id="176"/>
      <w:bookmarkEnd w:id="177"/>
      <w:bookmarkEnd w:id="178"/>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仿宋" w:hAnsi="仿宋" w:eastAsia="仿宋" w:cs="仿宋"/>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5.若“响应情况”栏中仅填写“无偏离”或“有偏离”等内容而未作实质性参数描述，该供应商将</w:t>
      </w:r>
      <w:r>
        <w:rPr>
          <w:rFonts w:hint="eastAsia" w:ascii="方正仿宋_GBK" w:hAnsi="宋体" w:eastAsia="方正仿宋_GBK" w:cs="Times New Roman"/>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79" w:name="_Toc313888362"/>
      <w:bookmarkStart w:id="180" w:name="_Toc342913421"/>
      <w:bookmarkStart w:id="181" w:name="_Toc480979020"/>
      <w:bookmarkStart w:id="182" w:name="_Toc485108798"/>
      <w:bookmarkStart w:id="183" w:name="_Toc313008358"/>
      <w:r>
        <w:rPr>
          <w:rFonts w:hint="eastAsia"/>
          <w:b/>
          <w:color w:val="auto"/>
          <w:sz w:val="24"/>
          <w:szCs w:val="24"/>
        </w:rPr>
        <w:t>三、商务部分</w:t>
      </w:r>
      <w:bookmarkEnd w:id="179"/>
      <w:bookmarkEnd w:id="180"/>
      <w:bookmarkEnd w:id="181"/>
      <w:bookmarkEnd w:id="182"/>
      <w:bookmarkEnd w:id="183"/>
    </w:p>
    <w:p>
      <w:pPr>
        <w:spacing w:line="360" w:lineRule="auto"/>
        <w:ind w:firstLine="480" w:firstLineChars="200"/>
        <w:rPr>
          <w:rFonts w:ascii="仿宋" w:hAnsi="仿宋" w:eastAsia="仿宋" w:cs="仿宋"/>
          <w:color w:val="auto"/>
          <w:sz w:val="28"/>
          <w:szCs w:val="28"/>
        </w:rPr>
      </w:pPr>
      <w:r>
        <w:rPr>
          <w:rFonts w:hint="eastAsia" w:ascii="方正仿宋_GBK" w:hAnsi="宋体" w:eastAsia="方正仿宋_GBK" w:cs="Times New Roman"/>
          <w:color w:val="auto"/>
          <w:sz w:val="24"/>
          <w:szCs w:val="24"/>
        </w:rPr>
        <w:t>（一）</w:t>
      </w:r>
      <w:r>
        <w:rPr>
          <w:rFonts w:hint="eastAsia" w:ascii="仿宋" w:hAnsi="仿宋" w:eastAsia="仿宋" w:cs="仿宋"/>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84"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360" w:lineRule="auto"/>
        <w:ind w:firstLine="480" w:firstLineChars="200"/>
        <w:rPr>
          <w:rFonts w:ascii="仿宋" w:hAnsi="仿宋" w:eastAsia="仿宋" w:cs="仿宋"/>
          <w:color w:val="auto"/>
          <w:sz w:val="24"/>
          <w:szCs w:val="28"/>
        </w:rPr>
      </w:pPr>
      <w:r>
        <w:rPr>
          <w:rFonts w:hint="eastAsia" w:ascii="方正仿宋_GBK" w:hAnsi="宋体" w:eastAsia="方正仿宋_GBK" w:cs="Times New Roman"/>
          <w:color w:val="auto"/>
          <w:sz w:val="24"/>
          <w:szCs w:val="24"/>
        </w:rPr>
        <w:t>4.</w:t>
      </w:r>
      <w:r>
        <w:rPr>
          <w:rFonts w:hint="eastAsia" w:ascii="仿宋" w:hAnsi="仿宋" w:eastAsia="仿宋" w:cs="仿宋"/>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（一）营业执照（副本）</w:t>
      </w:r>
      <w:r>
        <w:rPr>
          <w:rFonts w:hint="eastAsia" w:ascii="方正仿宋_GBK" w:hAnsi="宋体" w:eastAsia="方正仿宋_GBK" w:cs="Times New Roman"/>
          <w:color w:val="auto"/>
          <w:sz w:val="28"/>
          <w:szCs w:val="28"/>
        </w:rPr>
        <w:t>或事业单位法人证书（副本）</w:t>
      </w:r>
      <w:r>
        <w:rPr>
          <w:rFonts w:hint="eastAsia" w:ascii="方正仿宋_GBK" w:hAnsi="宋体" w:eastAsia="方正仿宋_GBK" w:cs="Times New Roman"/>
          <w:color w:val="auto"/>
          <w:sz w:val="28"/>
          <w:szCs w:val="20"/>
        </w:rPr>
        <w:t>复印件</w:t>
      </w:r>
      <w:r>
        <w:rPr>
          <w:rFonts w:hint="eastAsia" w:ascii="方正仿宋_GBK" w:hAnsi="宋体" w:eastAsia="方正仿宋_GBK"/>
          <w:color w:val="auto"/>
          <w:sz w:val="24"/>
          <w:szCs w:val="24"/>
        </w:rPr>
        <w:t>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84"/>
      <w:bookmarkStart w:id="185" w:name="_Toc313008359"/>
      <w:bookmarkStart w:id="186" w:name="_Toc313888363"/>
      <w:bookmarkStart w:id="187" w:name="_Toc342913422"/>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85"/>
      <w:bookmarkEnd w:id="186"/>
      <w:bookmarkEnd w:id="187"/>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2020或2021年度财务状况报告（表）或其基本开户银行出具的资信证明复印件，本年度新成立或成立不满一年的组织和自然人无法提供财务状况报告（表）的，可提供银行出具的资信证明复印件。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88" w:name="OLE_LINK4"/>
      <w:bookmarkStart w:id="189" w:name="OLE_LINK7"/>
      <w:r>
        <w:rPr>
          <w:rFonts w:hint="eastAsia" w:ascii="方正仿宋_GBK" w:hAnsi="宋体" w:eastAsia="方正仿宋_GBK" w:cs="Times New Roman"/>
          <w:color w:val="auto"/>
          <w:sz w:val="28"/>
          <w:szCs w:val="20"/>
        </w:rPr>
        <w:t>（七）税务登记证（副本）复印件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（八）社会保险缴纳证明材料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bookmarkEnd w:id="188"/>
    <w:bookmarkEnd w:id="189"/>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rPr>
          <w:rFonts w:ascii="方正仿宋_GBK" w:hAnsi="宋体" w:eastAsia="方正仿宋_GBK" w:cs="Times New Roman"/>
          <w:color w:val="auto"/>
          <w:sz w:val="24"/>
          <w:szCs w:val="24"/>
        </w:rPr>
      </w:pPr>
    </w:p>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仿宋" w:hAnsi="仿宋" w:eastAsia="仿宋" w:cs="仿宋"/>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jc w:val="left"/>
        <w:rPr>
          <w:rFonts w:ascii="Times New Roman" w:hAnsi="Times New Roman" w:eastAsia="宋体" w:cs="Times New Roman"/>
          <w:color w:val="auto"/>
          <w:sz w:val="28"/>
          <w:szCs w:val="28"/>
        </w:rPr>
      </w:pPr>
      <w:r>
        <w:rPr>
          <w:rFonts w:hint="eastAsia" w:ascii="方正仿宋_GBK" w:hAnsi="宋体" w:eastAsia="方正仿宋_GBK" w:cs="Times New Roman"/>
          <w:color w:val="auto"/>
          <w:sz w:val="28"/>
          <w:szCs w:val="28"/>
        </w:rPr>
        <w:t>信用中国--行政处罚</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rFonts w:ascii="Times New Roman" w:hAnsi="Times New Roman" w:eastAsia="宋体" w:cs="Times New Roman"/>
          <w:color w:val="auto"/>
          <w:sz w:val="28"/>
          <w:szCs w:val="20"/>
        </w:rPr>
        <w:drawing>
          <wp:inline distT="0" distB="0" distL="0" distR="0">
            <wp:extent cx="5600700" cy="67151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00700" cy="6715125"/>
                    </a:xfrm>
                    <a:prstGeom prst="rect">
                      <a:avLst/>
                    </a:prstGeom>
                    <a:noFill/>
                    <a:ln>
                      <a:noFill/>
                    </a:ln>
                    <a:effectLst/>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bookmarkStart w:id="193" w:name="_GoBack"/>
      <w:bookmarkEnd w:id="193"/>
    </w:p>
    <w:p>
      <w:pPr>
        <w:jc w:val="left"/>
        <w:rPr>
          <w:rFonts w:ascii="方正仿宋_GBK" w:hAnsi="宋体" w:eastAsia="方正仿宋_GBK" w:cs="Times New Roman"/>
          <w:color w:val="auto"/>
          <w:sz w:val="28"/>
          <w:szCs w:val="28"/>
        </w:rPr>
      </w:pPr>
    </w:p>
    <w:p>
      <w:pPr>
        <w:jc w:val="left"/>
        <w:rPr>
          <w:rFonts w:ascii="Times New Roman" w:hAnsi="Times New Roman" w:eastAsia="宋体" w:cs="Times New Roman"/>
          <w:color w:val="auto"/>
          <w:sz w:val="28"/>
          <w:szCs w:val="28"/>
        </w:rPr>
      </w:pPr>
      <w:r>
        <w:rPr>
          <w:rFonts w:hint="eastAsia" w:ascii="方正仿宋_GBK" w:hAnsi="宋体" w:eastAsia="方正仿宋_GBK" w:cs="Times New Roman"/>
          <w:color w:val="auto"/>
          <w:sz w:val="28"/>
          <w:szCs w:val="28"/>
        </w:rPr>
        <w:t>信用中国--失信惩戒</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rFonts w:ascii="Times New Roman" w:hAnsi="Times New Roman" w:eastAsia="宋体" w:cs="Times New Roman"/>
          <w:color w:val="auto"/>
          <w:sz w:val="28"/>
          <w:szCs w:val="20"/>
        </w:rPr>
        <w:drawing>
          <wp:inline distT="0" distB="0" distL="0" distR="0">
            <wp:extent cx="5753100" cy="6838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53100" cy="6838950"/>
                    </a:xfrm>
                    <a:prstGeom prst="rect">
                      <a:avLst/>
                    </a:prstGeom>
                    <a:noFill/>
                    <a:ln>
                      <a:noFill/>
                    </a:ln>
                    <a:effectLst/>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r>
        <w:rPr>
          <w:rFonts w:hint="eastAsia" w:ascii="方正仿宋_GBK" w:hAnsi="宋体" w:eastAsia="方正仿宋_GBK" w:cs="Times New Roman"/>
          <w:color w:val="auto"/>
          <w:sz w:val="28"/>
          <w:szCs w:val="28"/>
        </w:rPr>
        <w:t>信用中国--重大税收违法案件当事人名单查询</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rFonts w:ascii="Times New Roman" w:hAnsi="Times New Roman" w:eastAsia="宋体" w:cs="Times New Roman"/>
          <w:color w:val="auto"/>
          <w:sz w:val="28"/>
          <w:szCs w:val="20"/>
        </w:rPr>
        <w:drawing>
          <wp:inline distT="0" distB="0" distL="0" distR="0">
            <wp:extent cx="5705475" cy="26574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05475" cy="2657475"/>
                    </a:xfrm>
                    <a:prstGeom prst="rect">
                      <a:avLst/>
                    </a:prstGeom>
                    <a:noFill/>
                    <a:ln>
                      <a:noFill/>
                    </a:ln>
                    <a:effectLst/>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r>
        <w:rPr>
          <w:rFonts w:hint="eastAsia" w:ascii="方正仿宋_GBK" w:hAnsi="宋体" w:eastAsia="方正仿宋_GBK" w:cs="Times New Roman"/>
          <w:color w:val="auto"/>
          <w:sz w:val="28"/>
          <w:szCs w:val="28"/>
        </w:rPr>
        <w:t>中国政府采购网--政府采购严重违法失信行为信息记录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rFonts w:ascii="Times New Roman" w:hAnsi="Times New Roman" w:eastAsia="宋体" w:cs="Times New Roman"/>
          <w:color w:val="auto"/>
          <w:sz w:val="28"/>
          <w:szCs w:val="20"/>
        </w:rPr>
        <w:drawing>
          <wp:inline distT="0" distB="0" distL="0" distR="0">
            <wp:extent cx="5724525" cy="6296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24525" cy="6296025"/>
                    </a:xfrm>
                    <a:prstGeom prst="rect">
                      <a:avLst/>
                    </a:prstGeom>
                    <a:noFill/>
                    <a:ln>
                      <a:noFill/>
                    </a:ln>
                    <a:effectLst/>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pStyle w:val="2"/>
        <w:bidi w:val="0"/>
        <w:jc w:val="center"/>
        <w:rPr>
          <w:rFonts w:hint="eastAsia" w:ascii="仿宋" w:hAnsi="仿宋" w:eastAsia="仿宋" w:cs="仿宋"/>
          <w:color w:val="auto"/>
          <w:sz w:val="36"/>
          <w:szCs w:val="36"/>
          <w:lang w:val="en-US" w:eastAsia="zh-CN"/>
        </w:rPr>
      </w:pPr>
      <w:bookmarkStart w:id="190" w:name="_Toc30608"/>
      <w:bookmarkStart w:id="191" w:name="_Toc19073"/>
      <w:bookmarkStart w:id="192" w:name="_Toc6296"/>
      <w:r>
        <w:rPr>
          <w:rFonts w:hint="eastAsia" w:ascii="仿宋" w:hAnsi="仿宋" w:eastAsia="仿宋" w:cs="仿宋"/>
          <w:color w:val="auto"/>
          <w:sz w:val="36"/>
          <w:szCs w:val="36"/>
          <w:lang w:val="en-US" w:eastAsia="zh-CN"/>
        </w:rPr>
        <w:t>重庆医科大学附属永川医院</w:t>
      </w:r>
    </w:p>
    <w:p>
      <w:pPr>
        <w:pStyle w:val="2"/>
        <w:bidi w:val="0"/>
        <w:jc w:val="center"/>
        <w:rPr>
          <w:rFonts w:hint="eastAsia" w:ascii="仿宋" w:hAnsi="仿宋" w:eastAsia="仿宋" w:cs="仿宋"/>
          <w:color w:val="auto"/>
          <w:sz w:val="36"/>
          <w:szCs w:val="36"/>
          <w:lang w:val="en-US" w:eastAsia="zh-CN"/>
        </w:rPr>
      </w:pPr>
      <w:r>
        <w:rPr>
          <w:rFonts w:hint="eastAsia" w:ascii="仿宋" w:hAnsi="仿宋" w:eastAsia="仿宋" w:cs="仿宋"/>
          <w:color w:val="auto"/>
          <w:sz w:val="36"/>
          <w:szCs w:val="36"/>
          <w:lang w:val="en-US" w:eastAsia="zh-CN"/>
        </w:rPr>
        <w:t>参加医院院内采购活动来院人员</w:t>
      </w:r>
    </w:p>
    <w:p>
      <w:pPr>
        <w:pStyle w:val="2"/>
        <w:bidi w:val="0"/>
        <w:jc w:val="center"/>
        <w:rPr>
          <w:rFonts w:hint="eastAsia" w:ascii="仿宋" w:hAnsi="仿宋" w:eastAsia="仿宋" w:cs="仿宋"/>
          <w:color w:val="auto"/>
          <w:sz w:val="36"/>
          <w:szCs w:val="36"/>
          <w:lang w:eastAsia="zh-CN"/>
        </w:rPr>
      </w:pPr>
      <w:r>
        <w:rPr>
          <w:rFonts w:hint="eastAsia" w:ascii="仿宋" w:hAnsi="仿宋" w:eastAsia="仿宋" w:cs="仿宋"/>
          <w:color w:val="auto"/>
          <w:sz w:val="36"/>
          <w:szCs w:val="36"/>
        </w:rPr>
        <w:t>新冠肺炎疫情防控工作</w:t>
      </w:r>
      <w:r>
        <w:rPr>
          <w:rFonts w:hint="eastAsia" w:ascii="仿宋" w:hAnsi="仿宋" w:eastAsia="仿宋" w:cs="仿宋"/>
          <w:color w:val="auto"/>
          <w:sz w:val="36"/>
          <w:szCs w:val="36"/>
          <w:lang w:eastAsia="zh-CN"/>
        </w:rPr>
        <w:t>告知书</w:t>
      </w:r>
      <w:bookmarkEnd w:id="190"/>
      <w:bookmarkEnd w:id="191"/>
      <w:bookmarkEnd w:id="192"/>
    </w:p>
    <w:p>
      <w:pPr>
        <w:pStyle w:val="35"/>
        <w:rPr>
          <w:rFonts w:hint="eastAsia"/>
          <w:color w:val="auto"/>
          <w:lang w:eastAsia="zh-CN"/>
        </w:rPr>
      </w:pPr>
    </w:p>
    <w:p>
      <w:pPr>
        <w:pStyle w:val="35"/>
        <w:rPr>
          <w:rFonts w:hint="eastAsia"/>
          <w:color w:val="auto"/>
        </w:rPr>
      </w:pP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为切实保障</w:t>
      </w:r>
      <w:r>
        <w:rPr>
          <w:rFonts w:hint="eastAsia" w:ascii="方正仿宋_GBK" w:hAnsi="宋体" w:eastAsia="方正仿宋_GBK" w:cs="Times New Roman"/>
          <w:color w:val="auto"/>
          <w:sz w:val="24"/>
          <w:szCs w:val="24"/>
          <w:lang w:eastAsia="zh-CN"/>
        </w:rPr>
        <w:t>本院疫情防控安全，维持正常工作</w:t>
      </w:r>
      <w:r>
        <w:rPr>
          <w:rFonts w:hint="eastAsia" w:ascii="方正仿宋_GBK" w:hAnsi="宋体" w:eastAsia="方正仿宋_GBK" w:cs="Times New Roman"/>
          <w:color w:val="auto"/>
          <w:sz w:val="24"/>
          <w:szCs w:val="24"/>
        </w:rPr>
        <w:t>秩序，根据《</w:t>
      </w:r>
      <w:r>
        <w:rPr>
          <w:rFonts w:hint="default" w:ascii="方正仿宋_GBK" w:hAnsi="宋体" w:eastAsia="方正仿宋_GBK" w:cs="Times New Roman"/>
          <w:color w:val="auto"/>
          <w:sz w:val="24"/>
          <w:szCs w:val="24"/>
          <w:lang w:val="en-US" w:eastAsia="zh-CN"/>
        </w:rPr>
        <w:t>关于做好</w:t>
      </w:r>
      <w:r>
        <w:rPr>
          <w:rFonts w:hint="eastAsia" w:ascii="方正仿宋_GBK" w:hAnsi="宋体" w:eastAsia="方正仿宋_GBK" w:cs="Times New Roman"/>
          <w:color w:val="auto"/>
          <w:sz w:val="24"/>
          <w:szCs w:val="24"/>
          <w:lang w:val="en-US" w:eastAsia="zh-CN"/>
        </w:rPr>
        <w:t>当前国内重点地区</w:t>
      </w:r>
      <w:r>
        <w:rPr>
          <w:rFonts w:hint="default" w:ascii="方正仿宋_GBK" w:hAnsi="宋体" w:eastAsia="方正仿宋_GBK" w:cs="Times New Roman"/>
          <w:color w:val="auto"/>
          <w:sz w:val="24"/>
          <w:szCs w:val="24"/>
          <w:lang w:eastAsia="zh-CN"/>
        </w:rPr>
        <w:t>来渝返渝人员</w:t>
      </w:r>
      <w:r>
        <w:rPr>
          <w:rFonts w:hint="eastAsia" w:ascii="方正仿宋_GBK" w:hAnsi="宋体" w:eastAsia="方正仿宋_GBK" w:cs="Times New Roman"/>
          <w:color w:val="auto"/>
          <w:sz w:val="24"/>
          <w:szCs w:val="24"/>
          <w:lang w:val="en-US" w:eastAsia="zh-CN"/>
        </w:rPr>
        <w:t>健康管理</w:t>
      </w:r>
      <w:r>
        <w:rPr>
          <w:rFonts w:hint="default" w:ascii="方正仿宋_GBK" w:hAnsi="宋体" w:eastAsia="方正仿宋_GBK" w:cs="Times New Roman"/>
          <w:color w:val="auto"/>
          <w:sz w:val="24"/>
          <w:szCs w:val="24"/>
          <w:lang w:eastAsia="zh-CN"/>
        </w:rPr>
        <w:t>的通知</w:t>
      </w:r>
      <w:r>
        <w:rPr>
          <w:rFonts w:hint="eastAsia" w:ascii="方正仿宋_GBK" w:hAnsi="宋体" w:eastAsia="方正仿宋_GBK" w:cs="Times New Roman"/>
          <w:color w:val="auto"/>
          <w:sz w:val="24"/>
          <w:szCs w:val="24"/>
        </w:rPr>
        <w:t>》（</w:t>
      </w:r>
      <w:r>
        <w:rPr>
          <w:rFonts w:hint="default" w:ascii="方正仿宋_GBK" w:hAnsi="宋体" w:eastAsia="方正仿宋_GBK" w:cs="Times New Roman"/>
          <w:color w:val="auto"/>
          <w:sz w:val="24"/>
          <w:szCs w:val="24"/>
          <w:lang w:eastAsia="zh-CN"/>
        </w:rPr>
        <w:t>渝肺炎组疫发〔202</w:t>
      </w:r>
      <w:r>
        <w:rPr>
          <w:rFonts w:hint="eastAsia" w:ascii="方正仿宋_GBK" w:hAnsi="宋体" w:eastAsia="方正仿宋_GBK" w:cs="Times New Roman"/>
          <w:color w:val="auto"/>
          <w:sz w:val="24"/>
          <w:szCs w:val="24"/>
          <w:lang w:val="en-US" w:eastAsia="zh-CN"/>
        </w:rPr>
        <w:t>2</w:t>
      </w:r>
      <w:r>
        <w:rPr>
          <w:rFonts w:hint="default"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3</w:t>
      </w:r>
      <w:r>
        <w:rPr>
          <w:rFonts w:hint="default" w:ascii="方正仿宋_GBK" w:hAnsi="宋体" w:eastAsia="方正仿宋_GBK" w:cs="Times New Roman"/>
          <w:color w:val="auto"/>
          <w:sz w:val="24"/>
          <w:szCs w:val="24"/>
          <w:lang w:eastAsia="zh-CN"/>
        </w:rPr>
        <w:t>号</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《疫情期间工作人员离永返永返岗管理制度的通知》</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重医永川医院肺炎组〔2021〕13号），结</w:t>
      </w:r>
      <w:r>
        <w:rPr>
          <w:rFonts w:hint="eastAsia" w:ascii="方正仿宋_GBK" w:hAnsi="宋体" w:eastAsia="方正仿宋_GBK" w:cs="Times New Roman"/>
          <w:color w:val="auto"/>
          <w:sz w:val="24"/>
          <w:szCs w:val="24"/>
          <w:lang w:eastAsia="zh-CN"/>
        </w:rPr>
        <w:t>合本院实际，</w:t>
      </w:r>
      <w:r>
        <w:rPr>
          <w:rFonts w:hint="eastAsia" w:ascii="方正仿宋_GBK" w:hAnsi="宋体" w:eastAsia="方正仿宋_GBK" w:cs="Times New Roman"/>
          <w:color w:val="auto"/>
          <w:sz w:val="24"/>
          <w:szCs w:val="24"/>
        </w:rPr>
        <w:t>现就持续统筹做好疫情防控工作</w:t>
      </w:r>
      <w:r>
        <w:rPr>
          <w:rFonts w:hint="eastAsia" w:ascii="方正仿宋_GBK" w:hAnsi="宋体" w:eastAsia="方正仿宋_GBK" w:cs="Times New Roman"/>
          <w:color w:val="auto"/>
          <w:sz w:val="24"/>
          <w:szCs w:val="24"/>
          <w:lang w:eastAsia="zh-CN"/>
        </w:rPr>
        <w:t>告知</w:t>
      </w:r>
      <w:r>
        <w:rPr>
          <w:rFonts w:hint="eastAsia" w:ascii="方正仿宋_GBK" w:hAnsi="宋体" w:eastAsia="方正仿宋_GBK" w:cs="Times New Roman"/>
          <w:color w:val="auto"/>
          <w:sz w:val="24"/>
          <w:szCs w:val="24"/>
        </w:rPr>
        <w:t>如下</w:t>
      </w:r>
      <w:r>
        <w:rPr>
          <w:rFonts w:hint="eastAsia" w:ascii="方正仿宋_GBK" w:hAnsi="宋体" w:eastAsia="方正仿宋_GBK" w:cs="Times New Roman"/>
          <w:color w:val="auto"/>
          <w:sz w:val="24"/>
          <w:szCs w:val="24"/>
          <w:lang w:eastAsia="zh-CN"/>
        </w:rPr>
        <w:t>，请配合完成。</w:t>
      </w:r>
    </w:p>
    <w:p>
      <w:pPr>
        <w:widowControl/>
        <w:spacing w:line="400" w:lineRule="exact"/>
        <w:ind w:firstLine="480" w:firstLineChars="200"/>
        <w:jc w:val="left"/>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1、所有到重庆医科大学附属永川医院参加采购相关活动的人员，均参照本医院职工疫情管理规定执行。</w:t>
      </w: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境内重点地区来渝返渝人员</w:t>
      </w:r>
      <w:r>
        <w:rPr>
          <w:rFonts w:hint="eastAsia" w:ascii="方正仿宋_GBK" w:hAnsi="宋体" w:eastAsia="方正仿宋_GBK" w:cs="Times New Roman"/>
          <w:color w:val="auto"/>
          <w:sz w:val="24"/>
          <w:szCs w:val="24"/>
          <w:lang w:eastAsia="zh-CN"/>
        </w:rPr>
        <w:t>实行</w:t>
      </w:r>
      <w:r>
        <w:rPr>
          <w:rFonts w:hint="eastAsia" w:ascii="方正仿宋_GBK" w:hAnsi="宋体" w:eastAsia="方正仿宋_GBK" w:cs="Times New Roman"/>
          <w:color w:val="auto"/>
          <w:sz w:val="24"/>
          <w:szCs w:val="24"/>
        </w:rPr>
        <w:t>分类管理</w:t>
      </w:r>
      <w:r>
        <w:rPr>
          <w:rFonts w:hint="eastAsia" w:ascii="方正仿宋_GBK" w:hAnsi="宋体" w:eastAsia="方正仿宋_GBK" w:cs="Times New Roman"/>
          <w:color w:val="auto"/>
          <w:sz w:val="24"/>
          <w:szCs w:val="24"/>
          <w:lang w:eastAsia="zh-CN"/>
        </w:rPr>
        <w:t>，具体如下：</w:t>
      </w: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对高、中风险区来渝返渝人员和外省（区、市）确定的特定时段、特定空间高风险人群，施行集中隔离医学观察，第1、4、7、10、14天各做1次核酸检测。</w:t>
      </w:r>
      <w:r>
        <w:rPr>
          <w:rFonts w:hint="eastAsia" w:ascii="方正仿宋_GBK" w:hAnsi="宋体" w:eastAsia="方正仿宋_GBK" w:cs="Times New Roman"/>
          <w:color w:val="auto"/>
          <w:sz w:val="24"/>
          <w:szCs w:val="24"/>
          <w:lang w:eastAsia="zh-CN"/>
        </w:rPr>
        <w:t>到本院办事须持集中医学观察期间</w:t>
      </w:r>
      <w:r>
        <w:rPr>
          <w:rFonts w:hint="eastAsia" w:ascii="方正仿宋_GBK" w:hAnsi="宋体" w:eastAsia="方正仿宋_GBK" w:cs="Times New Roman"/>
          <w:color w:val="auto"/>
          <w:sz w:val="24"/>
          <w:szCs w:val="24"/>
          <w:lang w:val="en-US" w:eastAsia="zh-CN"/>
        </w:rPr>
        <w:t>5次核酸阴性证明+</w:t>
      </w:r>
      <w:r>
        <w:rPr>
          <w:rFonts w:hint="eastAsia" w:ascii="方正仿宋_GBK" w:hAnsi="宋体" w:eastAsia="方正仿宋_GBK" w:cs="Times New Roman"/>
          <w:color w:val="auto"/>
          <w:sz w:val="24"/>
          <w:szCs w:val="24"/>
          <w:lang w:eastAsia="zh-CN"/>
        </w:rPr>
        <w:t>解除隔离证明</w:t>
      </w:r>
      <w:r>
        <w:rPr>
          <w:rFonts w:hint="eastAsia" w:ascii="方正仿宋_GBK" w:hAnsi="宋体" w:eastAsia="方正仿宋_GBK" w:cs="Times New Roman"/>
          <w:color w:val="auto"/>
          <w:sz w:val="24"/>
          <w:szCs w:val="24"/>
          <w:lang w:val="en-US" w:eastAsia="zh-CN"/>
        </w:rPr>
        <w:t>+健康绿码+行程码，</w:t>
      </w:r>
      <w:r>
        <w:rPr>
          <w:rFonts w:hint="eastAsia" w:ascii="方正仿宋_GBK" w:hAnsi="宋体" w:eastAsia="方正仿宋_GBK" w:cs="Times New Roman"/>
          <w:color w:val="auto"/>
          <w:sz w:val="24"/>
          <w:szCs w:val="24"/>
          <w:lang w:eastAsia="zh-CN"/>
        </w:rPr>
        <w:t>无法提供者严禁到本院办事。</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对高风险区所在县（市、区）的其他低风险地区来渝返渝人员，施行7天居家隔离+7天健康监测（第1、7、10、14天各做1次核酸检测）。</w:t>
      </w:r>
      <w:r>
        <w:rPr>
          <w:rFonts w:hint="eastAsia" w:ascii="方正仿宋_GBK" w:hAnsi="宋体" w:eastAsia="方正仿宋_GBK" w:cs="Times New Roman"/>
          <w:color w:val="auto"/>
          <w:sz w:val="24"/>
          <w:szCs w:val="24"/>
          <w:lang w:eastAsia="zh-CN"/>
        </w:rPr>
        <w:t>到本院办事须持居家隔离和健康监测期间</w:t>
      </w:r>
      <w:r>
        <w:rPr>
          <w:rFonts w:hint="eastAsia" w:ascii="方正仿宋_GBK" w:hAnsi="宋体" w:eastAsia="方正仿宋_GBK" w:cs="Times New Roman"/>
          <w:color w:val="auto"/>
          <w:sz w:val="24"/>
          <w:szCs w:val="24"/>
          <w:lang w:val="en-US" w:eastAsia="zh-CN"/>
        </w:rPr>
        <w:t>4次核酸阴性证明</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对中风险区所在县（市、区）的其他低风险区来渝返渝人员和外省（区、市）高风险岗位的来渝返渝人员（自行申报），实施14天自我健康监测（第1、7、10、14天各做1次核酸检测，前</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次检测结果出来之前原则上居家观察）。</w:t>
      </w:r>
      <w:r>
        <w:rPr>
          <w:rFonts w:hint="eastAsia" w:ascii="方正仿宋_GBK" w:hAnsi="宋体" w:eastAsia="方正仿宋_GBK" w:cs="Times New Roman"/>
          <w:color w:val="auto"/>
          <w:sz w:val="24"/>
          <w:szCs w:val="24"/>
          <w:lang w:eastAsia="zh-CN"/>
        </w:rPr>
        <w:t>到本院办事须持</w:t>
      </w:r>
      <w:r>
        <w:rPr>
          <w:rFonts w:hint="eastAsia" w:ascii="方正仿宋_GBK" w:hAnsi="宋体" w:eastAsia="方正仿宋_GBK" w:cs="Times New Roman"/>
          <w:color w:val="auto"/>
          <w:sz w:val="24"/>
          <w:szCs w:val="24"/>
        </w:rPr>
        <w:t>健康监测</w:t>
      </w:r>
      <w:r>
        <w:rPr>
          <w:rFonts w:hint="eastAsia" w:ascii="方正仿宋_GBK" w:hAnsi="宋体" w:eastAsia="方正仿宋_GBK" w:cs="Times New Roman"/>
          <w:color w:val="auto"/>
          <w:sz w:val="24"/>
          <w:szCs w:val="24"/>
          <w:lang w:eastAsia="zh-CN"/>
        </w:rPr>
        <w:t>期间</w:t>
      </w:r>
      <w:r>
        <w:rPr>
          <w:rFonts w:hint="eastAsia" w:ascii="方正仿宋_GBK" w:hAnsi="宋体" w:eastAsia="方正仿宋_GBK" w:cs="Times New Roman"/>
          <w:color w:val="auto"/>
          <w:sz w:val="24"/>
          <w:szCs w:val="24"/>
          <w:lang w:val="en-US" w:eastAsia="zh-CN"/>
        </w:rPr>
        <w:t>前2次核酸阴性证明+健康绿码+行程码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对高、中风险区所在地市的其他县（市、区）来渝返渝人员和未划定高、中风险区但出现本土病例的所在地市来渝返渝人员，实施7天自我健康监测（在</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天内完成2次核酸检测，2次采样间隔至少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小时，2次检测结果出来前原则上居家观察）。</w:t>
      </w:r>
      <w:r>
        <w:rPr>
          <w:rFonts w:hint="eastAsia" w:ascii="方正仿宋_GBK" w:hAnsi="宋体" w:eastAsia="方正仿宋_GBK" w:cs="Times New Roman"/>
          <w:color w:val="auto"/>
          <w:sz w:val="24"/>
          <w:szCs w:val="24"/>
          <w:lang w:eastAsia="zh-CN"/>
        </w:rPr>
        <w:t>到本院办事须持</w:t>
      </w:r>
      <w:r>
        <w:rPr>
          <w:rFonts w:hint="eastAsia" w:ascii="方正仿宋_GBK" w:hAnsi="宋体" w:eastAsia="方正仿宋_GBK" w:cs="Times New Roman"/>
          <w:color w:val="auto"/>
          <w:sz w:val="24"/>
          <w:szCs w:val="24"/>
        </w:rPr>
        <w:t>健康监测</w:t>
      </w:r>
      <w:r>
        <w:rPr>
          <w:rFonts w:hint="eastAsia" w:ascii="方正仿宋_GBK" w:hAnsi="宋体" w:eastAsia="方正仿宋_GBK" w:cs="Times New Roman"/>
          <w:color w:val="auto"/>
          <w:sz w:val="24"/>
          <w:szCs w:val="24"/>
          <w:lang w:eastAsia="zh-CN"/>
        </w:rPr>
        <w:t>期间</w:t>
      </w:r>
      <w:r>
        <w:rPr>
          <w:rFonts w:hint="eastAsia" w:ascii="方正仿宋_GBK" w:hAnsi="宋体" w:eastAsia="方正仿宋_GBK" w:cs="Times New Roman"/>
          <w:color w:val="auto"/>
          <w:sz w:val="24"/>
          <w:szCs w:val="24"/>
          <w:lang w:val="en-US" w:eastAsia="zh-CN"/>
        </w:rPr>
        <w:t>2次核酸（</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val="en-US" w:eastAsia="zh-CN"/>
        </w:rPr>
        <w:t>）阴性证明+健康绿码+行程码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default" w:ascii="方正仿宋_GBK" w:hAnsi="宋体" w:eastAsia="方正仿宋_GBK" w:cs="Times New Roman"/>
          <w:color w:val="auto"/>
          <w:sz w:val="24"/>
          <w:szCs w:val="24"/>
          <w:lang w:val="en-US" w:eastAsia="zh-CN"/>
        </w:rPr>
      </w:pPr>
      <w:r>
        <w:rPr>
          <w:rFonts w:hint="default" w:ascii="方正仿宋_GBK" w:hAnsi="宋体" w:eastAsia="方正仿宋_GBK" w:cs="Times New Roman"/>
          <w:color w:val="auto"/>
          <w:sz w:val="24"/>
          <w:szCs w:val="24"/>
        </w:rPr>
        <w:t>（5）除外上述情形的市外低风险区来渝返渝人员，参照第（4）条执行</w:t>
      </w:r>
      <w:r>
        <w:rPr>
          <w:rFonts w:hint="eastAsia" w:ascii="方正仿宋_GBK" w:hAnsi="宋体" w:eastAsia="方正仿宋_GBK" w:cs="Times New Roman"/>
          <w:color w:val="auto"/>
          <w:sz w:val="24"/>
          <w:szCs w:val="24"/>
          <w:lang w:eastAsia="zh-CN"/>
        </w:rPr>
        <w:t>，原则上需</w:t>
      </w:r>
      <w:r>
        <w:rPr>
          <w:rFonts w:hint="eastAsia" w:ascii="方正仿宋_GBK" w:hAnsi="宋体" w:eastAsia="方正仿宋_GBK" w:cs="Times New Roman"/>
          <w:color w:val="auto"/>
          <w:sz w:val="24"/>
          <w:szCs w:val="24"/>
          <w:lang w:val="en-US" w:eastAsia="zh-CN"/>
        </w:rPr>
        <w:t>进行</w:t>
      </w:r>
      <w:r>
        <w:rPr>
          <w:rFonts w:hint="eastAsia" w:ascii="方正仿宋_GBK" w:hAnsi="宋体" w:eastAsia="方正仿宋_GBK" w:cs="Times New Roman"/>
          <w:color w:val="auto"/>
          <w:sz w:val="24"/>
          <w:szCs w:val="24"/>
        </w:rPr>
        <w:t>2次</w:t>
      </w:r>
      <w:r>
        <w:rPr>
          <w:rFonts w:hint="eastAsia" w:ascii="方正仿宋_GBK" w:hAnsi="宋体" w:eastAsia="方正仿宋_GBK" w:cs="Times New Roman"/>
          <w:color w:val="auto"/>
          <w:sz w:val="24"/>
          <w:szCs w:val="24"/>
          <w:lang w:eastAsia="zh-CN"/>
        </w:rPr>
        <w:t>核酸</w:t>
      </w:r>
      <w:r>
        <w:rPr>
          <w:rFonts w:hint="eastAsia" w:ascii="方正仿宋_GBK" w:hAnsi="宋体" w:eastAsia="方正仿宋_GBK" w:cs="Times New Roman"/>
          <w:color w:val="auto"/>
          <w:sz w:val="24"/>
          <w:szCs w:val="24"/>
        </w:rPr>
        <w:t>检测</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eastAsia="zh-CN"/>
        </w:rPr>
        <w:t>）且</w:t>
      </w:r>
      <w:r>
        <w:rPr>
          <w:rFonts w:hint="eastAsia" w:ascii="方正仿宋_GBK" w:hAnsi="宋体" w:eastAsia="方正仿宋_GBK" w:cs="Times New Roman"/>
          <w:color w:val="auto"/>
          <w:sz w:val="24"/>
          <w:szCs w:val="24"/>
        </w:rPr>
        <w:t>结果</w:t>
      </w:r>
      <w:r>
        <w:rPr>
          <w:rFonts w:hint="eastAsia" w:ascii="方正仿宋_GBK" w:hAnsi="宋体" w:eastAsia="方正仿宋_GBK" w:cs="Times New Roman"/>
          <w:color w:val="auto"/>
          <w:sz w:val="24"/>
          <w:szCs w:val="24"/>
          <w:lang w:eastAsia="zh-CN"/>
        </w:rPr>
        <w:t>阴性方可来本院办事，到本院办事须持</w:t>
      </w:r>
      <w:r>
        <w:rPr>
          <w:rFonts w:hint="eastAsia" w:ascii="方正仿宋_GBK" w:hAnsi="宋体" w:eastAsia="方正仿宋_GBK" w:cs="Times New Roman"/>
          <w:color w:val="auto"/>
          <w:sz w:val="24"/>
          <w:szCs w:val="24"/>
          <w:lang w:val="en-US" w:eastAsia="zh-CN"/>
        </w:rPr>
        <w:t>2次核酸（</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val="en-US" w:eastAsia="zh-CN"/>
        </w:rPr>
        <w:t>）阴性证明+健康绿码+行程码，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color w:val="auto"/>
        </w:rPr>
      </w:pPr>
      <w:r>
        <w:rPr>
          <w:rFonts w:hint="eastAsia" w:ascii="方正仿宋_GBK" w:hAnsi="宋体" w:eastAsia="方正仿宋_GBK" w:cs="Times New Roman"/>
          <w:color w:val="auto"/>
          <w:sz w:val="24"/>
          <w:szCs w:val="24"/>
          <w:lang w:val="en-US" w:eastAsia="zh-CN"/>
        </w:rPr>
        <w:t>3、重庆市内人员持48小时内核酸检测阴性证明+健康绿码+行程码。如重庆市发现本土疫情，则严格按照上级要求执行相关管理规定。</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spacing w:line="360" w:lineRule="auto"/>
        <w:jc w:val="both"/>
        <w:rPr>
          <w:color w:val="auto"/>
        </w:rPr>
      </w:pPr>
    </w:p>
    <w:sectPr>
      <w:headerReference r:id="rId8" w:type="default"/>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0000009F" w:csb1="0000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黑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0000000000000000000"/>
    <w:charset w:val="86"/>
    <w:family w:val="script"/>
    <w:pitch w:val="default"/>
    <w:sig w:usb0="00000000" w:usb1="00000000" w:usb2="0000000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75D66"/>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44D0580"/>
    <w:rsid w:val="06134191"/>
    <w:rsid w:val="07F26429"/>
    <w:rsid w:val="0C6457E9"/>
    <w:rsid w:val="0D261C67"/>
    <w:rsid w:val="0E4D3D6E"/>
    <w:rsid w:val="10520046"/>
    <w:rsid w:val="130557FA"/>
    <w:rsid w:val="131C3185"/>
    <w:rsid w:val="147519D9"/>
    <w:rsid w:val="16AE7CA6"/>
    <w:rsid w:val="16D276A1"/>
    <w:rsid w:val="1B1E0C1D"/>
    <w:rsid w:val="1BCB29BD"/>
    <w:rsid w:val="1FB363CA"/>
    <w:rsid w:val="20AF3BB4"/>
    <w:rsid w:val="20F55255"/>
    <w:rsid w:val="216B497A"/>
    <w:rsid w:val="255D585E"/>
    <w:rsid w:val="25B7688A"/>
    <w:rsid w:val="25D64599"/>
    <w:rsid w:val="25F45961"/>
    <w:rsid w:val="26601EF7"/>
    <w:rsid w:val="28683951"/>
    <w:rsid w:val="28CA01D8"/>
    <w:rsid w:val="29EE4238"/>
    <w:rsid w:val="2A0E7B5E"/>
    <w:rsid w:val="2C3D4D16"/>
    <w:rsid w:val="2D283A83"/>
    <w:rsid w:val="2E6F28C9"/>
    <w:rsid w:val="2E9B222D"/>
    <w:rsid w:val="2EC23B27"/>
    <w:rsid w:val="2F120DF9"/>
    <w:rsid w:val="2FBC45F2"/>
    <w:rsid w:val="32EE5B05"/>
    <w:rsid w:val="351E3993"/>
    <w:rsid w:val="35765D14"/>
    <w:rsid w:val="376B48D5"/>
    <w:rsid w:val="37F2039A"/>
    <w:rsid w:val="396711E1"/>
    <w:rsid w:val="3BFF4289"/>
    <w:rsid w:val="3C580353"/>
    <w:rsid w:val="3C610669"/>
    <w:rsid w:val="3C647529"/>
    <w:rsid w:val="42C341BE"/>
    <w:rsid w:val="443A563E"/>
    <w:rsid w:val="44501A81"/>
    <w:rsid w:val="470D149B"/>
    <w:rsid w:val="484A2C8B"/>
    <w:rsid w:val="492C6FBB"/>
    <w:rsid w:val="49F72751"/>
    <w:rsid w:val="4A1025A8"/>
    <w:rsid w:val="4A8A6194"/>
    <w:rsid w:val="4AAC2F62"/>
    <w:rsid w:val="4C485569"/>
    <w:rsid w:val="4C4E289A"/>
    <w:rsid w:val="51590D45"/>
    <w:rsid w:val="51FC0FB8"/>
    <w:rsid w:val="5245699D"/>
    <w:rsid w:val="535C0D7F"/>
    <w:rsid w:val="547F77E0"/>
    <w:rsid w:val="555B2E0E"/>
    <w:rsid w:val="5B3E21DC"/>
    <w:rsid w:val="5C9C1F49"/>
    <w:rsid w:val="5D0D4800"/>
    <w:rsid w:val="5EFD0600"/>
    <w:rsid w:val="5FAD0AE8"/>
    <w:rsid w:val="5FEF1D98"/>
    <w:rsid w:val="63584057"/>
    <w:rsid w:val="63AE143A"/>
    <w:rsid w:val="641774C1"/>
    <w:rsid w:val="64F00B90"/>
    <w:rsid w:val="670E33AA"/>
    <w:rsid w:val="681F7E48"/>
    <w:rsid w:val="68317F44"/>
    <w:rsid w:val="692F1D44"/>
    <w:rsid w:val="6B9107D3"/>
    <w:rsid w:val="6BE96194"/>
    <w:rsid w:val="6FDE481E"/>
    <w:rsid w:val="71CC633B"/>
    <w:rsid w:val="728805EC"/>
    <w:rsid w:val="735859AD"/>
    <w:rsid w:val="74E60996"/>
    <w:rsid w:val="75532C7D"/>
    <w:rsid w:val="7568173D"/>
    <w:rsid w:val="76333586"/>
    <w:rsid w:val="76FE4B9E"/>
    <w:rsid w:val="783A1618"/>
    <w:rsid w:val="785B5D23"/>
    <w:rsid w:val="79E10ABE"/>
    <w:rsid w:val="7A18008E"/>
    <w:rsid w:val="7B306E47"/>
    <w:rsid w:val="7F4859A7"/>
    <w:rsid w:val="BFFE3C57"/>
    <w:rsid w:val="D5F7E9F5"/>
    <w:rsid w:val="D97ACB46"/>
    <w:rsid w:val="EEFB63A1"/>
    <w:rsid w:val="F9AFB3C4"/>
    <w:rsid w:val="FFFA76B9"/>
    <w:rsid w:val="FFFF389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41</Pages>
  <Words>14881</Words>
  <Characters>15232</Characters>
  <Lines>182</Lines>
  <Paragraphs>51</Paragraphs>
  <TotalTime>44</TotalTime>
  <ScaleCrop>false</ScaleCrop>
  <LinksUpToDate>false</LinksUpToDate>
  <CharactersWithSpaces>16326</CharactersWithSpaces>
  <Application>WPS Office_11.1.0.11566_F1E327BC-269C-435d-A152-05C5408002CA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2022-03-22T17:10:00Z</dcterms:created>
  <dc:creator>2y</dc:creator>
  <cp:lastModifiedBy>Sinlain Spynn</cp:lastModifiedBy>
  <dcterms:modified xsi:type="dcterms:W3CDTF">2022-04-15T01:33:10Z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D460311AD8654D8096FB7C67A4B6734A</vt:lpwstr>
  </property>
</Properties>
</file>