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color w:val="000000" w:themeColor="text1"/>
          <w:sz w:val="28"/>
          <w:szCs w:val="20"/>
          <w14:textFill>
            <w14:solidFill>
              <w14:schemeClr w14:val="tx1"/>
            </w14:solidFill>
          </w14:textFill>
        </w:rPr>
      </w:pPr>
    </w:p>
    <w:p>
      <w:pPr>
        <w:rPr>
          <w:rFonts w:ascii="宋体" w:hAnsi="宋体" w:eastAsia="宋体" w:cs="Times New Roman"/>
          <w:color w:val="000000" w:themeColor="text1"/>
          <w:sz w:val="28"/>
          <w:szCs w:val="20"/>
          <w14:textFill>
            <w14:solidFill>
              <w14:schemeClr w14:val="tx1"/>
            </w14:solidFill>
          </w14:textFill>
        </w:rPr>
      </w:pPr>
    </w:p>
    <w:p>
      <w:pPr>
        <w:rPr>
          <w:rFonts w:ascii="宋体" w:hAnsi="宋体" w:eastAsia="宋体" w:cs="Times New Roman"/>
          <w:color w:val="000000" w:themeColor="text1"/>
          <w:sz w:val="28"/>
          <w:szCs w:val="20"/>
          <w14:textFill>
            <w14:solidFill>
              <w14:schemeClr w14:val="tx1"/>
            </w14:solidFill>
          </w14:textFill>
        </w:rPr>
      </w:pPr>
    </w:p>
    <w:p>
      <w:pPr>
        <w:jc w:val="center"/>
        <w:outlineLvl w:val="0"/>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重庆医科大学附属永川医院</w:t>
      </w:r>
    </w:p>
    <w:p>
      <w:pPr>
        <w:jc w:val="center"/>
        <w:outlineLvl w:val="0"/>
        <w:rPr>
          <w:rFonts w:ascii="方正小标宋简体" w:hAnsi="宋体" w:eastAsia="方正小标宋简体"/>
          <w:color w:val="000000" w:themeColor="text1"/>
          <w:sz w:val="44"/>
          <w:szCs w:val="44"/>
          <w14:textFill>
            <w14:solidFill>
              <w14:schemeClr w14:val="tx1"/>
            </w14:solidFill>
          </w14:textFill>
        </w:rPr>
      </w:pPr>
    </w:p>
    <w:p>
      <w:pPr>
        <w:jc w:val="center"/>
        <w:outlineLvl w:val="0"/>
        <w:rPr>
          <w:rFonts w:ascii="方正黑体_GBK" w:hAnsi="宋体" w:eastAsia="方正黑体_GBK" w:cs="Times New Roman"/>
          <w:color w:val="000000" w:themeColor="text1"/>
          <w:spacing w:val="80"/>
          <w:sz w:val="44"/>
          <w:szCs w:val="44"/>
          <w14:textFill>
            <w14:solidFill>
              <w14:schemeClr w14:val="tx1"/>
            </w14:solidFill>
          </w14:textFill>
        </w:rPr>
      </w:pPr>
    </w:p>
    <w:p>
      <w:pPr>
        <w:jc w:val="center"/>
        <w:outlineLvl w:val="0"/>
        <w:rPr>
          <w:rFonts w:ascii="方正黑体_GBK" w:hAnsi="宋体" w:eastAsia="方正黑体_GBK" w:cs="Times New Roman"/>
          <w:color w:val="000000" w:themeColor="text1"/>
          <w:spacing w:val="80"/>
          <w:sz w:val="44"/>
          <w:szCs w:val="44"/>
          <w14:textFill>
            <w14:solidFill>
              <w14:schemeClr w14:val="tx1"/>
            </w14:solidFill>
          </w14:textFill>
        </w:rPr>
      </w:pPr>
      <w:r>
        <w:rPr>
          <w:rFonts w:hint="eastAsia" w:ascii="方正黑体_GBK" w:hAnsi="宋体" w:eastAsia="方正黑体_GBK" w:cs="Times New Roman"/>
          <w:color w:val="000000" w:themeColor="text1"/>
          <w:spacing w:val="80"/>
          <w:sz w:val="44"/>
          <w:szCs w:val="44"/>
          <w14:textFill>
            <w14:solidFill>
              <w14:schemeClr w14:val="tx1"/>
            </w14:solidFill>
          </w14:textFill>
        </w:rPr>
        <w:t>比选文件</w:t>
      </w: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hint="default" w:ascii="方正小标宋_GBK" w:hAnsi="宋体" w:eastAsia="方正小标宋_GBK" w:cs="Times New Roman"/>
          <w:color w:val="000000" w:themeColor="text1"/>
          <w:sz w:val="28"/>
          <w:szCs w:val="28"/>
          <w:lang w:val="en-US" w:eastAsia="zh-CN"/>
          <w14:textFill>
            <w14:solidFill>
              <w14:schemeClr w14:val="tx1"/>
            </w14:solidFill>
          </w14:textFill>
        </w:rPr>
      </w:pPr>
      <w:r>
        <w:rPr>
          <w:rFonts w:hint="eastAsia" w:ascii="方正小标宋_GBK" w:hAnsi="宋体" w:eastAsia="方正小标宋_GBK" w:cs="Times New Roman"/>
          <w:color w:val="000000" w:themeColor="text1"/>
          <w:sz w:val="28"/>
          <w:szCs w:val="28"/>
          <w14:textFill>
            <w14:solidFill>
              <w14:schemeClr w14:val="tx1"/>
            </w14:solidFill>
          </w14:textFill>
        </w:rPr>
        <w:t>项目编号：</w:t>
      </w:r>
      <w:r>
        <w:rPr>
          <w:rFonts w:hint="eastAsia" w:ascii="方正小标宋_GBK" w:hAnsi="宋体" w:eastAsia="方正小标宋_GBK" w:cs="Times New Roman"/>
          <w:color w:val="000000" w:themeColor="text1"/>
          <w:sz w:val="28"/>
          <w:szCs w:val="28"/>
          <w:lang w:val="en-US" w:eastAsia="zh-CN"/>
          <w14:textFill>
            <w14:solidFill>
              <w14:schemeClr w14:val="tx1"/>
            </w14:solidFill>
          </w14:textFill>
        </w:rPr>
        <w:t>2022FW016</w:t>
      </w: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r>
        <w:rPr>
          <w:rFonts w:hint="eastAsia" w:ascii="方正小标宋_GBK" w:hAnsi="宋体" w:eastAsia="方正小标宋_GBK" w:cs="Times New Roman"/>
          <w:color w:val="000000" w:themeColor="text1"/>
          <w:sz w:val="28"/>
          <w:szCs w:val="28"/>
          <w14:textFill>
            <w14:solidFill>
              <w14:schemeClr w14:val="tx1"/>
            </w14:solidFill>
          </w14:textFill>
        </w:rPr>
        <w:t>项目名称：常年法律顾问服务</w:t>
      </w:r>
      <w:r>
        <w:rPr>
          <w:rFonts w:hint="eastAsia" w:ascii="方正小标宋_GBK" w:hAnsi="宋体" w:eastAsia="方正小标宋_GBK" w:cs="Times New Roman"/>
          <w:color w:val="000000" w:themeColor="text1"/>
          <w:sz w:val="28"/>
          <w:szCs w:val="28"/>
          <w:lang w:eastAsia="zh-CN"/>
          <w14:textFill>
            <w14:solidFill>
              <w14:schemeClr w14:val="tx1"/>
            </w14:solidFill>
          </w14:textFill>
        </w:rPr>
        <w:t>（经济类）</w:t>
      </w:r>
      <w:r>
        <w:rPr>
          <w:rFonts w:hint="eastAsia" w:ascii="方正小标宋_GBK" w:hAnsi="宋体" w:eastAsia="方正小标宋_GBK" w:cs="Times New Roman"/>
          <w:color w:val="000000" w:themeColor="text1"/>
          <w:sz w:val="28"/>
          <w:szCs w:val="28"/>
          <w14:textFill>
            <w14:solidFill>
              <w14:schemeClr w14:val="tx1"/>
            </w14:solidFill>
          </w14:textFill>
        </w:rPr>
        <w:t xml:space="preserve">  </w:t>
      </w: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r>
        <w:rPr>
          <w:rFonts w:hint="eastAsia" w:ascii="方正小标宋_GBK" w:hAnsi="宋体" w:eastAsia="方正小标宋_GBK" w:cs="Times New Roman"/>
          <w:color w:val="000000" w:themeColor="text1"/>
          <w:sz w:val="28"/>
          <w:szCs w:val="28"/>
          <w14:textFill>
            <w14:solidFill>
              <w14:schemeClr w14:val="tx1"/>
            </w14:solidFill>
          </w14:textFill>
        </w:rPr>
        <w:t xml:space="preserve">      </w:t>
      </w: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hint="eastAsia" w:ascii="方正小标宋_GBK" w:hAnsi="宋体" w:eastAsia="方正小标宋_GBK" w:cs="Times New Roman"/>
          <w:color w:val="000000" w:themeColor="text1"/>
          <w:sz w:val="28"/>
          <w:szCs w:val="28"/>
          <w14:textFill>
            <w14:solidFill>
              <w14:schemeClr w14:val="tx1"/>
            </w14:solidFill>
          </w14:textFill>
        </w:rPr>
      </w:pPr>
    </w:p>
    <w:p>
      <w:pPr>
        <w:spacing w:line="700" w:lineRule="exact"/>
        <w:ind w:firstLine="840" w:firstLineChars="300"/>
        <w:rPr>
          <w:rFonts w:ascii="方正小标宋_GBK" w:hAnsi="宋体" w:eastAsia="方正小标宋_GBK" w:cs="Times New Roman"/>
          <w:color w:val="000000" w:themeColor="text1"/>
          <w:sz w:val="28"/>
          <w:szCs w:val="28"/>
          <w14:textFill>
            <w14:solidFill>
              <w14:schemeClr w14:val="tx1"/>
            </w14:solidFill>
          </w14:textFill>
        </w:rPr>
      </w:pPr>
    </w:p>
    <w:p>
      <w:pPr>
        <w:spacing w:line="760" w:lineRule="exact"/>
        <w:ind w:firstLine="1440" w:firstLineChars="400"/>
        <w:rPr>
          <w:rFonts w:ascii="宋体" w:hAnsi="宋体" w:eastAsia="宋体" w:cs="宋体"/>
          <w:color w:val="000000" w:themeColor="text1"/>
          <w:sz w:val="40"/>
          <w:szCs w:val="40"/>
          <w14:textFill>
            <w14:solidFill>
              <w14:schemeClr w14:val="tx1"/>
            </w14:solidFill>
          </w14:textFill>
        </w:rPr>
      </w:pPr>
      <w:r>
        <w:rPr>
          <w:rFonts w:hint="eastAsia" w:ascii="方正小标宋_GBK" w:eastAsia="方正小标宋_GBK"/>
          <w:color w:val="000000" w:themeColor="text1"/>
          <w:sz w:val="36"/>
          <w14:textFill>
            <w14:solidFill>
              <w14:schemeClr w14:val="tx1"/>
            </w14:solidFill>
          </w14:textFill>
        </w:rPr>
        <w:t>采购人</w:t>
      </w:r>
      <w:r>
        <w:rPr>
          <w:rFonts w:hint="eastAsia" w:ascii="方正小标宋_GBK" w:hAnsi="宋体" w:eastAsia="方正小标宋_GBK" w:cs="Times New Roman"/>
          <w:color w:val="000000" w:themeColor="text1"/>
          <w:sz w:val="28"/>
          <w:szCs w:val="28"/>
          <w14:textFill>
            <w14:solidFill>
              <w14:schemeClr w14:val="tx1"/>
            </w14:solidFill>
          </w14:textFill>
        </w:rPr>
        <w:t>：</w:t>
      </w:r>
      <w:r>
        <w:rPr>
          <w:rFonts w:hint="eastAsia" w:ascii="宋体" w:hAnsi="宋体" w:eastAsia="宋体" w:cs="宋体"/>
          <w:color w:val="000000" w:themeColor="text1"/>
          <w:sz w:val="36"/>
          <w:szCs w:val="36"/>
          <w14:textFill>
            <w14:solidFill>
              <w14:schemeClr w14:val="tx1"/>
            </w14:solidFill>
          </w14:textFill>
        </w:rPr>
        <w:t>重庆医科大学附属永川医院</w:t>
      </w:r>
    </w:p>
    <w:p>
      <w:pPr>
        <w:spacing w:line="420" w:lineRule="exact"/>
        <w:jc w:val="center"/>
        <w:outlineLvl w:val="0"/>
        <w:rPr>
          <w:rFonts w:ascii="仿宋" w:hAnsi="仿宋" w:eastAsia="仿宋" w:cs="仿宋"/>
          <w:color w:val="000000" w:themeColor="text1"/>
          <w:sz w:val="30"/>
          <w:szCs w:val="30"/>
          <w14:textFill>
            <w14:solidFill>
              <w14:schemeClr w14:val="tx1"/>
            </w14:solidFill>
          </w14:textFill>
        </w:rPr>
      </w:pP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r>
        <w:rPr>
          <w:rFonts w:hint="eastAsia" w:ascii="方正小标宋_GBK" w:hAnsi="宋体" w:eastAsia="方正小标宋_GBK" w:cs="Times New Roman"/>
          <w:color w:val="000000" w:themeColor="text1"/>
          <w:sz w:val="28"/>
          <w:szCs w:val="28"/>
          <w14:textFill>
            <w14:solidFill>
              <w14:schemeClr w14:val="tx1"/>
            </w14:solidFill>
          </w14:textFill>
        </w:rPr>
        <w:t>二〇二二年</w:t>
      </w:r>
      <w:r>
        <w:rPr>
          <w:rFonts w:hint="eastAsia" w:ascii="方正小标宋_GBK" w:hAnsi="宋体" w:eastAsia="方正小标宋_GBK" w:cs="Times New Roman"/>
          <w:color w:val="000000" w:themeColor="text1"/>
          <w:sz w:val="28"/>
          <w:szCs w:val="28"/>
          <w:lang w:val="en-US" w:eastAsia="zh-CN"/>
          <w14:textFill>
            <w14:solidFill>
              <w14:schemeClr w14:val="tx1"/>
            </w14:solidFill>
          </w14:textFill>
        </w:rPr>
        <w:t>六</w:t>
      </w:r>
      <w:r>
        <w:rPr>
          <w:rFonts w:hint="eastAsia" w:ascii="方正小标宋_GBK" w:hAnsi="宋体" w:eastAsia="方正小标宋_GBK" w:cs="Times New Roman"/>
          <w:color w:val="000000" w:themeColor="text1"/>
          <w:sz w:val="28"/>
          <w:szCs w:val="28"/>
          <w14:textFill>
            <w14:solidFill>
              <w14:schemeClr w14:val="tx1"/>
            </w14:solidFill>
          </w14:textFill>
        </w:rPr>
        <w:t>月</w:t>
      </w: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p>
    <w:p>
      <w:pPr>
        <w:spacing w:line="420" w:lineRule="exact"/>
        <w:jc w:val="center"/>
        <w:outlineLvl w:val="0"/>
        <w:rPr>
          <w:rFonts w:ascii="方正黑体_GBK" w:hAnsi="Times New Roman" w:eastAsia="方正黑体_GBK" w:cs="Times New Roman"/>
          <w:color w:val="000000" w:themeColor="text1"/>
          <w:sz w:val="44"/>
          <w:szCs w:val="28"/>
          <w14:textFill>
            <w14:solidFill>
              <w14:schemeClr w14:val="tx1"/>
            </w14:solidFill>
          </w14:textFill>
        </w:rPr>
      </w:pPr>
    </w:p>
    <w:p>
      <w:pPr>
        <w:spacing w:line="480" w:lineRule="exact"/>
        <w:jc w:val="center"/>
        <w:outlineLvl w:val="0"/>
        <w:rPr>
          <w:rFonts w:hint="eastAsia" w:ascii="方正小标宋_GBK" w:hAnsi="Times New Roman" w:eastAsia="方正小标宋_GBK" w:cs="Times New Roman"/>
          <w:color w:val="000000" w:themeColor="text1"/>
          <w:sz w:val="44"/>
          <w:szCs w:val="28"/>
          <w14:textFill>
            <w14:solidFill>
              <w14:schemeClr w14:val="tx1"/>
            </w14:solidFill>
          </w14:textFill>
        </w:rPr>
      </w:pPr>
    </w:p>
    <w:p>
      <w:pPr>
        <w:spacing w:line="480" w:lineRule="exact"/>
        <w:jc w:val="center"/>
        <w:outlineLvl w:val="0"/>
        <w:rPr>
          <w:rFonts w:ascii="方正小标宋_GBK" w:hAnsi="Times New Roman" w:eastAsia="方正小标宋_GBK" w:cs="Times New Roman"/>
          <w:color w:val="000000" w:themeColor="text1"/>
          <w:sz w:val="44"/>
          <w:szCs w:val="28"/>
          <w14:textFill>
            <w14:solidFill>
              <w14:schemeClr w14:val="tx1"/>
            </w14:solidFill>
          </w14:textFill>
        </w:rPr>
      </w:pPr>
      <w:r>
        <w:rPr>
          <w:rFonts w:hint="eastAsia" w:ascii="方正小标宋_GBK" w:hAnsi="Times New Roman" w:eastAsia="方正小标宋_GBK" w:cs="Times New Roman"/>
          <w:color w:val="000000" w:themeColor="text1"/>
          <w:sz w:val="44"/>
          <w:szCs w:val="28"/>
          <w14:textFill>
            <w14:solidFill>
              <w14:schemeClr w14:val="tx1"/>
            </w14:solidFill>
          </w14:textFill>
        </w:rPr>
        <w:t xml:space="preserve">  目   录</w:t>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olor w:val="000000" w:themeColor="text1"/>
          <w:szCs w:val="21"/>
          <w14:textFill>
            <w14:solidFill>
              <w14:schemeClr w14:val="tx1"/>
            </w14:solidFill>
          </w14:textFill>
        </w:rPr>
        <w:fldChar w:fldCharType="begin"/>
      </w:r>
      <w:r>
        <w:rPr>
          <w:rFonts w:hint="eastAsia" w:ascii="方正小标宋_GBK" w:hAnsi="宋体" w:eastAsia="方正小标宋_GBK"/>
          <w:color w:val="000000" w:themeColor="text1"/>
          <w:szCs w:val="21"/>
          <w14:textFill>
            <w14:solidFill>
              <w14:schemeClr w14:val="tx1"/>
            </w14:solidFill>
          </w14:textFill>
        </w:rPr>
        <w:instrText xml:space="preserve"> TOC \o "1-3" \h \z </w:instrText>
      </w:r>
      <w:r>
        <w:rPr>
          <w:rFonts w:hint="eastAsia" w:ascii="方正小标宋_GBK" w:hAnsi="宋体" w:eastAsia="方正小标宋_GBK"/>
          <w:color w:val="000000" w:themeColor="text1"/>
          <w:szCs w:val="21"/>
          <w14:textFill>
            <w14:solidFill>
              <w14:schemeClr w14:val="tx1"/>
            </w14:solidFill>
          </w14:textFill>
        </w:rPr>
        <w:fldChar w:fldCharType="separate"/>
      </w:r>
      <w:r>
        <w:rPr>
          <w:rFonts w:hint="eastAsia" w:ascii="方正小标宋_GBK" w:hAnsi="宋体" w:eastAsia="方正小标宋_GBK"/>
          <w:color w:val="000000" w:themeColor="text1"/>
          <w:szCs w:val="21"/>
          <w14:textFill>
            <w14:solidFill>
              <w14:schemeClr w14:val="tx1"/>
            </w14:solidFill>
          </w14:textFill>
        </w:rPr>
        <w:fldChar w:fldCharType="begin"/>
      </w:r>
      <w:r>
        <w:rPr>
          <w:rFonts w:hint="eastAsia" w:ascii="方正小标宋_GBK" w:hAnsi="宋体" w:eastAsia="方正小标宋_GBK"/>
          <w:color w:val="000000" w:themeColor="text1"/>
          <w:szCs w:val="21"/>
          <w14:textFill>
            <w14:solidFill>
              <w14:schemeClr w14:val="tx1"/>
            </w14:solidFill>
          </w14:textFill>
        </w:rPr>
        <w:instrText xml:space="preserve"> HYPERLINK \l _Toc30101 </w:instrText>
      </w:r>
      <w:r>
        <w:rPr>
          <w:rFonts w:hint="eastAsia" w:ascii="方正小标宋_GBK" w:hAnsi="宋体" w:eastAsia="方正小标宋_GBK"/>
          <w:color w:val="000000" w:themeColor="text1"/>
          <w:szCs w:val="21"/>
          <w14:textFill>
            <w14:solidFill>
              <w14:schemeClr w14:val="tx1"/>
            </w14:solidFill>
          </w14:textFill>
        </w:rPr>
        <w:fldChar w:fldCharType="separate"/>
      </w:r>
      <w:r>
        <w:rPr>
          <w:rFonts w:hint="eastAsia" w:ascii="微软雅黑" w:hAnsi="微软雅黑" w:eastAsia="微软雅黑" w:cs="微软雅黑"/>
          <w:bCs/>
          <w:color w:val="000000" w:themeColor="text1"/>
          <w:szCs w:val="36"/>
          <w14:textFill>
            <w14:solidFill>
              <w14:schemeClr w14:val="tx1"/>
            </w14:solidFill>
          </w14:textFill>
        </w:rPr>
        <w:t>第一篇  比选邀请书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方正小标宋_GBK" w:hAnsi="宋体" w:eastAsia="方正小标宋_GBK"/>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_Toc27632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一、比选内容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_Toc26888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lang w:val="en-US" w:eastAsia="zh-CN"/>
          <w14:textFill>
            <w14:solidFill>
              <w14:schemeClr w14:val="tx1"/>
            </w14:solidFill>
          </w14:textFill>
        </w:rPr>
        <w:t>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_Toc26888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_Toc27642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三、供应商资格要求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_Toc25699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四、比选有关说明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_Toc25699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_Toc26525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五、本项目无需购买比选文件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_Toc26525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_Toc2047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六、其它有关规定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_Toc6742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七、防疫要求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_Toc6742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_Toc29640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八、联系方式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_Toc29640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_Toc13632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bCs/>
          <w:color w:val="000000" w:themeColor="text1"/>
          <w:szCs w:val="36"/>
          <w14:textFill>
            <w14:solidFill>
              <w14:schemeClr w14:val="tx1"/>
            </w14:solidFill>
          </w14:textFill>
        </w:rPr>
        <w:t>第二篇 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_Toc13632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_Toc18911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一、比选费用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_Toc31135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二、比选文件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_Toc30585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三、比选要求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_Toc5326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四、比选程序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_Toc5326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_Toc32150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五、评审依据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_Toc12437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六、成交原则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_Toc12437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_Toc129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七、成交通知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_Toc817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八、关于质疑和投诉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_Toc23608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九、签订合同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_Toc17553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十、其他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_Toc17553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_Toc11564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36"/>
          <w14:textFill>
            <w14:solidFill>
              <w14:schemeClr w14:val="tx1"/>
            </w14:solidFill>
          </w14:textFill>
        </w:rPr>
        <w:t>第三篇  项目服务需求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_Toc23194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一、项目一览表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_Toc23194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_Toc30719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二、服务要求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_Toc23667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三、类似项目业绩要求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_Toc12324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36"/>
          <w14:textFill>
            <w14:solidFill>
              <w14:schemeClr w14:val="tx1"/>
            </w14:solidFill>
          </w14:textFill>
        </w:rPr>
        <w:t>第四篇  项目商务需求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_Toc19737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一、服务时间、地点及验收方式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_Toc19737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_Toc7312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二、质量保证及售后服务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_Toc12251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三、付款方式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_Toc21210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四、考核办法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_Toc21210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_Toc28011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五、知识产权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_Toc28011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_Toc1151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六、培训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_Toc30364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七、其他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_Toc30364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_Toc30503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36"/>
          <w14:textFill>
            <w14:solidFill>
              <w14:schemeClr w14:val="tx1"/>
            </w14:solidFill>
          </w14:textFill>
        </w:rPr>
        <w:t>第五篇  合同草案条款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_Toc30503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_Toc14867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_Toc2070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二、货物内容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_Toc27757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三、合同价格</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_Toc27757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_Toc23604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四、转包或分包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_Toc24236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五、质量保证及售后服务</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_Toc10578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六、付款</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_Toc15586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lang w:eastAsia="zh-CN"/>
          <w14:textFill>
            <w14:solidFill>
              <w14:schemeClr w14:val="tx1"/>
            </w14:solidFill>
          </w14:textFill>
        </w:rPr>
        <w:t>七</w:t>
      </w:r>
      <w:r>
        <w:rPr>
          <w:rFonts w:hint="eastAsia" w:ascii="微软雅黑" w:hAnsi="微软雅黑" w:eastAsia="微软雅黑" w:cs="微软雅黑"/>
          <w:color w:val="000000" w:themeColor="text1"/>
          <w:szCs w:val="24"/>
          <w14:textFill>
            <w14:solidFill>
              <w14:schemeClr w14:val="tx1"/>
            </w14:solidFill>
          </w14:textFill>
        </w:rPr>
        <w:t>、合同争议的解决</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_Toc15586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_Toc10903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lang w:eastAsia="zh-CN"/>
          <w14:textFill>
            <w14:solidFill>
              <w14:schemeClr w14:val="tx1"/>
            </w14:solidFill>
          </w14:textFill>
        </w:rPr>
        <w:t>八</w:t>
      </w:r>
      <w:r>
        <w:rPr>
          <w:rFonts w:hint="eastAsia" w:ascii="微软雅黑" w:hAnsi="微软雅黑" w:eastAsia="微软雅黑" w:cs="微软雅黑"/>
          <w:color w:val="000000" w:themeColor="text1"/>
          <w:szCs w:val="24"/>
          <w14:textFill>
            <w14:solidFill>
              <w14:schemeClr w14:val="tx1"/>
            </w14:solidFill>
          </w14:textFill>
        </w:rPr>
        <w:t>、违约责任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_Toc8061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lang w:eastAsia="zh-CN"/>
          <w14:textFill>
            <w14:solidFill>
              <w14:schemeClr w14:val="tx1"/>
            </w14:solidFill>
          </w14:textFill>
        </w:rPr>
        <w:t>九</w:t>
      </w:r>
      <w:r>
        <w:rPr>
          <w:rFonts w:hint="eastAsia" w:ascii="微软雅黑" w:hAnsi="微软雅黑" w:eastAsia="微软雅黑" w:cs="微软雅黑"/>
          <w:color w:val="000000" w:themeColor="text1"/>
          <w:szCs w:val="24"/>
          <w14:textFill>
            <w14:solidFill>
              <w14:schemeClr w14:val="tx1"/>
            </w14:solidFill>
          </w14:textFill>
        </w:rPr>
        <w:t>、合同生效及其它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_Toc8061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_Toc8495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36"/>
          <w14:textFill>
            <w14:solidFill>
              <w14:schemeClr w14:val="tx1"/>
            </w14:solidFill>
          </w14:textFill>
        </w:rPr>
        <w:t>第六篇  响应文件格式要求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_Toc8495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_Toc27547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一、经济部分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_Toc3006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二、服务部分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_Toc9038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三、商务部分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_Toc9038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_Toc21029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四、资格条件及其他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_Toc21029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45"/>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_Toc3260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24"/>
          <w14:textFill>
            <w14:solidFill>
              <w14:schemeClr w14:val="tx1"/>
            </w14:solidFill>
          </w14:textFill>
        </w:rPr>
        <w:t>五、其他应提供的资料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37"/>
        <w:tabs>
          <w:tab w:val="right" w:leader="dot" w:pos="9412"/>
        </w:tabs>
        <w:rPr>
          <w:color w:val="000000" w:themeColor="text1"/>
          <w14:textFill>
            <w14:solidFill>
              <w14:schemeClr w14:val="tx1"/>
            </w14:solidFill>
          </w14:textFill>
        </w:rPr>
      </w:pPr>
      <w:r>
        <w:rPr>
          <w:rFonts w:hint="eastAsia" w:ascii="方正小标宋_GBK" w:hAnsi="宋体" w:eastAsia="方正小标宋_GBK" w:cs="Times New Roman"/>
          <w:color w:val="000000" w:themeColor="text1"/>
          <w:szCs w:val="21"/>
          <w14:textFill>
            <w14:solidFill>
              <w14:schemeClr w14:val="tx1"/>
            </w14:solidFill>
          </w14:textFill>
        </w:rPr>
        <w:fldChar w:fldCharType="begin"/>
      </w:r>
      <w:r>
        <w:rPr>
          <w:rFonts w:hint="eastAsia" w:ascii="方正小标宋_GBK" w:hAnsi="宋体" w:eastAsia="方正小标宋_GBK" w:cs="Times New Roman"/>
          <w:color w:val="000000" w:themeColor="text1"/>
          <w:szCs w:val="21"/>
          <w14:textFill>
            <w14:solidFill>
              <w14:schemeClr w14:val="tx1"/>
            </w14:solidFill>
          </w14:textFill>
        </w:rPr>
        <w:instrText xml:space="preserve"> HYPERLINK \l _Toc20625 </w:instrText>
      </w:r>
      <w:r>
        <w:rPr>
          <w:rFonts w:hint="eastAsia" w:ascii="方正小标宋_GBK" w:hAnsi="宋体" w:eastAsia="方正小标宋_GBK" w:cs="Times New Roman"/>
          <w:color w:val="000000" w:themeColor="text1"/>
          <w:szCs w:val="21"/>
          <w14:textFill>
            <w14:solidFill>
              <w14:schemeClr w14:val="tx1"/>
            </w14:solidFill>
          </w14:textFill>
        </w:rPr>
        <w:fldChar w:fldCharType="separate"/>
      </w:r>
      <w:r>
        <w:rPr>
          <w:rFonts w:hint="eastAsia" w:ascii="微软雅黑" w:hAnsi="微软雅黑" w:eastAsia="微软雅黑" w:cs="微软雅黑"/>
          <w:color w:val="000000" w:themeColor="text1"/>
          <w:szCs w:val="36"/>
          <w:lang w:val="en-US" w:eastAsia="zh-CN"/>
          <w14:textFill>
            <w14:solidFill>
              <w14:schemeClr w14:val="tx1"/>
            </w14:solidFill>
          </w14:textFill>
        </w:rPr>
        <w:t>重庆医科大学附属永川医院参加医院院内采购活动来院人员</w:t>
      </w:r>
      <w:r>
        <w:rPr>
          <w:rFonts w:hint="eastAsia" w:ascii="微软雅黑" w:hAnsi="微软雅黑" w:eastAsia="微软雅黑" w:cs="微软雅黑"/>
          <w:color w:val="000000" w:themeColor="text1"/>
          <w:szCs w:val="36"/>
          <w14:textFill>
            <w14:solidFill>
              <w14:schemeClr w14:val="tx1"/>
            </w14:solidFill>
          </w14:textFill>
        </w:rPr>
        <w:t>新冠肺炎疫情防控工作</w:t>
      </w:r>
      <w:r>
        <w:rPr>
          <w:rFonts w:hint="eastAsia" w:ascii="微软雅黑" w:hAnsi="微软雅黑" w:eastAsia="微软雅黑" w:cs="微软雅黑"/>
          <w:color w:val="000000" w:themeColor="text1"/>
          <w:szCs w:val="36"/>
          <w:lang w:eastAsia="zh-CN"/>
          <w14:textFill>
            <w14:solidFill>
              <w14:schemeClr w14:val="tx1"/>
            </w14:solidFill>
          </w14:textFill>
        </w:rPr>
        <w:t>告知书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tabs>
          <w:tab w:val="right" w:leader="dot" w:pos="9402"/>
        </w:tabs>
        <w:spacing w:line="480" w:lineRule="exact"/>
        <w:ind w:left="420" w:leftChars="200"/>
        <w:rPr>
          <w:rFonts w:ascii="方正仿宋_GBK" w:hAnsi="Calibri" w:eastAsia="方正仿宋_GBK" w:cs="Times New Roman"/>
          <w:color w:val="000000" w:themeColor="text1"/>
          <w:sz w:val="18"/>
          <w14:textFill>
            <w14:solidFill>
              <w14:schemeClr w14:val="tx1"/>
            </w14:solidFill>
          </w14:textFill>
        </w:rPr>
        <w:sectPr>
          <w:headerReference r:id="rId5" w:type="first"/>
          <w:headerReference r:id="rId3" w:type="default"/>
          <w:footerReference r:id="rId6" w:type="default"/>
          <w:headerReference r:id="rId4" w:type="even"/>
          <w:pgSz w:w="11907" w:h="16840"/>
          <w:pgMar w:top="1134" w:right="1191" w:bottom="1134" w:left="1304" w:header="851" w:footer="992" w:gutter="0"/>
          <w:pgNumType w:start="0" w:chapStyle="1"/>
          <w:cols w:space="720" w:num="1"/>
          <w:titlePg/>
          <w:docGrid w:linePitch="381" w:charSpace="-5735"/>
        </w:sectPr>
      </w:pPr>
      <w:r>
        <w:rPr>
          <w:rFonts w:hint="eastAsia" w:ascii="方正小标宋_GBK" w:hAnsi="宋体" w:eastAsia="方正小标宋_GBK" w:cs="Times New Roman"/>
          <w:color w:val="000000" w:themeColor="text1"/>
          <w:szCs w:val="21"/>
          <w14:textFill>
            <w14:solidFill>
              <w14:schemeClr w14:val="tx1"/>
            </w14:solidFill>
          </w14:textFill>
        </w:rPr>
        <w:fldChar w:fldCharType="end"/>
      </w:r>
    </w:p>
    <w:p>
      <w:pPr>
        <w:pStyle w:val="2"/>
        <w:bidi w:val="0"/>
        <w:jc w:val="center"/>
        <w:rPr>
          <w:rFonts w:hint="eastAsia" w:ascii="微软雅黑" w:hAnsi="微软雅黑" w:eastAsia="微软雅黑" w:cs="微软雅黑"/>
          <w:b/>
          <w:color w:val="000000" w:themeColor="text1"/>
          <w14:textFill>
            <w14:solidFill>
              <w14:schemeClr w14:val="tx1"/>
            </w14:solidFill>
          </w14:textFill>
        </w:rPr>
      </w:pPr>
      <w:bookmarkStart w:id="0" w:name="_Toc11641050"/>
      <w:bookmarkStart w:id="1" w:name="_Toc30101"/>
      <w:bookmarkStart w:id="2" w:name="_Toc485108766"/>
      <w:bookmarkStart w:id="3" w:name="_Toc12789052"/>
      <w:r>
        <w:rPr>
          <w:rFonts w:hint="eastAsia" w:ascii="微软雅黑" w:hAnsi="微软雅黑" w:eastAsia="微软雅黑" w:cs="微软雅黑"/>
          <w:b/>
          <w:bCs/>
          <w:color w:val="000000" w:themeColor="text1"/>
          <w:sz w:val="36"/>
          <w:szCs w:val="36"/>
          <w14:textFill>
            <w14:solidFill>
              <w14:schemeClr w14:val="tx1"/>
            </w14:solidFill>
          </w14:textFill>
        </w:rPr>
        <w:t>第一篇  比选邀请书</w:t>
      </w:r>
      <w:bookmarkEnd w:id="0"/>
      <w:bookmarkEnd w:id="1"/>
      <w:bookmarkEnd w:id="2"/>
      <w:bookmarkEnd w:id="3"/>
    </w:p>
    <w:p>
      <w:pPr>
        <w:ind w:firstLine="480" w:firstLineChars="200"/>
        <w:jc w:val="left"/>
        <w:rPr>
          <w:rFonts w:ascii="Times New Roman" w:hAnsi="Times New Roman" w:eastAsia="宋体" w:cs="Times New Roman"/>
          <w:color w:val="000000" w:themeColor="text1"/>
          <w:sz w:val="28"/>
          <w:szCs w:val="20"/>
          <w14:textFill>
            <w14:solidFill>
              <w14:schemeClr w14:val="tx1"/>
            </w14:solidFill>
          </w14:textFill>
        </w:rPr>
      </w:pPr>
      <w:bookmarkStart w:id="4" w:name="_Toc373860293"/>
      <w:bookmarkStart w:id="5" w:name="_Toc317775178"/>
      <w:r>
        <w:rPr>
          <w:rFonts w:hint="eastAsia" w:ascii="方正仿宋_GBK" w:hAnsi="宋体" w:eastAsia="方正仿宋_GBK" w:cs="Times New Roman"/>
          <w:color w:val="000000" w:themeColor="text1"/>
          <w:sz w:val="24"/>
          <w:szCs w:val="24"/>
          <w14:textFill>
            <w14:solidFill>
              <w14:schemeClr w14:val="tx1"/>
            </w14:solidFill>
          </w14:textFill>
        </w:rPr>
        <w:t>重庆医科大学附属永川医院对</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常年法律顾问服务（经济类）</w:t>
      </w:r>
      <w:r>
        <w:rPr>
          <w:rFonts w:hint="eastAsia" w:ascii="方正仿宋_GBK" w:hAnsi="宋体" w:eastAsia="方正仿宋_GBK" w:cs="Times New Roman"/>
          <w:color w:val="000000" w:themeColor="text1"/>
          <w:sz w:val="24"/>
          <w:szCs w:val="24"/>
          <w14:textFill>
            <w14:solidFill>
              <w14:schemeClr w14:val="tx1"/>
            </w14:solidFill>
          </w14:textFill>
        </w:rPr>
        <w:t>项目进行院内比选采购。欢迎有资格、有实力的潜在供应商参加。</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6" w:name="_Toc317775175"/>
      <w:bookmarkStart w:id="7" w:name="_Toc485108767"/>
      <w:bookmarkStart w:id="8" w:name="_Toc313893526"/>
      <w:bookmarkStart w:id="9" w:name="_Toc27632"/>
      <w:r>
        <w:rPr>
          <w:rFonts w:hint="eastAsia" w:ascii="微软雅黑" w:hAnsi="微软雅黑" w:eastAsia="微软雅黑" w:cs="微软雅黑"/>
          <w:color w:val="000000" w:themeColor="text1"/>
          <w:sz w:val="24"/>
          <w:szCs w:val="24"/>
          <w14:textFill>
            <w14:solidFill>
              <w14:schemeClr w14:val="tx1"/>
            </w14:solidFill>
          </w14:textFill>
        </w:rPr>
        <w:t>一、比选内容</w:t>
      </w:r>
      <w:bookmarkEnd w:id="6"/>
      <w:bookmarkEnd w:id="7"/>
      <w:bookmarkEnd w:id="8"/>
      <w:bookmarkEnd w:id="9"/>
    </w:p>
    <w:tbl>
      <w:tblPr>
        <w:tblStyle w:val="58"/>
        <w:tblpPr w:leftFromText="180" w:rightFromText="180" w:vertAnchor="text" w:tblpXSpec="center" w:tblpY="1"/>
        <w:tblOverlap w:val="never"/>
        <w:tblW w:w="8915"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2253"/>
        <w:gridCol w:w="141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3415" w:type="dxa"/>
            <w:vAlign w:val="center"/>
          </w:tcPr>
          <w:p>
            <w:pPr>
              <w:spacing w:line="400" w:lineRule="exact"/>
              <w:ind w:firstLine="480" w:firstLineChars="200"/>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项目名称</w:t>
            </w:r>
          </w:p>
        </w:tc>
        <w:tc>
          <w:tcPr>
            <w:tcW w:w="2253" w:type="dxa"/>
          </w:tcPr>
          <w:p>
            <w:pPr>
              <w:spacing w:line="400" w:lineRule="exact"/>
              <w:ind w:left="720" w:hanging="720" w:hangingChars="300"/>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成交供应商数量（名）</w:t>
            </w:r>
          </w:p>
        </w:tc>
        <w:tc>
          <w:tcPr>
            <w:tcW w:w="1416" w:type="dxa"/>
            <w:vAlign w:val="center"/>
          </w:tcPr>
          <w:p>
            <w:pPr>
              <w:spacing w:line="400" w:lineRule="exact"/>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最高限价</w:t>
            </w:r>
          </w:p>
          <w:p>
            <w:pPr>
              <w:spacing w:line="400" w:lineRule="exact"/>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（万元）</w:t>
            </w:r>
          </w:p>
        </w:tc>
        <w:tc>
          <w:tcPr>
            <w:tcW w:w="1831" w:type="dxa"/>
            <w:vAlign w:val="center"/>
          </w:tcPr>
          <w:p>
            <w:pPr>
              <w:spacing w:line="400" w:lineRule="exact"/>
              <w:ind w:firstLine="480" w:firstLineChars="200"/>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15" w:type="dxa"/>
            <w:vAlign w:val="center"/>
          </w:tcPr>
          <w:p>
            <w:pPr>
              <w:spacing w:line="400" w:lineRule="exact"/>
              <w:jc w:val="center"/>
              <w:rPr>
                <w:rFonts w:hint="default" w:ascii="方正仿宋_GBK" w:hAnsi="宋体" w:eastAsia="方正仿宋_GBK"/>
                <w:color w:val="000000" w:themeColor="text1"/>
                <w:sz w:val="24"/>
                <w:szCs w:val="24"/>
                <w:lang w:val="en-US"/>
                <w14:textFill>
                  <w14:solidFill>
                    <w14:schemeClr w14:val="tx1"/>
                  </w14:solidFill>
                </w14:textFill>
              </w:rPr>
            </w:pPr>
            <w:r>
              <w:rPr>
                <w:rFonts w:hint="eastAsia" w:ascii="方正小标宋_GBK" w:hAnsi="宋体" w:eastAsia="方正小标宋_GBK" w:cs="Times New Roman"/>
                <w:color w:val="000000" w:themeColor="text1"/>
                <w:sz w:val="24"/>
                <w:szCs w:val="24"/>
                <w:lang w:val="en-US" w:eastAsia="zh-CN"/>
                <w14:textFill>
                  <w14:solidFill>
                    <w14:schemeClr w14:val="tx1"/>
                  </w14:solidFill>
                </w14:textFill>
              </w:rPr>
              <w:t>常年法律顾问服务（经济类）</w:t>
            </w:r>
          </w:p>
        </w:tc>
        <w:tc>
          <w:tcPr>
            <w:tcW w:w="2253" w:type="dxa"/>
            <w:vAlign w:val="center"/>
          </w:tcPr>
          <w:p>
            <w:pPr>
              <w:spacing w:line="400" w:lineRule="exact"/>
              <w:ind w:firstLine="480" w:firstLineChars="200"/>
              <w:jc w:val="center"/>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w:t>
            </w:r>
          </w:p>
        </w:tc>
        <w:tc>
          <w:tcPr>
            <w:tcW w:w="1416" w:type="dxa"/>
            <w:vAlign w:val="center"/>
          </w:tcPr>
          <w:p>
            <w:pPr>
              <w:spacing w:line="400" w:lineRule="exact"/>
              <w:jc w:val="center"/>
              <w:rPr>
                <w:rFonts w:hint="default"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w:t>
            </w:r>
          </w:p>
        </w:tc>
        <w:tc>
          <w:tcPr>
            <w:tcW w:w="1831" w:type="dxa"/>
            <w:vAlign w:val="center"/>
          </w:tcPr>
          <w:p>
            <w:pPr>
              <w:spacing w:line="400" w:lineRule="exact"/>
              <w:ind w:firstLine="480" w:firstLineChars="200"/>
              <w:jc w:val="center"/>
              <w:rPr>
                <w:rFonts w:ascii="方正仿宋_GBK" w:hAnsi="宋体" w:eastAsia="方正仿宋_GBK"/>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415" w:type="dxa"/>
            <w:vAlign w:val="center"/>
          </w:tcPr>
          <w:p>
            <w:pPr>
              <w:spacing w:line="400" w:lineRule="exact"/>
              <w:jc w:val="center"/>
              <w:rPr>
                <w:rFonts w:hint="eastAsia" w:ascii="方正小标宋_GBK" w:hAnsi="宋体" w:eastAsia="方正小标宋_GBK" w:cs="Times New Roman"/>
                <w:color w:val="000000" w:themeColor="text1"/>
                <w:sz w:val="24"/>
                <w:szCs w:val="24"/>
                <w:lang w:val="en-US" w:eastAsia="zh-CN"/>
                <w14:textFill>
                  <w14:solidFill>
                    <w14:schemeClr w14:val="tx1"/>
                  </w14:solidFill>
                </w14:textFill>
              </w:rPr>
            </w:pPr>
            <w:bookmarkStart w:id="10" w:name="_Toc26888"/>
            <w:bookmarkStart w:id="11" w:name="_Toc485108768"/>
            <w:r>
              <w:rPr>
                <w:rFonts w:hint="eastAsia" w:ascii="方正小标宋_GBK" w:hAnsi="宋体" w:eastAsia="方正小标宋_GBK" w:cs="Times New Roman"/>
                <w:color w:val="000000" w:themeColor="text1"/>
                <w:sz w:val="24"/>
                <w:szCs w:val="24"/>
                <w:lang w:val="en-US" w:eastAsia="zh-CN"/>
                <w14:textFill>
                  <w14:solidFill>
                    <w14:schemeClr w14:val="tx1"/>
                  </w14:solidFill>
                </w14:textFill>
              </w:rPr>
              <w:t>服务期</w:t>
            </w:r>
          </w:p>
        </w:tc>
        <w:tc>
          <w:tcPr>
            <w:tcW w:w="5500" w:type="dxa"/>
            <w:gridSpan w:val="3"/>
            <w:vAlign w:val="center"/>
          </w:tcPr>
          <w:p>
            <w:pPr>
              <w:spacing w:line="400" w:lineRule="exact"/>
              <w:ind w:firstLine="480" w:firstLineChars="200"/>
              <w:jc w:val="center"/>
              <w:rPr>
                <w:rFonts w:hint="eastAsia" w:ascii="方正仿宋_GBK" w:hAnsi="宋体" w:eastAsia="方正仿宋_GBK"/>
                <w:color w:val="000000" w:themeColor="text1"/>
                <w:sz w:val="24"/>
                <w:szCs w:val="24"/>
                <w:lang w:val="en-US" w:eastAsia="zh-CN"/>
                <w14:textFill>
                  <w14:solidFill>
                    <w14:schemeClr w14:val="tx1"/>
                  </w14:solidFill>
                </w14:textFill>
              </w:rPr>
            </w:pPr>
            <w:r>
              <w:rPr>
                <w:rFonts w:hint="eastAsia" w:ascii="方正仿宋_GBK" w:hAnsi="宋体" w:eastAsia="方正仿宋_GBK"/>
                <w:color w:val="000000" w:themeColor="text1"/>
                <w:sz w:val="24"/>
                <w:szCs w:val="24"/>
                <w:lang w:val="en-US" w:eastAsia="zh-CN"/>
                <w14:textFill>
                  <w14:solidFill>
                    <w14:schemeClr w14:val="tx1"/>
                  </w14:solidFill>
                </w14:textFill>
              </w:rPr>
              <w:t>3年</w:t>
            </w:r>
          </w:p>
        </w:tc>
      </w:tr>
    </w:tbl>
    <w:p>
      <w:pPr>
        <w:keepNext/>
        <w:keepLines/>
        <w:outlineLvl w:val="2"/>
        <w:rPr>
          <w:rFonts w:ascii="方正仿宋_GBK" w:hAnsi="Times New Roman" w:eastAsia="方正仿宋_GBK" w:cs="Times New Roman"/>
          <w:b/>
          <w:color w:val="000000" w:themeColor="text1"/>
          <w:sz w:val="24"/>
          <w:szCs w:val="24"/>
          <w14:textFill>
            <w14:solidFill>
              <w14:schemeClr w14:val="tx1"/>
            </w14:solidFill>
          </w14:textFill>
        </w:rPr>
      </w:pPr>
      <w:r>
        <w:rPr>
          <w:rStyle w:val="69"/>
          <w:rFonts w:hint="eastAsia" w:ascii="微软雅黑" w:hAnsi="微软雅黑" w:eastAsia="微软雅黑" w:cs="微软雅黑"/>
          <w:color w:val="000000" w:themeColor="text1"/>
          <w:sz w:val="24"/>
          <w:szCs w:val="24"/>
          <w:lang w:val="en-US" w:eastAsia="zh-CN"/>
          <w14:textFill>
            <w14:solidFill>
              <w14:schemeClr w14:val="tx1"/>
            </w14:solidFill>
          </w14:textFill>
        </w:rPr>
        <w:t>二、资金来源</w:t>
      </w:r>
      <w:bookmarkEnd w:id="10"/>
      <w:bookmarkEnd w:id="11"/>
      <w:r>
        <w:rPr>
          <w:rFonts w:hint="eastAsia"/>
          <w:color w:val="000000" w:themeColor="text1"/>
          <w14:textFill>
            <w14:solidFill>
              <w14:schemeClr w14:val="tx1"/>
            </w14:solidFill>
          </w14:textFill>
        </w:rPr>
        <w:t>：</w:t>
      </w:r>
      <w:bookmarkStart w:id="12" w:name="_Toc3816"/>
      <w:bookmarkStart w:id="13" w:name="_Toc31105"/>
      <w:r>
        <w:rPr>
          <w:rFonts w:hint="eastAsia" w:ascii="方正仿宋_GBK" w:hAnsi="宋体" w:eastAsia="方正仿宋_GBK" w:cs="Times New Roman"/>
          <w:color w:val="000000" w:themeColor="text1"/>
          <w:sz w:val="24"/>
          <w:szCs w:val="24"/>
          <w14:textFill>
            <w14:solidFill>
              <w14:schemeClr w14:val="tx1"/>
            </w14:solidFill>
          </w14:textFill>
        </w:rPr>
        <w:t>医院自筹</w:t>
      </w:r>
      <w:bookmarkEnd w:id="12"/>
      <w:bookmarkEnd w:id="13"/>
    </w:p>
    <w:p>
      <w:pPr>
        <w:pStyle w:val="3"/>
        <w:spacing w:line="240" w:lineRule="auto"/>
        <w:rPr>
          <w:rStyle w:val="69"/>
          <w:rFonts w:hint="eastAsia" w:ascii="微软雅黑" w:hAnsi="微软雅黑" w:eastAsia="微软雅黑" w:cs="微软雅黑"/>
          <w:b/>
          <w:color w:val="000000" w:themeColor="text1"/>
          <w:sz w:val="24"/>
          <w:szCs w:val="24"/>
          <w14:textFill>
            <w14:solidFill>
              <w14:schemeClr w14:val="tx1"/>
            </w14:solidFill>
          </w14:textFill>
        </w:rPr>
      </w:pPr>
      <w:bookmarkStart w:id="14" w:name="_Toc485108769"/>
      <w:bookmarkStart w:id="15" w:name="_Toc27642"/>
      <w:r>
        <w:rPr>
          <w:rFonts w:hint="eastAsia" w:ascii="微软雅黑" w:hAnsi="微软雅黑" w:eastAsia="微软雅黑" w:cs="微软雅黑"/>
          <w:color w:val="000000" w:themeColor="text1"/>
          <w:sz w:val="24"/>
          <w:szCs w:val="24"/>
          <w14:textFill>
            <w14:solidFill>
              <w14:schemeClr w14:val="tx1"/>
            </w14:solidFill>
          </w14:textFill>
        </w:rPr>
        <w:t>三、</w:t>
      </w:r>
      <w:bookmarkEnd w:id="14"/>
      <w:r>
        <w:rPr>
          <w:rFonts w:hint="eastAsia" w:ascii="微软雅黑" w:hAnsi="微软雅黑" w:eastAsia="微软雅黑" w:cs="微软雅黑"/>
          <w:color w:val="000000" w:themeColor="text1"/>
          <w:sz w:val="24"/>
          <w:szCs w:val="24"/>
          <w14:textFill>
            <w14:solidFill>
              <w14:schemeClr w14:val="tx1"/>
            </w14:solidFill>
          </w14:textFill>
        </w:rPr>
        <w:t>供应商资格要求</w:t>
      </w:r>
      <w:bookmarkEnd w:id="15"/>
    </w:p>
    <w:p>
      <w:pPr>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成交供应商是指向采购人提供货物、工程或者服务的法人、其他组织或者自然人。以下简称供应商。合格的供应商应首先符合政府采购法第二十二条规定的基本条件，同时符合根据该项目特殊要求设置的特定资格条件。</w:t>
      </w:r>
    </w:p>
    <w:p>
      <w:pPr>
        <w:spacing w:line="4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w:t>
      </w:r>
      <w:r>
        <w:rPr>
          <w:rFonts w:hint="eastAsia" w:ascii="方正仿宋_GBK" w:hAnsi="宋体" w:eastAsia="方正仿宋_GBK"/>
          <w:color w:val="000000" w:themeColor="text1"/>
          <w:sz w:val="24"/>
          <w:szCs w:val="24"/>
          <w14:textFill>
            <w14:solidFill>
              <w14:schemeClr w14:val="tx1"/>
            </w14:solidFill>
          </w14:textFill>
        </w:rPr>
        <w:t>基本</w:t>
      </w:r>
      <w:r>
        <w:rPr>
          <w:rFonts w:hint="eastAsia" w:ascii="方正仿宋_GBK" w:hAnsi="宋体" w:eastAsia="方正仿宋_GBK" w:cs="Times New Roman"/>
          <w:color w:val="000000" w:themeColor="text1"/>
          <w:sz w:val="24"/>
          <w:szCs w:val="24"/>
          <w14:textFill>
            <w14:solidFill>
              <w14:schemeClr w14:val="tx1"/>
            </w14:solidFill>
          </w14:textFill>
        </w:rPr>
        <w:t>资格条件</w:t>
      </w:r>
    </w:p>
    <w:p>
      <w:pPr>
        <w:spacing w:line="4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1.具有独立承担民事责任的能力；</w:t>
      </w:r>
    </w:p>
    <w:p>
      <w:pPr>
        <w:spacing w:line="4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2.具有良好的商业信誉和健全的财务会计制度；</w:t>
      </w:r>
    </w:p>
    <w:p>
      <w:pPr>
        <w:spacing w:line="4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3.具有履行合同所必需的设备和专业技术能力；</w:t>
      </w:r>
    </w:p>
    <w:p>
      <w:pPr>
        <w:spacing w:line="4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4.有依法缴纳税收和社会保障资金的良好记录；</w:t>
      </w:r>
    </w:p>
    <w:p>
      <w:pPr>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5.参加政府采购活动前三年内，在经营活动中没有重大违法记录；</w:t>
      </w:r>
    </w:p>
    <w:p>
      <w:pPr>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6.法律、行政法规规定的其他条件。</w:t>
      </w:r>
    </w:p>
    <w:p>
      <w:pPr>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（二）特定资格条件</w:t>
      </w:r>
    </w:p>
    <w:p>
      <w:pPr>
        <w:ind w:firstLine="480" w:firstLineChars="200"/>
        <w:rPr>
          <w:rFonts w:hint="default" w:ascii="方正仿宋_GBK" w:hAnsi="宋体" w:eastAsia="方正仿宋_GBK" w:cs="Times New Roman"/>
          <w:color w:val="000000" w:themeColor="text1"/>
          <w:sz w:val="24"/>
          <w:szCs w:val="24"/>
          <w:lang w:val="en-US" w:eastAsia="zh-CN"/>
          <w14:textFill>
            <w14:solidFill>
              <w14:schemeClr w14:val="tx1"/>
            </w14:solidFill>
          </w14:textFill>
        </w:rPr>
      </w:pPr>
      <w:r>
        <w:rPr>
          <w:rFonts w:hint="default" w:ascii="方正仿宋_GBK" w:hAnsi="宋体" w:eastAsia="方正仿宋_GBK" w:cs="Times New Roman"/>
          <w:color w:val="000000" w:themeColor="text1"/>
          <w:sz w:val="24"/>
          <w:szCs w:val="24"/>
          <w:lang w:val="en-US" w:eastAsia="zh-CN"/>
          <w14:textFill>
            <w14:solidFill>
              <w14:schemeClr w14:val="tx1"/>
            </w14:solidFill>
          </w14:textFill>
        </w:rPr>
        <w:t>律师事务所执业许可证书指派的法律顾问律师执业资格证书</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w:t>
      </w:r>
      <w:r>
        <w:rPr>
          <w:rFonts w:hint="default" w:ascii="方正仿宋_GBK" w:hAnsi="宋体" w:eastAsia="方正仿宋_GBK" w:cs="Times New Roman"/>
          <w:color w:val="000000" w:themeColor="text1"/>
          <w:sz w:val="24"/>
          <w:szCs w:val="24"/>
          <w:lang w:val="en-US" w:eastAsia="zh-CN"/>
          <w14:textFill>
            <w14:solidFill>
              <w14:schemeClr w14:val="tx1"/>
            </w14:solidFill>
          </w14:textFill>
        </w:rPr>
        <w:t>（复印件加盖公章）</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w:t>
      </w:r>
    </w:p>
    <w:bookmarkEnd w:id="4"/>
    <w:bookmarkEnd w:id="5"/>
    <w:p>
      <w:pPr>
        <w:pStyle w:val="3"/>
        <w:spacing w:line="240" w:lineRule="auto"/>
        <w:rPr>
          <w:color w:val="000000" w:themeColor="text1"/>
          <w:sz w:val="24"/>
          <w:szCs w:val="24"/>
          <w14:textFill>
            <w14:solidFill>
              <w14:schemeClr w14:val="tx1"/>
            </w14:solidFill>
          </w14:textFill>
        </w:rPr>
      </w:pPr>
      <w:bookmarkStart w:id="16" w:name="_Toc6"/>
      <w:bookmarkStart w:id="17" w:name="_Toc25699"/>
      <w:bookmarkStart w:id="18" w:name="_Toc485108774"/>
      <w:bookmarkStart w:id="19" w:name="_Toc102227313"/>
      <w:r>
        <w:rPr>
          <w:rFonts w:hint="eastAsia" w:ascii="微软雅黑" w:hAnsi="微软雅黑" w:eastAsia="微软雅黑" w:cs="微软雅黑"/>
          <w:color w:val="000000" w:themeColor="text1"/>
          <w:sz w:val="24"/>
          <w:szCs w:val="24"/>
          <w14:textFill>
            <w14:solidFill>
              <w14:schemeClr w14:val="tx1"/>
            </w14:solidFill>
          </w14:textFill>
        </w:rPr>
        <w:t>四、比选有关说明</w:t>
      </w:r>
      <w:bookmarkEnd w:id="16"/>
      <w:bookmarkEnd w:id="17"/>
      <w:r>
        <w:rPr>
          <w:color w:val="000000" w:themeColor="text1"/>
          <w:sz w:val="24"/>
          <w:szCs w:val="24"/>
          <w14:textFill>
            <w14:solidFill>
              <w14:schemeClr w14:val="tx1"/>
            </w14:solidFill>
          </w14:textFill>
        </w:rPr>
        <w:tab/>
      </w:r>
    </w:p>
    <w:p>
      <w:pPr>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（一）凡有意参加比选的供应商，请在</w:t>
      </w:r>
      <w:r>
        <w:rPr>
          <w:rFonts w:hint="eastAsia" w:ascii="方正仿宋_GBK" w:hAnsi="宋体" w:eastAsia="方正仿宋_GBK" w:cs="Times New Roman"/>
          <w:color w:val="000000" w:themeColor="text1"/>
          <w:sz w:val="24"/>
          <w:szCs w:val="24"/>
          <w:lang w:eastAsia="zh-CN"/>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4"/>
          <w14:textFill>
            <w14:solidFill>
              <w14:schemeClr w14:val="tx1"/>
            </w14:solidFill>
          </w14:textFill>
        </w:rPr>
        <w:t>官网下载本项目比选文件以及图纸、澄清等比选前公布的所有项目资料，无论供应商下载与否，均视为已知晓所有比选实质性要求内容。</w:t>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（二）比选公告期限：自采购公告发布之日（202</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6</w:t>
      </w:r>
      <w:r>
        <w:rPr>
          <w:rFonts w:hint="eastAsia" w:ascii="方正仿宋_GBK" w:hAnsi="宋体" w:eastAsia="方正仿宋_GBK" w:cs="Times New Roman"/>
          <w:color w:val="000000" w:themeColor="text1"/>
          <w:sz w:val="24"/>
          <w:szCs w:val="24"/>
          <w14:textFill>
            <w14:solidFill>
              <w14:schemeClr w14:val="tx1"/>
            </w14:solidFill>
          </w14:textFill>
        </w:rPr>
        <w:t>月</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10</w:t>
      </w:r>
      <w:r>
        <w:rPr>
          <w:rFonts w:hint="eastAsia" w:ascii="方正仿宋_GBK" w:hAnsi="宋体" w:eastAsia="方正仿宋_GBK" w:cs="Times New Roman"/>
          <w:color w:val="000000" w:themeColor="text1"/>
          <w:sz w:val="24"/>
          <w:szCs w:val="24"/>
          <w14:textFill>
            <w14:solidFill>
              <w14:schemeClr w14:val="tx1"/>
            </w14:solidFill>
          </w14:textFill>
        </w:rPr>
        <w:t>日）起三个工作日。</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（三）报名方式</w:t>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凡有意参加的供应商，请于202</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6</w:t>
      </w:r>
      <w:r>
        <w:rPr>
          <w:rFonts w:hint="eastAsia" w:ascii="方正仿宋_GBK" w:hAnsi="宋体" w:eastAsia="方正仿宋_GBK" w:cs="Times New Roman"/>
          <w:color w:val="000000" w:themeColor="text1"/>
          <w:sz w:val="24"/>
          <w:szCs w:val="24"/>
          <w14:textFill>
            <w14:solidFill>
              <w14:schemeClr w14:val="tx1"/>
            </w14:solidFill>
          </w14:textFill>
        </w:rPr>
        <w:t>月</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10</w:t>
      </w:r>
      <w:r>
        <w:rPr>
          <w:rFonts w:hint="eastAsia" w:ascii="方正仿宋_GBK" w:hAnsi="宋体" w:eastAsia="方正仿宋_GBK" w:cs="Times New Roman"/>
          <w:color w:val="000000" w:themeColor="text1"/>
          <w:sz w:val="24"/>
          <w:szCs w:val="24"/>
          <w14:textFill>
            <w14:solidFill>
              <w14:schemeClr w14:val="tx1"/>
            </w14:solidFill>
          </w14:textFill>
        </w:rPr>
        <w:t>日</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17</w:t>
      </w:r>
      <w:r>
        <w:rPr>
          <w:rFonts w:hint="eastAsia" w:ascii="方正仿宋_GBK" w:hAnsi="宋体" w:eastAsia="方正仿宋_GBK" w:cs="Times New Roman"/>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3</w:t>
      </w:r>
      <w:r>
        <w:rPr>
          <w:rFonts w:hint="eastAsia" w:ascii="方正仿宋_GBK" w:hAnsi="宋体" w:eastAsia="方正仿宋_GBK" w:cs="Times New Roman"/>
          <w:color w:val="000000" w:themeColor="text1"/>
          <w:sz w:val="24"/>
          <w:szCs w:val="24"/>
          <w14:textFill>
            <w14:solidFill>
              <w14:schemeClr w14:val="tx1"/>
            </w14:solidFill>
          </w14:textFill>
        </w:rPr>
        <w:t>0时至202</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6</w:t>
      </w:r>
      <w:r>
        <w:rPr>
          <w:rFonts w:hint="eastAsia" w:ascii="方正仿宋_GBK" w:hAnsi="宋体" w:eastAsia="方正仿宋_GBK" w:cs="Times New Roman"/>
          <w:color w:val="000000" w:themeColor="text1"/>
          <w:sz w:val="24"/>
          <w:szCs w:val="24"/>
          <w14:textFill>
            <w14:solidFill>
              <w14:schemeClr w14:val="tx1"/>
            </w14:solidFill>
          </w14:textFill>
        </w:rPr>
        <w:t>月</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15</w:t>
      </w:r>
      <w:r>
        <w:rPr>
          <w:rFonts w:hint="eastAsia" w:ascii="方正仿宋_GBK" w:hAnsi="宋体" w:eastAsia="方正仿宋_GBK" w:cs="Times New Roman"/>
          <w:color w:val="000000" w:themeColor="text1"/>
          <w:sz w:val="24"/>
          <w:szCs w:val="24"/>
          <w14:textFill>
            <w14:solidFill>
              <w14:schemeClr w14:val="tx1"/>
            </w14:solidFill>
          </w14:textFill>
        </w:rPr>
        <w:t>日17:</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3</w:t>
      </w:r>
      <w:r>
        <w:rPr>
          <w:rFonts w:hint="eastAsia" w:ascii="方正仿宋_GBK" w:hAnsi="宋体" w:eastAsia="方正仿宋_GBK" w:cs="Times New Roman"/>
          <w:color w:val="000000" w:themeColor="text1"/>
          <w:sz w:val="24"/>
          <w:szCs w:val="24"/>
          <w14:textFill>
            <w14:solidFill>
              <w14:schemeClr w14:val="tx1"/>
            </w14:solidFill>
          </w14:textFill>
        </w:rPr>
        <w:t>0时（法定公休日、法定节假日除外）线上报名。</w:t>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线上报名方式：</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请务必将参与比选文件的采购项目名称及采购项目编号、所参与包号、供应商名称、联系人名称及联系方式、电子邮箱等注明，响应供应商一般资质和特定资格要求扫描后（加盖供应商公章）在报名截止时间前发送到邮箱cgb85385105@163.com。" </w:instrText>
      </w:r>
      <w:r>
        <w:rPr>
          <w:color w:val="000000" w:themeColor="text1"/>
          <w14:textFill>
            <w14:solidFill>
              <w14:schemeClr w14:val="tx1"/>
            </w14:solidFill>
          </w14:textFill>
        </w:rPr>
        <w:fldChar w:fldCharType="separate"/>
      </w:r>
      <w:r>
        <w:rPr>
          <w:rFonts w:hint="eastAsia" w:ascii="方正仿宋_GBK" w:hAnsi="宋体" w:eastAsia="方正仿宋_GBK" w:cs="Times New Roman"/>
          <w:color w:val="000000" w:themeColor="text1"/>
          <w:sz w:val="24"/>
          <w:szCs w:val="24"/>
          <w14:textFill>
            <w14:solidFill>
              <w14:schemeClr w14:val="tx1"/>
            </w14:solidFill>
          </w14:textFill>
        </w:rPr>
        <w:t>请务必将参与比选文件的采购项目名称及采购项目编号、供应商名称、联系人名称及联系方式、电子邮箱等注明，响应供应商一般资质和特定资格要求扫描后（加盖供应商公章）在报名截止时间前发送到邮箱cgb85385105@163.com。</w:t>
      </w:r>
      <w:r>
        <w:rPr>
          <w:rFonts w:hint="eastAsia" w:ascii="方正仿宋_GBK" w:hAnsi="宋体" w:eastAsia="方正仿宋_GBK" w:cs="Times New Roman"/>
          <w:color w:val="000000" w:themeColor="text1"/>
          <w:sz w:val="24"/>
          <w:szCs w:val="24"/>
          <w14:textFill>
            <w14:solidFill>
              <w14:schemeClr w14:val="tx1"/>
            </w14:solidFill>
          </w14:textFill>
        </w:rPr>
        <w:fldChar w:fldCharType="end"/>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报名的单位名称必须与响应人名称相同，只有按上述规定报名后，才具备响应资格</w:t>
      </w:r>
      <w:r>
        <w:rPr>
          <w:rFonts w:hint="eastAsia" w:ascii="方正仿宋_GBK" w:hAnsi="宋体" w:eastAsia="方正仿宋_GBK" w:cs="Times New Roman"/>
          <w:color w:val="000000" w:themeColor="text1"/>
          <w:sz w:val="28"/>
          <w:szCs w:val="28"/>
          <w14:textFill>
            <w14:solidFill>
              <w14:schemeClr w14:val="tx1"/>
            </w14:solidFill>
          </w14:textFill>
        </w:rPr>
        <w:t>。</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（四）供应商须满足以下二种要件，其响应文件才被接受：</w:t>
      </w:r>
    </w:p>
    <w:p>
      <w:pPr>
        <w:spacing w:line="380" w:lineRule="exact"/>
        <w:ind w:firstLine="720" w:firstLineChars="3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1、按时递交了响应文件</w:t>
      </w:r>
      <w:r>
        <w:rPr>
          <w:rFonts w:hint="eastAsia" w:ascii="仿宋" w:hAnsi="仿宋" w:eastAsia="仿宋" w:cs="Times New Roman"/>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重庆医科大学附属永川医院综合楼</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4</w:t>
      </w:r>
      <w:r>
        <w:rPr>
          <w:rFonts w:hint="eastAsia" w:ascii="方正仿宋_GBK" w:hAnsi="宋体" w:eastAsia="方正仿宋_GBK" w:cs="Times New Roman"/>
          <w:color w:val="000000" w:themeColor="text1"/>
          <w:sz w:val="24"/>
          <w:szCs w:val="24"/>
          <w14:textFill>
            <w14:solidFill>
              <w14:schemeClr w14:val="tx1"/>
            </w14:solidFill>
          </w14:textFill>
        </w:rPr>
        <w:t>楼会议室</w:t>
      </w:r>
      <w:r>
        <w:rPr>
          <w:rFonts w:hint="eastAsia" w:ascii="仿宋" w:hAnsi="仿宋" w:eastAsia="仿宋" w:cs="Times New Roman"/>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w:t>
      </w:r>
    </w:p>
    <w:p>
      <w:pPr>
        <w:spacing w:line="400" w:lineRule="exact"/>
        <w:ind w:left="10" w:leftChars="5" w:firstLine="720" w:firstLineChars="3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2、按时</w:t>
      </w:r>
      <w:r>
        <w:rPr>
          <w:rFonts w:hint="eastAsia" w:ascii="方正仿宋_GBK" w:hAnsi="宋体" w:eastAsia="方正仿宋_GBK"/>
          <w:color w:val="000000" w:themeColor="text1"/>
          <w:sz w:val="24"/>
          <w:szCs w:val="24"/>
          <w14:textFill>
            <w14:solidFill>
              <w14:schemeClr w14:val="tx1"/>
            </w14:solidFill>
          </w14:textFill>
        </w:rPr>
        <w:t>线上报名</w:t>
      </w:r>
      <w:r>
        <w:rPr>
          <w:rFonts w:hint="eastAsia" w:ascii="方正仿宋_GBK" w:hAnsi="宋体" w:eastAsia="方正仿宋_GBK" w:cs="Times New Roman"/>
          <w:color w:val="000000" w:themeColor="text1"/>
          <w:sz w:val="24"/>
          <w:szCs w:val="24"/>
          <w14:textFill>
            <w14:solidFill>
              <w14:schemeClr w14:val="tx1"/>
            </w14:solidFill>
          </w14:textFill>
        </w:rPr>
        <w:t>。</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（五）比选地点：重庆医科大学附属永川医院综合楼</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4</w:t>
      </w:r>
      <w:r>
        <w:rPr>
          <w:rFonts w:hint="eastAsia" w:ascii="方正仿宋_GBK" w:hAnsi="宋体" w:eastAsia="方正仿宋_GBK" w:cs="Times New Roman"/>
          <w:color w:val="000000" w:themeColor="text1"/>
          <w:sz w:val="24"/>
          <w:szCs w:val="24"/>
          <w14:textFill>
            <w14:solidFill>
              <w14:schemeClr w14:val="tx1"/>
            </w14:solidFill>
          </w14:textFill>
        </w:rPr>
        <w:t>楼会议室（地址：重庆市永川区萱花路439号）</w:t>
      </w:r>
    </w:p>
    <w:p>
      <w:pPr>
        <w:spacing w:line="400" w:lineRule="exact"/>
        <w:ind w:left="10" w:leftChars="5" w:firstLine="480" w:firstLineChars="200"/>
        <w:rPr>
          <w:rFonts w:hint="eastAsia" w:ascii="方正仿宋_GBK" w:hAnsi="宋体" w:eastAsia="方正仿宋_GBK" w:cs="Times New Roman"/>
          <w:color w:val="000000" w:themeColor="text1"/>
          <w:sz w:val="24"/>
          <w:szCs w:val="24"/>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（六）响应文件递交开始时间：</w:t>
      </w:r>
      <w:r>
        <w:rPr>
          <w:rFonts w:hint="eastAsia" w:ascii="方正仿宋_GBK" w:hAnsi="宋体" w:eastAsia="方正仿宋_GBK" w:cs="Times New Roman"/>
          <w:color w:val="000000" w:themeColor="text1"/>
          <w:sz w:val="24"/>
          <w:szCs w:val="24"/>
          <w:lang w:eastAsia="zh-CN"/>
          <w14:textFill>
            <w14:solidFill>
              <w14:schemeClr w14:val="tx1"/>
            </w14:solidFill>
          </w14:textFill>
        </w:rPr>
        <w:t>待定</w:t>
      </w:r>
    </w:p>
    <w:p>
      <w:pPr>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 </w:t>
      </w:r>
      <w:bookmarkStart w:id="20" w:name="_Toc26538"/>
      <w:r>
        <w:rPr>
          <w:rFonts w:hint="eastAsia" w:ascii="方正仿宋_GBK" w:hAnsi="宋体" w:eastAsia="方正仿宋_GBK" w:cs="Times New Roman"/>
          <w:color w:val="000000" w:themeColor="text1"/>
          <w:sz w:val="24"/>
          <w:szCs w:val="24"/>
          <w14:textFill>
            <w14:solidFill>
              <w14:schemeClr w14:val="tx1"/>
            </w14:solidFill>
          </w14:textFill>
        </w:rPr>
        <w:t>（七）响应文件递交截止时间：</w:t>
      </w:r>
      <w:bookmarkEnd w:id="20"/>
      <w:r>
        <w:rPr>
          <w:rFonts w:hint="eastAsia" w:ascii="方正仿宋_GBK" w:hAnsi="宋体" w:eastAsia="方正仿宋_GBK" w:cs="Times New Roman"/>
          <w:color w:val="000000" w:themeColor="text1"/>
          <w:sz w:val="24"/>
          <w:szCs w:val="24"/>
          <w:lang w:eastAsia="zh-CN"/>
          <w14:textFill>
            <w14:solidFill>
              <w14:schemeClr w14:val="tx1"/>
            </w14:solidFill>
          </w14:textFill>
        </w:rPr>
        <w:t>待定</w:t>
      </w:r>
      <w:bookmarkStart w:id="177" w:name="_GoBack"/>
      <w:bookmarkEnd w:id="177"/>
    </w:p>
    <w:p>
      <w:pPr>
        <w:ind w:firstLine="480" w:firstLineChars="200"/>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 </w:t>
      </w:r>
      <w:bookmarkStart w:id="21" w:name="_Toc7033"/>
      <w:r>
        <w:rPr>
          <w:rFonts w:hint="eastAsia" w:ascii="方正仿宋_GBK" w:hAnsi="宋体" w:eastAsia="方正仿宋_GBK" w:cs="Times New Roman"/>
          <w:color w:val="000000" w:themeColor="text1"/>
          <w:sz w:val="24"/>
          <w:szCs w:val="24"/>
          <w14:textFill>
            <w14:solidFill>
              <w14:schemeClr w14:val="tx1"/>
            </w14:solidFill>
          </w14:textFill>
        </w:rPr>
        <w:t>（八）比选开始时间：</w:t>
      </w:r>
      <w:bookmarkEnd w:id="21"/>
      <w:r>
        <w:rPr>
          <w:rFonts w:hint="eastAsia" w:ascii="方正仿宋_GBK" w:hAnsi="宋体" w:eastAsia="方正仿宋_GBK" w:cs="Times New Roman"/>
          <w:color w:val="000000" w:themeColor="text1"/>
          <w:sz w:val="24"/>
          <w:szCs w:val="24"/>
          <w:lang w:eastAsia="zh-CN"/>
          <w14:textFill>
            <w14:solidFill>
              <w14:schemeClr w14:val="tx1"/>
            </w14:solidFill>
          </w14:textFill>
        </w:rPr>
        <w:t>待定</w:t>
      </w:r>
    </w:p>
    <w:p>
      <w:pPr>
        <w:pStyle w:val="3"/>
        <w:bidi w:val="0"/>
        <w:rPr>
          <w:rFonts w:hint="eastAsia" w:ascii="微软雅黑" w:hAnsi="微软雅黑" w:eastAsia="微软雅黑" w:cs="微软雅黑"/>
          <w:color w:val="000000" w:themeColor="text1"/>
          <w:sz w:val="24"/>
          <w:szCs w:val="24"/>
          <w14:textFill>
            <w14:solidFill>
              <w14:schemeClr w14:val="tx1"/>
            </w14:solidFill>
          </w14:textFill>
        </w:rPr>
      </w:pPr>
      <w:bookmarkStart w:id="22" w:name="_Toc26525"/>
      <w:r>
        <w:rPr>
          <w:rFonts w:hint="eastAsia" w:ascii="微软雅黑" w:hAnsi="微软雅黑" w:eastAsia="微软雅黑" w:cs="微软雅黑"/>
          <w:color w:val="000000" w:themeColor="text1"/>
          <w:sz w:val="24"/>
          <w:szCs w:val="24"/>
          <w14:textFill>
            <w14:solidFill>
              <w14:schemeClr w14:val="tx1"/>
            </w14:solidFill>
          </w14:textFill>
        </w:rPr>
        <w:t>五、本项目无需购买比选文件</w:t>
      </w:r>
      <w:bookmarkEnd w:id="22"/>
      <w:bookmarkStart w:id="23" w:name="_Toc373860294"/>
      <w:bookmarkStart w:id="24" w:name="_Toc54718176"/>
      <w:bookmarkStart w:id="25" w:name="_Toc54171062"/>
    </w:p>
    <w:bookmarkEnd w:id="23"/>
    <w:bookmarkEnd w:id="24"/>
    <w:bookmarkEnd w:id="25"/>
    <w:p>
      <w:pPr>
        <w:pStyle w:val="3"/>
        <w:bidi w:val="0"/>
        <w:rPr>
          <w:rFonts w:hint="eastAsia" w:ascii="微软雅黑" w:hAnsi="微软雅黑" w:eastAsia="微软雅黑" w:cs="微软雅黑"/>
          <w:color w:val="000000" w:themeColor="text1"/>
          <w:sz w:val="24"/>
          <w:szCs w:val="24"/>
          <w14:textFill>
            <w14:solidFill>
              <w14:schemeClr w14:val="tx1"/>
            </w14:solidFill>
          </w14:textFill>
        </w:rPr>
      </w:pPr>
      <w:bookmarkStart w:id="26" w:name="_Toc1625"/>
      <w:bookmarkStart w:id="27" w:name="_Toc2047"/>
      <w:r>
        <w:rPr>
          <w:rFonts w:hint="eastAsia" w:ascii="微软雅黑" w:hAnsi="微软雅黑" w:eastAsia="微软雅黑" w:cs="微软雅黑"/>
          <w:color w:val="000000" w:themeColor="text1"/>
          <w:sz w:val="24"/>
          <w:szCs w:val="24"/>
          <w14:textFill>
            <w14:solidFill>
              <w14:schemeClr w14:val="tx1"/>
            </w14:solidFill>
          </w14:textFill>
        </w:rPr>
        <w:t>六、其它有关规定</w:t>
      </w:r>
      <w:bookmarkEnd w:id="26"/>
      <w:bookmarkEnd w:id="27"/>
    </w:p>
    <w:p>
      <w:pPr>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（一）单位负责人为同一人或者存在直接控股、管理关系的不同供应商，</w:t>
      </w:r>
      <w:r>
        <w:rPr>
          <w:rFonts w:ascii="方正仿宋_GBK" w:hAnsi="宋体" w:eastAsia="方正仿宋_GBK" w:cs="Times New Roman"/>
          <w:color w:val="000000" w:themeColor="text1"/>
          <w:sz w:val="24"/>
          <w:szCs w:val="24"/>
          <w14:textFill>
            <w14:solidFill>
              <w14:schemeClr w14:val="tx1"/>
            </w14:solidFill>
          </w14:textFill>
        </w:rPr>
        <w:t>不得参加同一合同项</w:t>
      </w:r>
      <w:r>
        <w:rPr>
          <w:rFonts w:hint="eastAsia" w:ascii="方正仿宋_GBK" w:hAnsi="宋体" w:eastAsia="方正仿宋_GBK" w:cs="Times New Roman"/>
          <w:color w:val="000000" w:themeColor="text1"/>
          <w:sz w:val="24"/>
          <w:szCs w:val="24"/>
          <w14:textFill>
            <w14:solidFill>
              <w14:schemeClr w14:val="tx1"/>
            </w14:solidFill>
          </w14:textFill>
        </w:rPr>
        <w:t>（分包）</w:t>
      </w:r>
      <w:r>
        <w:rPr>
          <w:rFonts w:ascii="方正仿宋_GBK" w:hAnsi="宋体" w:eastAsia="方正仿宋_GBK" w:cs="Times New Roman"/>
          <w:color w:val="000000" w:themeColor="text1"/>
          <w:sz w:val="24"/>
          <w:szCs w:val="24"/>
          <w14:textFill>
            <w14:solidFill>
              <w14:schemeClr w14:val="tx1"/>
            </w14:solidFill>
          </w14:textFill>
        </w:rPr>
        <w:t>下的政府采购活动</w:t>
      </w:r>
      <w:r>
        <w:rPr>
          <w:rFonts w:hint="eastAsia" w:ascii="方正仿宋_GBK" w:hAnsi="宋体" w:eastAsia="方正仿宋_GBK" w:cs="Times New Roman"/>
          <w:color w:val="000000" w:themeColor="text1"/>
          <w:sz w:val="24"/>
          <w:szCs w:val="24"/>
          <w14:textFill>
            <w14:solidFill>
              <w14:schemeClr w14:val="tx1"/>
            </w14:solidFill>
          </w14:textFill>
        </w:rPr>
        <w:t>，否则均为无效比选。</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（二）为采购项目提供整体设计、规范编制或者项目管理、监理、检测等服务的供应商，不得再</w:t>
      </w:r>
      <w:r>
        <w:rPr>
          <w:rFonts w:ascii="方正仿宋_GBK" w:hAnsi="宋体" w:eastAsia="方正仿宋_GBK" w:cs="Times New Roman"/>
          <w:color w:val="000000" w:themeColor="text1"/>
          <w:sz w:val="24"/>
          <w:szCs w:val="24"/>
          <w14:textFill>
            <w14:solidFill>
              <w14:schemeClr w14:val="tx1"/>
            </w14:solidFill>
          </w14:textFill>
        </w:rPr>
        <w:t>参加</w:t>
      </w:r>
      <w:r>
        <w:rPr>
          <w:rFonts w:hint="eastAsia" w:ascii="方正仿宋_GBK" w:hAnsi="宋体" w:eastAsia="方正仿宋_GBK" w:cs="Times New Roman"/>
          <w:color w:val="000000" w:themeColor="text1"/>
          <w:sz w:val="24"/>
          <w:szCs w:val="24"/>
          <w14:textFill>
            <w14:solidFill>
              <w14:schemeClr w14:val="tx1"/>
            </w14:solidFill>
          </w14:textFill>
        </w:rPr>
        <w:t>该采购</w:t>
      </w:r>
      <w:r>
        <w:rPr>
          <w:rFonts w:ascii="方正仿宋_GBK" w:hAnsi="宋体" w:eastAsia="方正仿宋_GBK" w:cs="Times New Roman"/>
          <w:color w:val="000000" w:themeColor="text1"/>
          <w:sz w:val="24"/>
          <w:szCs w:val="24"/>
          <w14:textFill>
            <w14:solidFill>
              <w14:schemeClr w14:val="tx1"/>
            </w14:solidFill>
          </w14:textFill>
        </w:rPr>
        <w:t>项目的</w:t>
      </w:r>
      <w:r>
        <w:rPr>
          <w:rFonts w:hint="eastAsia" w:ascii="方正仿宋_GBK" w:hAnsi="宋体" w:eastAsia="方正仿宋_GBK" w:cs="Times New Roman"/>
          <w:color w:val="000000" w:themeColor="text1"/>
          <w:sz w:val="24"/>
          <w:szCs w:val="24"/>
          <w14:textFill>
            <w14:solidFill>
              <w14:schemeClr w14:val="tx1"/>
            </w14:solidFill>
          </w14:textFill>
        </w:rPr>
        <w:t>其他</w:t>
      </w:r>
      <w:r>
        <w:rPr>
          <w:rFonts w:ascii="方正仿宋_GBK" w:hAnsi="宋体" w:eastAsia="方正仿宋_GBK" w:cs="Times New Roman"/>
          <w:color w:val="000000" w:themeColor="text1"/>
          <w:sz w:val="24"/>
          <w:szCs w:val="24"/>
          <w14:textFill>
            <w14:solidFill>
              <w14:schemeClr w14:val="tx1"/>
            </w14:solidFill>
          </w14:textFill>
        </w:rPr>
        <w:t>采购活动</w:t>
      </w:r>
      <w:r>
        <w:rPr>
          <w:rFonts w:hint="eastAsia" w:ascii="方正仿宋_GBK" w:hAnsi="宋体" w:eastAsia="方正仿宋_GBK" w:cs="Times New Roman"/>
          <w:color w:val="000000" w:themeColor="text1"/>
          <w:sz w:val="24"/>
          <w:szCs w:val="24"/>
          <w14:textFill>
            <w14:solidFill>
              <w14:schemeClr w14:val="tx1"/>
            </w14:solidFill>
          </w14:textFill>
        </w:rPr>
        <w:t>。</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（三）同一合同项（分包）下为单一品目的货物采购中， 同一品牌同一型号产品有多家供应商参加比选，只能按照一家供应商计算。</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（四）同一合同项（分包）下的货物，制造商参与比选的，不得再委托代理商参与比选。</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（五）本项目在响应文件提交截止时间前发布的比选文件及补遗文件（如果有）一律在</w:t>
      </w:r>
      <w:r>
        <w:rPr>
          <w:rFonts w:hint="eastAsia" w:ascii="方正仿宋_GBK" w:hAnsi="宋体" w:eastAsia="方正仿宋_GBK" w:cs="Times New Roman"/>
          <w:color w:val="000000" w:themeColor="text1"/>
          <w:sz w:val="24"/>
          <w:szCs w:val="24"/>
          <w:lang w:eastAsia="zh-CN"/>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4"/>
          <w14:textFill>
            <w14:solidFill>
              <w14:schemeClr w14:val="tx1"/>
            </w14:solidFill>
          </w14:textFill>
        </w:rPr>
        <w:t>官网上发布，请各供应商注意下载；无论供应商下载或与否，均视同供应商已知晓本项目澄清文件（如果有）的内容。</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（六）</w:t>
      </w:r>
      <w:r>
        <w:rPr>
          <w:rFonts w:hint="eastAsia" w:ascii="方正仿宋_GBK" w:hAnsi="宋体" w:eastAsia="方正仿宋_GBK"/>
          <w:color w:val="000000" w:themeColor="text1"/>
          <w:sz w:val="24"/>
          <w:szCs w:val="24"/>
          <w14:textFill>
            <w14:solidFill>
              <w14:schemeClr w14:val="tx1"/>
            </w14:solidFill>
          </w14:textFill>
        </w:rPr>
        <w:t>未线上报名的，其响应文件恕不接收，</w:t>
      </w:r>
      <w:r>
        <w:rPr>
          <w:rFonts w:hint="eastAsia" w:ascii="方正仿宋_GBK" w:hAnsi="宋体" w:eastAsia="方正仿宋_GBK" w:cs="Times New Roman"/>
          <w:color w:val="000000" w:themeColor="text1"/>
          <w:sz w:val="24"/>
          <w:szCs w:val="24"/>
          <w14:textFill>
            <w14:solidFill>
              <w14:schemeClr w14:val="tx1"/>
            </w14:solidFill>
          </w14:textFill>
        </w:rPr>
        <w:t>超过响应文件截止时间递交的响应文件，恕不接收。</w:t>
      </w:r>
    </w:p>
    <w:p>
      <w:pPr>
        <w:spacing w:line="38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（七）比选费用：无论比选结果如何，供应商参与本项目比选的所有费用均应由供应商自行承担。</w:t>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（八）本项目不接受联合体参与比选或不接受合同分包、转包。</w:t>
      </w:r>
    </w:p>
    <w:p>
      <w:pPr>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医院采购活动。</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28" w:name="_Toc6742"/>
      <w:bookmarkStart w:id="29" w:name="_Toc96605950"/>
      <w:r>
        <w:rPr>
          <w:rFonts w:hint="eastAsia" w:ascii="微软雅黑" w:hAnsi="微软雅黑" w:eastAsia="微软雅黑" w:cs="微软雅黑"/>
          <w:color w:val="000000" w:themeColor="text1"/>
          <w:sz w:val="24"/>
          <w:szCs w:val="24"/>
          <w14:textFill>
            <w14:solidFill>
              <w14:schemeClr w14:val="tx1"/>
            </w14:solidFill>
          </w14:textFill>
        </w:rPr>
        <w:t>七、防疫要求</w:t>
      </w:r>
      <w:bookmarkEnd w:id="28"/>
      <w:bookmarkEnd w:id="29"/>
    </w:p>
    <w:p>
      <w:pPr>
        <w:snapToGrid w:val="0"/>
        <w:ind w:firstLine="566" w:firstLineChars="236"/>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关于加强交易现场疫情防控工作的通知</w:t>
      </w:r>
    </w:p>
    <w:p>
      <w:pPr>
        <w:snapToGrid w:val="0"/>
        <w:ind w:firstLine="566" w:firstLineChars="236"/>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按照永川区政府关于当前疫情防控相关工作要求，重庆医科大学附属永川医院将加强现场疫情防控管理，现通知如下：</w:t>
      </w:r>
    </w:p>
    <w:p>
      <w:pPr>
        <w:snapToGrid w:val="0"/>
        <w:ind w:firstLine="566" w:firstLineChars="236"/>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入场交易人员须严格遵守永川区政府疫情防控要求和重庆医科大学附属永川医院现场防控管理规定，进场前配合工作人员进行体温检测，出示渝康码、行程码，登记人员信息。全程做好个人防护，佩戴口罩，保持安全距离，自觉听从医院工作人员的引导。</w:t>
      </w:r>
    </w:p>
    <w:p>
      <w:pPr>
        <w:snapToGrid w:val="0"/>
        <w:ind w:firstLine="566" w:firstLineChars="236"/>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（二）所有来自或途径中（高）风险区所在城市的来永返永人员，需持48小时内核酸检测阴性证明。若无法提供的，将不能进入医院，产生的一切后果自负。</w:t>
      </w:r>
    </w:p>
    <w:p>
      <w:pPr>
        <w:snapToGrid w:val="0"/>
        <w:ind w:firstLine="566" w:firstLineChars="236"/>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（三）请各进入医院人员和单位务必提前详细了解我区疫情防控具体要求，若不符合防控要求，将不能入场参与交易活动，请自行评估后果，合理安排人员参与相关活动。</w:t>
      </w:r>
    </w:p>
    <w:p>
      <w:pPr>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（四）由于区域疫情防控政策动态调整，请及时关注最新政策发布情况。如不清楚防控要求，请于采购前致电重庆医科大学附属永川医院采购办询问，咨询电话：85385105</w:t>
      </w:r>
      <w:bookmarkStart w:id="30" w:name="_Toc31390"/>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31" w:name="_Toc29640"/>
      <w:r>
        <w:rPr>
          <w:rFonts w:hint="eastAsia" w:ascii="微软雅黑" w:hAnsi="微软雅黑" w:eastAsia="微软雅黑" w:cs="微软雅黑"/>
          <w:color w:val="000000" w:themeColor="text1"/>
          <w:sz w:val="24"/>
          <w:szCs w:val="24"/>
          <w14:textFill>
            <w14:solidFill>
              <w14:schemeClr w14:val="tx1"/>
            </w14:solidFill>
          </w14:textFill>
        </w:rPr>
        <w:t>八、联系方式</w:t>
      </w:r>
      <w:bookmarkEnd w:id="30"/>
      <w:bookmarkEnd w:id="31"/>
    </w:p>
    <w:bookmarkEnd w:id="18"/>
    <w:bookmarkEnd w:id="19"/>
    <w:p>
      <w:pPr>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32" w:name="_Toc31093"/>
      <w:r>
        <w:rPr>
          <w:rFonts w:hint="eastAsia" w:ascii="方正仿宋_GBK" w:hAnsi="宋体" w:eastAsia="方正仿宋_GBK" w:cs="Times New Roman"/>
          <w:color w:val="000000" w:themeColor="text1"/>
          <w:sz w:val="24"/>
          <w:szCs w:val="24"/>
          <w14:textFill>
            <w14:solidFill>
              <w14:schemeClr w14:val="tx1"/>
            </w14:solidFill>
          </w14:textFill>
        </w:rPr>
        <w:t>采购人：重庆医科大学附属永川医院</w:t>
      </w:r>
    </w:p>
    <w:p>
      <w:pPr>
        <w:ind w:firstLine="480" w:firstLineChars="200"/>
        <w:jc w:val="left"/>
        <w:rPr>
          <w:rFonts w:hint="eastAsia" w:ascii="方正仿宋_GBK" w:hAnsi="宋体" w:eastAsia="方正仿宋_GBK" w:cs="Times New Roman"/>
          <w:color w:val="000000" w:themeColor="text1"/>
          <w:sz w:val="24"/>
          <w:szCs w:val="24"/>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联系人：</w:t>
      </w:r>
      <w:r>
        <w:rPr>
          <w:rFonts w:hint="eastAsia" w:ascii="方正仿宋_GBK" w:hAnsi="宋体" w:eastAsia="方正仿宋_GBK" w:cs="Times New Roman"/>
          <w:color w:val="000000" w:themeColor="text1"/>
          <w:sz w:val="24"/>
          <w:szCs w:val="24"/>
          <w:lang w:eastAsia="zh-CN"/>
          <w14:textFill>
            <w14:solidFill>
              <w14:schemeClr w14:val="tx1"/>
            </w14:solidFill>
          </w14:textFill>
        </w:rPr>
        <w:t>潘</w:t>
      </w:r>
      <w:r>
        <w:rPr>
          <w:rFonts w:hint="eastAsia" w:ascii="方正仿宋_GBK" w:hAnsi="宋体" w:eastAsia="方正仿宋_GBK" w:cs="Times New Roman"/>
          <w:color w:val="000000" w:themeColor="text1"/>
          <w:sz w:val="24"/>
          <w:szCs w:val="24"/>
          <w14:textFill>
            <w14:solidFill>
              <w14:schemeClr w14:val="tx1"/>
            </w14:solidFill>
          </w14:textFill>
        </w:rPr>
        <w:t>老师</w:t>
      </w:r>
      <w:r>
        <w:rPr>
          <w:rFonts w:hint="eastAsia" w:ascii="方正仿宋_GBK" w:hAnsi="宋体" w:eastAsia="方正仿宋_GBK" w:cs="Times New Roman"/>
          <w:color w:val="000000" w:themeColor="text1"/>
          <w:sz w:val="24"/>
          <w:szCs w:val="24"/>
          <w:lang w:eastAsia="zh-CN"/>
          <w14:textFill>
            <w14:solidFill>
              <w14:schemeClr w14:val="tx1"/>
            </w14:solidFill>
          </w14:textFill>
        </w:rPr>
        <w:t>、邓老师</w:t>
      </w:r>
    </w:p>
    <w:p>
      <w:pPr>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电  话：（023）85385105  </w:t>
      </w:r>
    </w:p>
    <w:p>
      <w:pPr>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地  址： 重庆市永川区萱花路439号</w:t>
      </w:r>
    </w:p>
    <w:p>
      <w:pPr>
        <w:ind w:firstLine="720" w:firstLineChars="200"/>
        <w:jc w:val="left"/>
        <w:rPr>
          <w:rFonts w:hint="eastAsia" w:ascii="方正小标宋_GBK" w:hAnsi="宋体" w:eastAsia="方正小标宋_GBK" w:cs="Times New Roman"/>
          <w:color w:val="000000" w:themeColor="text1"/>
          <w:sz w:val="36"/>
          <w:szCs w:val="30"/>
          <w14:textFill>
            <w14:solidFill>
              <w14:schemeClr w14:val="tx1"/>
            </w14:solidFill>
          </w14:textFill>
        </w:rPr>
      </w:pPr>
    </w:p>
    <w:p>
      <w:pPr>
        <w:ind w:firstLine="720" w:firstLineChars="200"/>
        <w:jc w:val="left"/>
        <w:rPr>
          <w:rFonts w:hint="eastAsia" w:ascii="方正小标宋_GBK" w:hAnsi="宋体" w:eastAsia="方正小标宋_GBK" w:cs="Times New Roman"/>
          <w:color w:val="000000" w:themeColor="text1"/>
          <w:sz w:val="36"/>
          <w:szCs w:val="30"/>
          <w14:textFill>
            <w14:solidFill>
              <w14:schemeClr w14:val="tx1"/>
            </w14:solidFill>
          </w14:textFill>
        </w:rPr>
      </w:pPr>
    </w:p>
    <w:p>
      <w:pPr>
        <w:ind w:firstLine="720" w:firstLineChars="200"/>
        <w:jc w:val="left"/>
        <w:rPr>
          <w:rFonts w:hint="eastAsia" w:ascii="方正小标宋_GBK" w:hAnsi="宋体" w:eastAsia="方正小标宋_GBK" w:cs="Times New Roman"/>
          <w:color w:val="000000" w:themeColor="text1"/>
          <w:sz w:val="36"/>
          <w:szCs w:val="30"/>
          <w14:textFill>
            <w14:solidFill>
              <w14:schemeClr w14:val="tx1"/>
            </w14:solidFill>
          </w14:textFill>
        </w:rPr>
      </w:pPr>
    </w:p>
    <w:p>
      <w:pPr>
        <w:ind w:firstLine="720" w:firstLineChars="200"/>
        <w:jc w:val="left"/>
        <w:rPr>
          <w:rFonts w:hint="eastAsia" w:ascii="方正小标宋_GBK" w:hAnsi="宋体" w:eastAsia="方正小标宋_GBK" w:cs="Times New Roman"/>
          <w:color w:val="000000" w:themeColor="text1"/>
          <w:sz w:val="36"/>
          <w:szCs w:val="30"/>
          <w14:textFill>
            <w14:solidFill>
              <w14:schemeClr w14:val="tx1"/>
            </w14:solidFill>
          </w14:textFill>
        </w:rPr>
      </w:pPr>
    </w:p>
    <w:p>
      <w:pPr>
        <w:ind w:firstLine="720" w:firstLineChars="200"/>
        <w:jc w:val="left"/>
        <w:rPr>
          <w:rFonts w:hint="eastAsia" w:ascii="方正小标宋_GBK" w:hAnsi="宋体" w:eastAsia="方正小标宋_GBK" w:cs="Times New Roman"/>
          <w:color w:val="000000" w:themeColor="text1"/>
          <w:sz w:val="36"/>
          <w:szCs w:val="30"/>
          <w14:textFill>
            <w14:solidFill>
              <w14:schemeClr w14:val="tx1"/>
            </w14:solidFill>
          </w14:textFill>
        </w:rPr>
      </w:pPr>
    </w:p>
    <w:bookmarkEnd w:id="32"/>
    <w:p>
      <w:pPr>
        <w:pStyle w:val="2"/>
        <w:jc w:val="center"/>
        <w:rPr>
          <w:rFonts w:hint="eastAsia"/>
          <w:b/>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2"/>
        <w:bidi w:val="0"/>
        <w:jc w:val="center"/>
        <w:rPr>
          <w:rFonts w:hint="eastAsia"/>
          <w:b/>
          <w:color w:val="000000" w:themeColor="text1"/>
          <w14:textFill>
            <w14:solidFill>
              <w14:schemeClr w14:val="tx1"/>
            </w14:solidFill>
          </w14:textFill>
        </w:rPr>
      </w:pPr>
      <w:bookmarkStart w:id="33" w:name="_Toc13632"/>
      <w:r>
        <w:rPr>
          <w:rFonts w:hint="eastAsia" w:ascii="微软雅黑" w:hAnsi="微软雅黑" w:eastAsia="微软雅黑" w:cs="微软雅黑"/>
          <w:b/>
          <w:bCs/>
          <w:color w:val="000000" w:themeColor="text1"/>
          <w:sz w:val="36"/>
          <w:szCs w:val="36"/>
          <w14:textFill>
            <w14:solidFill>
              <w14:schemeClr w14:val="tx1"/>
            </w14:solidFill>
          </w14:textFill>
        </w:rPr>
        <w:t>第二篇 供应商须知</w:t>
      </w:r>
      <w:bookmarkEnd w:id="33"/>
    </w:p>
    <w:p>
      <w:pPr>
        <w:pStyle w:val="3"/>
        <w:bidi w:val="0"/>
        <w:rPr>
          <w:rFonts w:hint="eastAsia" w:ascii="微软雅黑" w:hAnsi="微软雅黑" w:eastAsia="微软雅黑" w:cs="微软雅黑"/>
          <w:color w:val="000000" w:themeColor="text1"/>
          <w:sz w:val="24"/>
          <w:szCs w:val="24"/>
          <w14:textFill>
            <w14:solidFill>
              <w14:schemeClr w14:val="tx1"/>
            </w14:solidFill>
          </w14:textFill>
        </w:rPr>
      </w:pPr>
      <w:bookmarkStart w:id="34" w:name="_Toc18911"/>
      <w:r>
        <w:rPr>
          <w:rFonts w:hint="eastAsia" w:ascii="微软雅黑" w:hAnsi="微软雅黑" w:eastAsia="微软雅黑" w:cs="微软雅黑"/>
          <w:color w:val="000000" w:themeColor="text1"/>
          <w:sz w:val="24"/>
          <w:szCs w:val="24"/>
          <w14:textFill>
            <w14:solidFill>
              <w14:schemeClr w14:val="tx1"/>
            </w14:solidFill>
          </w14:textFill>
        </w:rPr>
        <w:t>一、比选费用</w:t>
      </w:r>
      <w:bookmarkEnd w:id="34"/>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参与比选的供应商应承担其编制响应文件与递交响应文件所涉及的一切费用，不论比选结果如何，</w:t>
      </w:r>
      <w:r>
        <w:rPr>
          <w:rFonts w:hint="eastAsia" w:ascii="方正仿宋_GBK" w:hAnsi="宋体" w:eastAsia="方正仿宋_GBK"/>
          <w:color w:val="000000" w:themeColor="text1"/>
          <w:sz w:val="24"/>
          <w:szCs w:val="24"/>
          <w14:textFill>
            <w14:solidFill>
              <w14:schemeClr w14:val="tx1"/>
            </w14:solidFill>
          </w14:textFill>
        </w:rPr>
        <w:t>医院在任何情况下无义务也无责任承担这些费用。</w:t>
      </w:r>
    </w:p>
    <w:p>
      <w:pPr>
        <w:pStyle w:val="3"/>
        <w:spacing w:line="240" w:lineRule="auto"/>
        <w:rPr>
          <w:color w:val="000000" w:themeColor="text1"/>
          <w14:textFill>
            <w14:solidFill>
              <w14:schemeClr w14:val="tx1"/>
            </w14:solidFill>
          </w14:textFill>
        </w:rPr>
      </w:pPr>
      <w:bookmarkStart w:id="35" w:name="_Toc31135"/>
      <w:r>
        <w:rPr>
          <w:rFonts w:hint="eastAsia" w:ascii="微软雅黑" w:hAnsi="微软雅黑" w:eastAsia="微软雅黑" w:cs="微软雅黑"/>
          <w:color w:val="000000" w:themeColor="text1"/>
          <w:sz w:val="24"/>
          <w:szCs w:val="24"/>
          <w14:textFill>
            <w14:solidFill>
              <w14:schemeClr w14:val="tx1"/>
            </w14:solidFill>
          </w14:textFill>
        </w:rPr>
        <w:t>二、比选文件</w:t>
      </w:r>
      <w:bookmarkEnd w:id="35"/>
      <w:r>
        <w:rPr>
          <w:color w:val="000000" w:themeColor="text1"/>
          <w14:textFill>
            <w14:solidFill>
              <w14:schemeClr w14:val="tx1"/>
            </w14:solidFill>
          </w14:textFill>
        </w:rPr>
        <w:tab/>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（一）比选文件由比选邀请书、供应商须知、比选项目技术需求、比选项目服务需求、合同草案条款、响应文件格式要求六部分组成。</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w:t>
      </w:r>
      <w:r>
        <w:rPr>
          <w:rFonts w:hint="eastAsia" w:ascii="方正仿宋_GBK" w:hAnsi="宋体" w:eastAsia="方正仿宋_GBK"/>
          <w:color w:val="000000" w:themeColor="text1"/>
          <w:sz w:val="24"/>
          <w:szCs w:val="24"/>
          <w14:textFill>
            <w14:solidFill>
              <w14:schemeClr w14:val="tx1"/>
            </w14:solidFill>
          </w14:textFill>
        </w:rPr>
        <w:t>医院</w:t>
      </w:r>
      <w:r>
        <w:rPr>
          <w:rFonts w:hint="eastAsia" w:ascii="方正仿宋_GBK" w:hAnsi="宋体" w:eastAsia="方正仿宋_GBK" w:cs="Times New Roman"/>
          <w:color w:val="000000" w:themeColor="text1"/>
          <w:sz w:val="24"/>
          <w:szCs w:val="24"/>
          <w14:textFill>
            <w14:solidFill>
              <w14:schemeClr w14:val="tx1"/>
            </w14:solidFill>
          </w14:textFill>
        </w:rPr>
        <w:t>所作的一切有效的修改及补充，都是比选文件不可分割的部分。</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（三）比选文件的解释</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如对比选文件有疑问，必须以书面形式在比选截止时间1个工作日前向采购人（或采购代理机构）要求澄清，采购人（或采购代理机构）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（四）本比选文件中，评审小组根据与供应商比选情况可能实质性变动的内容为比选文件第三、四、五篇全部内容。</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36" w:name="_Toc30585"/>
      <w:r>
        <w:rPr>
          <w:rFonts w:hint="eastAsia" w:ascii="微软雅黑" w:hAnsi="微软雅黑" w:eastAsia="微软雅黑" w:cs="微软雅黑"/>
          <w:color w:val="000000" w:themeColor="text1"/>
          <w:sz w:val="24"/>
          <w:szCs w:val="24"/>
          <w14:textFill>
            <w14:solidFill>
              <w14:schemeClr w14:val="tx1"/>
            </w14:solidFill>
          </w14:textFill>
        </w:rPr>
        <w:t>三、比选要求</w:t>
      </w:r>
      <w:bookmarkEnd w:id="36"/>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（一）响应文件</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供应商应当按照比选文件的要求编制响应文件，并对比选文件提出的要求和条件作出实质性响应，响应文件原则上采用软面订本，同时应编制完整的页码、目录。</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1、响应文件组成</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w:t>
      </w:r>
      <w:r>
        <w:rPr>
          <w:rFonts w:hint="eastAsia" w:ascii="方正仿宋_GBK" w:hAnsi="宋体" w:eastAsia="方正仿宋_GBK"/>
          <w:color w:val="000000" w:themeColor="text1"/>
          <w:sz w:val="24"/>
          <w:szCs w:val="24"/>
          <w14:textFill>
            <w14:solidFill>
              <w14:schemeClr w14:val="tx1"/>
            </w14:solidFill>
          </w14:textFill>
        </w:rPr>
        <w:t>本项目不接受联合体参与及合同分包、转包。</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3、比选有效期：响应文件及有关承诺文件有效期为比选开始时间起90天。</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（二）报价要求</w:t>
      </w:r>
    </w:p>
    <w:p>
      <w:pPr>
        <w:tabs>
          <w:tab w:val="left" w:pos="4680"/>
        </w:tabs>
        <w:spacing w:line="56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w:t>
      </w:r>
      <w:r>
        <w:rPr>
          <w:rFonts w:hint="eastAsia" w:ascii="方正仿宋_GBK" w:hAnsi="宋体" w:eastAsia="方正仿宋_GBK" w:cs="Times New Roman"/>
          <w:color w:val="000000" w:themeColor="text1"/>
          <w:sz w:val="24"/>
          <w:szCs w:val="24"/>
          <w14:textFill>
            <w14:solidFill>
              <w14:schemeClr w14:val="tx1"/>
            </w14:solidFill>
          </w14:textFill>
        </w:rPr>
        <w:t>比选报价包括完成本项目所需的合同</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的税费、</w:t>
      </w:r>
      <w:r>
        <w:rPr>
          <w:rFonts w:hint="eastAsia" w:ascii="方正仿宋_GBK" w:hAnsi="宋体" w:eastAsia="方正仿宋_GBK" w:cs="Times New Roman"/>
          <w:color w:val="000000" w:themeColor="text1"/>
          <w:sz w:val="24"/>
          <w:szCs w:val="24"/>
          <w:lang w:eastAsia="zh-CN"/>
          <w14:textFill>
            <w14:solidFill>
              <w14:schemeClr w14:val="tx1"/>
            </w14:solidFill>
          </w14:textFill>
        </w:rPr>
        <w:t>人工费</w:t>
      </w:r>
      <w:r>
        <w:rPr>
          <w:rFonts w:hint="eastAsia" w:ascii="方正仿宋_GBK" w:hAnsi="宋体" w:eastAsia="方正仿宋_GBK" w:cs="Times New Roman"/>
          <w:color w:val="000000" w:themeColor="text1"/>
          <w:sz w:val="24"/>
          <w:szCs w:val="24"/>
          <w14:textFill>
            <w14:solidFill>
              <w14:schemeClr w14:val="tx1"/>
            </w14:solidFill>
          </w14:textFill>
        </w:rPr>
        <w:t>、保险费、及与</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有关的供方应纳的税费，以及成交供应商人工工资、奖金、福利、社保、管理、利润、税金、风险费等在内的所有费用。因成交供应商自身原因造成漏报、少报皆由其自行承担责任，采购人不再补偿。</w:t>
      </w:r>
    </w:p>
    <w:p>
      <w:pPr>
        <w:spacing w:line="400" w:lineRule="exact"/>
        <w:ind w:firstLine="480" w:firstLineChars="200"/>
        <w:rPr>
          <w:rFonts w:hint="eastAsia" w:ascii="方正仿宋_GBK" w:hAnsi="宋体" w:eastAsia="方正仿宋_GBK" w:cs="Times New Roman"/>
          <w:color w:val="000000" w:themeColor="text1"/>
          <w:sz w:val="24"/>
          <w:szCs w:val="24"/>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2、律师为院方代理服务所产生的差旅费及津、补贴等另行协商（永川区域内不收取）。</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（三）修正错误</w:t>
      </w:r>
    </w:p>
    <w:p>
      <w:pPr>
        <w:spacing w:line="400" w:lineRule="exact"/>
        <w:ind w:firstLine="480" w:firstLineChars="20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2.评审小组按上述修正错误的原则及方法修正供应商的报价，供应商同意并签字确认后，修正后的报价对供应商具有约束作用。如果供应商不接受修正后的价格，将失去成为成交供应商的资格。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（四）提交响应文件的份数和签署</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1.响应文件一式</w:t>
      </w:r>
      <w:r>
        <w:rPr>
          <w:rFonts w:hint="eastAsia" w:ascii="方正仿宋_GBK" w:hAnsi="宋体" w:eastAsia="方正仿宋_GBK" w:cs="Times New Roman"/>
          <w:color w:val="000000" w:themeColor="text1"/>
          <w:sz w:val="24"/>
          <w:szCs w:val="24"/>
          <w:lang w:eastAsia="zh-CN"/>
          <w14:textFill>
            <w14:solidFill>
              <w14:schemeClr w14:val="tx1"/>
            </w14:solidFill>
          </w14:textFill>
        </w:rPr>
        <w:t>四</w:t>
      </w:r>
      <w:r>
        <w:rPr>
          <w:rFonts w:hint="eastAsia" w:ascii="方正仿宋_GBK" w:hAnsi="宋体" w:eastAsia="方正仿宋_GBK" w:cs="Times New Roman"/>
          <w:color w:val="000000" w:themeColor="text1"/>
          <w:sz w:val="24"/>
          <w:szCs w:val="24"/>
          <w14:textFill>
            <w14:solidFill>
              <w14:schemeClr w14:val="tx1"/>
            </w14:solidFill>
          </w14:textFill>
        </w:rPr>
        <w:t>份，其中正本一份，副本三份；副本可为正本的复印件，应与正本一致，如出现不一致情况以正本为准。</w:t>
      </w:r>
    </w:p>
    <w:p>
      <w:pPr>
        <w:snapToGrid w:val="0"/>
        <w:spacing w:line="4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w:t>
      </w:r>
      <w:r>
        <w:rPr>
          <w:rFonts w:hint="eastAsia" w:ascii="方正仿宋_GBK" w:hAnsi="宋体" w:eastAsia="方正仿宋_GBK" w:cs="Times New Roman"/>
          <w:color w:val="000000" w:themeColor="text1"/>
          <w:sz w:val="24"/>
          <w:szCs w:val="20"/>
          <w14:textFill>
            <w14:solidFill>
              <w14:schemeClr w14:val="tx1"/>
            </w14:solidFill>
          </w14:textFill>
        </w:rPr>
        <w:t>在响应文件正本中，比选文件第六篇响应文件格式中规定签字、盖章的地方必须按其规定签字、盖章。</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3.若供应商对响应文件的错处作必要修改，则应在修改处加盖供应商公章或由法定代表人或法定代表人授权代表签字确认。</w:t>
      </w:r>
    </w:p>
    <w:p>
      <w:pPr>
        <w:snapToGrid w:val="0"/>
        <w:spacing w:line="400" w:lineRule="exact"/>
        <w:ind w:firstLine="480" w:firstLineChars="200"/>
        <w:jc w:val="left"/>
        <w:rPr>
          <w:rFonts w:ascii="方正仿宋_GBK" w:hAnsi="宋体" w:eastAsia="方正仿宋_GBK" w:cs="Times New Roman"/>
          <w:strike/>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方正仿宋_GBK" w:hAnsi="宋体" w:eastAsia="方正仿宋_GBK" w:cs="Times New Roman"/>
          <w:color w:val="000000" w:themeColor="text1"/>
          <w:sz w:val="24"/>
          <w:szCs w:val="24"/>
          <w14:textFill>
            <w14:solidFill>
              <w14:schemeClr w14:val="tx1"/>
            </w14:solidFill>
          </w14:textFill>
        </w:rPr>
        <w:t>邮寄</w:t>
      </w:r>
      <w:r>
        <w:rPr>
          <w:rFonts w:hint="eastAsia" w:ascii="仿宋" w:hAnsi="仿宋" w:eastAsia="仿宋" w:cs="仿宋"/>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电报、电话、传真形式的响应文件概不接受。</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（五）响应文件的递交</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bookmarkStart w:id="37" w:name="OLE_LINK8"/>
      <w:bookmarkStart w:id="38" w:name="OLE_LINK9"/>
      <w:bookmarkStart w:id="39" w:name="OLE_LINK3"/>
      <w:r>
        <w:rPr>
          <w:rFonts w:hint="eastAsia" w:ascii="方正仿宋_GBK" w:hAnsi="宋体" w:eastAsia="方正仿宋_GBK" w:cs="Times New Roman"/>
          <w:color w:val="000000" w:themeColor="text1"/>
          <w:sz w:val="24"/>
          <w:szCs w:val="24"/>
          <w14:textFill>
            <w14:solidFill>
              <w14:schemeClr w14:val="tx1"/>
            </w14:solidFill>
          </w14:textFill>
        </w:rPr>
        <w:t>1.响应文件的密封与标记</w:t>
      </w:r>
    </w:p>
    <w:p>
      <w:pPr>
        <w:spacing w:line="4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响应文件的正本、副本均应密封送达比选地点，应在封套上注明项目名称、供应商名称。若正本、副本分别进行密封的，还应在封套上注明“正本”、“副本”字样。封套的封口处应加盖供应商公章或由法定代表人授权代表签字。</w:t>
      </w:r>
    </w:p>
    <w:p>
      <w:pPr>
        <w:snapToGrid w:val="0"/>
        <w:spacing w:line="4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2.响应文件投递截止时间：参阅比选邀请书。</w:t>
      </w:r>
    </w:p>
    <w:p>
      <w:pPr>
        <w:spacing w:line="4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3.如果未按上述规定进行密封和标记，医院对响应文件误投、丢失或提前拆封不负责任。</w:t>
      </w:r>
    </w:p>
    <w:p>
      <w:pPr>
        <w:spacing w:line="4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（六）响应文件语言：简体中文</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（七）供应商参与人员</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各个供应商可派1-2名代表参与比选，至少1人应为法定代表人或具有法定代表人授权委托书的授权代表。</w:t>
      </w:r>
      <w:r>
        <w:rPr>
          <w:rFonts w:hint="eastAsia" w:ascii="仿宋" w:hAnsi="仿宋" w:eastAsia="仿宋" w:cs="仿宋"/>
          <w:b/>
          <w:bCs/>
          <w:color w:val="000000" w:themeColor="text1"/>
          <w:sz w:val="24"/>
          <w14:textFill>
            <w14:solidFill>
              <w14:schemeClr w14:val="tx1"/>
            </w14:solidFill>
          </w14:textFill>
        </w:rPr>
        <w:t>法定代表人或授权代表应随身携带本人身份证原件。</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（八）无效比选</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供应商发生以下条款情况之一者，视为无效比选，</w:t>
      </w:r>
      <w:r>
        <w:rPr>
          <w:rFonts w:hint="eastAsia" w:ascii="方正仿宋_GBK" w:hAnsi="宋体" w:eastAsia="方正仿宋_GBK"/>
          <w:color w:val="000000" w:themeColor="text1"/>
          <w:sz w:val="24"/>
          <w:szCs w:val="24"/>
          <w14:textFill>
            <w14:solidFill>
              <w14:schemeClr w14:val="tx1"/>
            </w14:solidFill>
          </w14:textFill>
        </w:rPr>
        <w:t>应为无效响应</w:t>
      </w:r>
      <w:r>
        <w:rPr>
          <w:rFonts w:hint="eastAsia" w:ascii="方正仿宋_GBK" w:hAnsi="宋体" w:eastAsia="方正仿宋_GBK" w:cs="Times New Roman"/>
          <w:color w:val="000000" w:themeColor="text1"/>
          <w:sz w:val="24"/>
          <w:szCs w:val="24"/>
          <w14:textFill>
            <w14:solidFill>
              <w14:schemeClr w14:val="tx1"/>
            </w14:solidFill>
          </w14:textFill>
        </w:rPr>
        <w:t>：</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1.不符合规定的基本资格条件或特定资格条件；</w:t>
      </w:r>
    </w:p>
    <w:p>
      <w:pPr>
        <w:snapToGrid w:val="0"/>
        <w:spacing w:line="400" w:lineRule="exac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    2.法定代表人或其授权代表未参加比选；</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3.响应文件不按规定签字、盖章；</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4、供应商的报价超过采购货物总价限价或单价限价；</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5、供应商的最后报价超过采购预算；</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6.供应商响应文件内容有与国家现行法律法规相违背的内容，或附有采购人无法接受的条件。</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7、单位负责人为同一人或者存在直接控股、管理关系的不同供应商，参加同一合同项下政府采购活动的；</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8、为采购项目提供整体设计、规范编制或者项目管理、监理、检测等服务的供应商再参加该采购项目的其他采购活动的；</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9、同一合同项下的货物，制造商参与比选的，再委托代理商参与比选的；</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10、供应商以联合体形式参与比选的；</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11、供应商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bookmarkEnd w:id="37"/>
    <w:bookmarkEnd w:id="38"/>
    <w:bookmarkEnd w:id="39"/>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40" w:name="_Toc403569780"/>
      <w:bookmarkStart w:id="41" w:name="_Toc102227319"/>
      <w:bookmarkStart w:id="42" w:name="_Toc179714298"/>
      <w:bookmarkStart w:id="43" w:name="_Toc18122"/>
      <w:bookmarkStart w:id="44" w:name="_Toc5326"/>
      <w:bookmarkStart w:id="45" w:name="_Toc342913393"/>
      <w:r>
        <w:rPr>
          <w:rFonts w:hint="eastAsia" w:ascii="微软雅黑" w:hAnsi="微软雅黑" w:eastAsia="微软雅黑" w:cs="微软雅黑"/>
          <w:color w:val="000000" w:themeColor="text1"/>
          <w:sz w:val="24"/>
          <w:szCs w:val="24"/>
          <w14:textFill>
            <w14:solidFill>
              <w14:schemeClr w14:val="tx1"/>
            </w14:solidFill>
          </w14:textFill>
        </w:rPr>
        <w:t>四、比选程序</w:t>
      </w:r>
      <w:bookmarkEnd w:id="40"/>
      <w:bookmarkEnd w:id="41"/>
      <w:bookmarkEnd w:id="42"/>
      <w:bookmarkEnd w:id="43"/>
      <w:bookmarkEnd w:id="44"/>
      <w:bookmarkEnd w:id="45"/>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（一）比选按比选文件规定的时间和地点进行。供应商须有法定代表人或其授权代表参加并签到。</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比选以抽签的形式确定比选顺序，由本项目评审小组分别与各供应商进行比选。在正式比选前，对各供应商的资格条件、响应文件的有效性、完整性和响应程度进行审查各供应商只有在完全符合比选要求的前提下，才能参与正式比选。审查内容表如下：</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1、资格性检查。依据法律法规和竞争性比选文件的规定，评审小组对响应文件中的资格证明、保证金等进行审查，以确定供应商是否具备比选资格。资格性检查资料表如下：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60"/>
        <w:gridCol w:w="2825"/>
        <w:gridCol w:w="4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序号</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检查因素</w:t>
            </w:r>
          </w:p>
        </w:tc>
        <w:tc>
          <w:tcPr>
            <w:tcW w:w="4948" w:type="dxa"/>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restart"/>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1</w:t>
            </w:r>
          </w:p>
        </w:tc>
        <w:tc>
          <w:tcPr>
            <w:tcW w:w="1060" w:type="dxa"/>
            <w:vMerge w:val="restart"/>
            <w:vAlign w:val="center"/>
          </w:tcPr>
          <w:p>
            <w:pPr>
              <w:snapToGrid w:val="0"/>
              <w:spacing w:line="400" w:lineRule="exac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响应人应符合的基本资格条件</w:t>
            </w:r>
          </w:p>
        </w:tc>
        <w:tc>
          <w:tcPr>
            <w:tcW w:w="2825" w:type="dxa"/>
            <w:vAlign w:val="center"/>
          </w:tcPr>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（1）具有独立承担民事责任的能力</w:t>
            </w:r>
          </w:p>
        </w:tc>
        <w:tc>
          <w:tcPr>
            <w:tcW w:w="4948" w:type="dxa"/>
            <w:vAlign w:val="center"/>
          </w:tcPr>
          <w:p>
            <w:pPr>
              <w:snapToGrid w:val="0"/>
              <w:spacing w:line="400" w:lineRule="exact"/>
              <w:ind w:firstLine="420" w:firstLineChars="200"/>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供应商法人营业执照（副本）或事业单位法人证书（副本）或个体工商户营业执照或有效的自然人身份证明、组织机构代码证复印件；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000000" w:themeColor="text1"/>
                <w:szCs w:val="21"/>
                <w:lang w:val="zh-CN"/>
                <w14:textFill>
                  <w14:solidFill>
                    <w14:schemeClr w14:val="tx1"/>
                  </w14:solidFill>
                </w14:textFill>
              </w:rPr>
            </w:pPr>
          </w:p>
        </w:tc>
        <w:tc>
          <w:tcPr>
            <w:tcW w:w="2825" w:type="dxa"/>
            <w:vAlign w:val="center"/>
          </w:tcPr>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（2）</w:t>
            </w:r>
            <w:r>
              <w:rPr>
                <w:rFonts w:hint="eastAsia" w:ascii="方正仿宋_GBK" w:hAnsi="宋体" w:eastAsia="方正仿宋_GBK" w:cs="Times New Roman"/>
                <w:color w:val="000000" w:themeColor="text1"/>
                <w:szCs w:val="21"/>
                <w14:textFill>
                  <w14:solidFill>
                    <w14:schemeClr w14:val="tx1"/>
                  </w14:solidFill>
                </w14:textFill>
              </w:rPr>
              <w:t>具有良好的商业信誉和健全的财务会计制度</w:t>
            </w:r>
          </w:p>
        </w:tc>
        <w:tc>
          <w:tcPr>
            <w:tcW w:w="4948" w:type="dxa"/>
            <w:vAlign w:val="center"/>
          </w:tcPr>
          <w:p>
            <w:pPr>
              <w:jc w:val="left"/>
              <w:rPr>
                <w:rFonts w:ascii="方正仿宋_GBK" w:hAnsi="仿宋"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1.供应商提供2020或2021年度财务状况报告（表）或其基本开户银行出具的资信证明（提供复印件）。</w:t>
            </w:r>
          </w:p>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2.本年度新成立或成立不满一年的组织和自然人无法提供财务状况报告（表）的，可提供银行出具的资信证明（提供复印件）。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000000" w:themeColor="text1"/>
                <w:szCs w:val="21"/>
                <w:lang w:val="zh-CN"/>
                <w14:textFill>
                  <w14:solidFill>
                    <w14:schemeClr w14:val="tx1"/>
                  </w14:solidFill>
                </w14:textFill>
              </w:rPr>
            </w:pPr>
          </w:p>
        </w:tc>
        <w:tc>
          <w:tcPr>
            <w:tcW w:w="2825" w:type="dxa"/>
            <w:vAlign w:val="center"/>
          </w:tcPr>
          <w:p>
            <w:pPr>
              <w:snapToGrid w:val="0"/>
              <w:spacing w:line="400" w:lineRule="exac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（3）具有履行合同所必需的设备和专业技术能力</w:t>
            </w:r>
          </w:p>
        </w:tc>
        <w:tc>
          <w:tcPr>
            <w:tcW w:w="4948" w:type="dxa"/>
            <w:vAlign w:val="center"/>
          </w:tcPr>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供应商提供书面声明或相关证明材料（见格式文件）。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000000" w:themeColor="text1"/>
                <w:szCs w:val="21"/>
                <w:lang w:val="zh-CN"/>
                <w14:textFill>
                  <w14:solidFill>
                    <w14:schemeClr w14:val="tx1"/>
                  </w14:solidFill>
                </w14:textFill>
              </w:rPr>
            </w:pPr>
          </w:p>
        </w:tc>
        <w:tc>
          <w:tcPr>
            <w:tcW w:w="2825" w:type="dxa"/>
            <w:vAlign w:val="center"/>
          </w:tcPr>
          <w:p>
            <w:pPr>
              <w:snapToGrid w:val="0"/>
              <w:spacing w:line="400" w:lineRule="exac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（4）有依法缴纳税收和社会保障金的良好记录</w:t>
            </w:r>
          </w:p>
        </w:tc>
        <w:tc>
          <w:tcPr>
            <w:tcW w:w="4948" w:type="dxa"/>
            <w:vAlign w:val="center"/>
          </w:tcPr>
          <w:p>
            <w:pPr>
              <w:jc w:val="left"/>
              <w:rPr>
                <w:rFonts w:ascii="方正仿宋_GBK" w:hAnsi="仿宋"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1.税务登记证（副本）（提供复印件）。</w:t>
            </w:r>
          </w:p>
          <w:p>
            <w:pPr>
              <w:jc w:val="left"/>
              <w:rPr>
                <w:rFonts w:ascii="方正仿宋_GBK" w:hAnsi="仿宋"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2.缴纳社会保障金的证明材料（提供复印件）【缴纳社会保障金的证明材料指：社会保险登记证或缴纳社会保险的凭据（专用收据或社会保险缴纳清单）】。</w:t>
            </w:r>
          </w:p>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3.依法免税或不需要缴纳社会保障资金的供应商，应提供相应文件证明其依法免税或不需要缴纳社会保障资金（提供复印件）。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000000" w:themeColor="text1"/>
                <w:szCs w:val="21"/>
                <w:lang w:val="zh-CN"/>
                <w14:textFill>
                  <w14:solidFill>
                    <w14:schemeClr w14:val="tx1"/>
                  </w14:solidFill>
                </w14:textFill>
              </w:rPr>
            </w:pPr>
          </w:p>
        </w:tc>
        <w:tc>
          <w:tcPr>
            <w:tcW w:w="2825" w:type="dxa"/>
            <w:vAlign w:val="center"/>
          </w:tcPr>
          <w:p>
            <w:pPr>
              <w:snapToGrid w:val="0"/>
              <w:spacing w:line="400" w:lineRule="exac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（5）参加采购活动前三年内，在经营活动中没有重大违法记录（注</w:t>
            </w:r>
            <w:r>
              <w:rPr>
                <w:rFonts w:ascii="Calibri" w:hAnsi="Calibri" w:eastAsia="方正仿宋_GBK" w:cs="Calibri"/>
                <w:color w:val="000000" w:themeColor="text1"/>
                <w:szCs w:val="21"/>
                <w14:textFill>
                  <w14:solidFill>
                    <w14:schemeClr w14:val="tx1"/>
                  </w14:solidFill>
                </w14:textFill>
              </w:rPr>
              <w:t>①</w:t>
            </w:r>
            <w:r>
              <w:rPr>
                <w:rFonts w:hint="eastAsia" w:ascii="方正仿宋_GBK" w:hAnsi="宋体" w:eastAsia="方正仿宋_GBK" w:cs="Times New Roman"/>
                <w:color w:val="000000" w:themeColor="text1"/>
                <w:szCs w:val="21"/>
                <w14:textFill>
                  <w14:solidFill>
                    <w14:schemeClr w14:val="tx1"/>
                  </w14:solidFill>
                </w14:textFill>
              </w:rPr>
              <w:t>）</w:t>
            </w:r>
          </w:p>
        </w:tc>
        <w:tc>
          <w:tcPr>
            <w:tcW w:w="4948" w:type="dxa"/>
            <w:vAlign w:val="center"/>
          </w:tcPr>
          <w:p>
            <w:pPr>
              <w:snapToGrid w:val="0"/>
              <w:spacing w:line="400" w:lineRule="exact"/>
              <w:rPr>
                <w:rFonts w:ascii="方正仿宋_GBK" w:hAnsi="仿宋" w:eastAsia="方正仿宋_GBK" w:cs="Times New Roman"/>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方正仿宋_GBK" w:hAnsi="仿宋" w:eastAsia="方正仿宋_GBK" w:cs="Times New Roman"/>
                <w:color w:val="000000" w:themeColor="text1"/>
                <w:szCs w:val="21"/>
                <w14:textFill>
                  <w14:solidFill>
                    <w14:schemeClr w14:val="tx1"/>
                  </w14:solidFill>
                </w14:textFill>
              </w:rPr>
              <w:t>.供应商提供书面声明（见格式文件）</w:t>
            </w:r>
          </w:p>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方正仿宋_GBK" w:hAnsi="仿宋" w:eastAsia="方正仿宋_GBK" w:cs="Times New Roman"/>
                <w:b/>
                <w:color w:val="000000" w:themeColor="text1"/>
                <w:szCs w:val="21"/>
                <w14:textFill>
                  <w14:solidFill>
                    <w14:schemeClr w14:val="tx1"/>
                  </w14:solidFill>
                </w14:textFill>
              </w:rPr>
              <w:t>供应商提供 “信用中国”网站(www.creditchina.gov.cn)、"中国政府采购网"(www.ccgp.gov.cn)等渠道查询供应商信用记录（注</w:t>
            </w:r>
            <w:r>
              <w:rPr>
                <w:rFonts w:ascii="Calibri" w:hAnsi="Calibri" w:eastAsia="方正仿宋_GBK" w:cs="Calibri"/>
                <w:b/>
                <w:color w:val="000000" w:themeColor="text1"/>
                <w:szCs w:val="21"/>
                <w14:textFill>
                  <w14:solidFill>
                    <w14:schemeClr w14:val="tx1"/>
                  </w14:solidFill>
                </w14:textFill>
              </w:rPr>
              <w:t>②</w:t>
            </w:r>
            <w:r>
              <w:rPr>
                <w:rFonts w:hint="eastAsia" w:ascii="方正仿宋_GBK" w:hAnsi="仿宋" w:eastAsia="方正仿宋_GBK" w:cs="Times New Roman"/>
                <w:b/>
                <w:color w:val="000000" w:themeColor="text1"/>
                <w:szCs w:val="21"/>
                <w14:textFill>
                  <w14:solidFill>
                    <w14:schemeClr w14:val="tx1"/>
                  </w14:solidFill>
                </w14:textFill>
              </w:rPr>
              <w:t>）。对列入失信被执行人、重大税收违法案件当事人名单、政府采购严重违法失信行为记录名单的供应商将拒绝其参与医院采购活动。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060" w:type="dxa"/>
            <w:vMerge w:val="continue"/>
            <w:vAlign w:val="center"/>
          </w:tcPr>
          <w:p>
            <w:pPr>
              <w:snapToGrid w:val="0"/>
              <w:spacing w:line="400" w:lineRule="exact"/>
              <w:ind w:firstLine="420" w:firstLineChars="200"/>
              <w:rPr>
                <w:rFonts w:ascii="方正仿宋_GBK" w:hAnsi="宋体" w:eastAsia="方正仿宋_GBK" w:cs="Times New Roman"/>
                <w:color w:val="000000" w:themeColor="text1"/>
                <w:szCs w:val="21"/>
                <w14:textFill>
                  <w14:solidFill>
                    <w14:schemeClr w14:val="tx1"/>
                  </w14:solidFill>
                </w14:textFill>
              </w:rPr>
            </w:pPr>
          </w:p>
        </w:tc>
        <w:tc>
          <w:tcPr>
            <w:tcW w:w="2825" w:type="dxa"/>
            <w:vAlign w:val="center"/>
          </w:tcPr>
          <w:p>
            <w:pPr>
              <w:snapToGrid w:val="0"/>
              <w:spacing w:line="400" w:lineRule="exac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（6）法律、行政法规规定的其他条件</w:t>
            </w:r>
          </w:p>
        </w:tc>
        <w:tc>
          <w:tcPr>
            <w:tcW w:w="4948" w:type="dxa"/>
            <w:vAlign w:val="center"/>
          </w:tcPr>
          <w:p>
            <w:pPr>
              <w:snapToGrid w:val="0"/>
              <w:spacing w:line="400" w:lineRule="exact"/>
              <w:ind w:firstLine="420" w:firstLineChars="20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2</w:t>
            </w:r>
          </w:p>
        </w:tc>
        <w:tc>
          <w:tcPr>
            <w:tcW w:w="3885" w:type="dxa"/>
            <w:gridSpan w:val="2"/>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特定资格条件</w:t>
            </w:r>
          </w:p>
        </w:tc>
        <w:tc>
          <w:tcPr>
            <w:tcW w:w="4948"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仿宋" w:eastAsia="方正仿宋_GBK" w:cs="Times New Roman"/>
                <w:color w:val="000000" w:themeColor="text1"/>
                <w:szCs w:val="21"/>
                <w14:textFill>
                  <w14:solidFill>
                    <w14:schemeClr w14:val="tx1"/>
                  </w14:solidFill>
                </w14:textFill>
              </w:rPr>
              <w:t>按“第一篇三、</w:t>
            </w:r>
            <w:r>
              <w:rPr>
                <w:rFonts w:hint="eastAsia" w:ascii="方正仿宋_GBK" w:hAnsi="宋体" w:eastAsia="方正仿宋_GBK" w:cs="Times New Roman"/>
                <w:color w:val="000000" w:themeColor="text1"/>
                <w:sz w:val="24"/>
                <w:szCs w:val="24"/>
                <w14:textFill>
                  <w14:solidFill>
                    <w14:schemeClr w14:val="tx1"/>
                  </w14:solidFill>
                </w14:textFill>
              </w:rPr>
              <w:t>供应商资格</w:t>
            </w:r>
            <w:r>
              <w:rPr>
                <w:rFonts w:hint="eastAsia" w:ascii="仿宋" w:hAnsi="仿宋" w:eastAsia="仿宋" w:cs="仿宋"/>
                <w:color w:val="000000" w:themeColor="text1"/>
                <w:sz w:val="24"/>
                <w:szCs w:val="24"/>
                <w14:textFill>
                  <w14:solidFill>
                    <w14:schemeClr w14:val="tx1"/>
                  </w14:solidFill>
                </w14:textFill>
              </w:rPr>
              <w:t>要求</w:t>
            </w:r>
            <w:r>
              <w:rPr>
                <w:rFonts w:hint="eastAsia" w:ascii="方正仿宋_GBK" w:hAnsi="仿宋" w:eastAsia="方正仿宋_GBK" w:cs="Times New Roman"/>
                <w:color w:val="000000" w:themeColor="text1"/>
                <w:szCs w:val="21"/>
                <w14:textFill>
                  <w14:solidFill>
                    <w14:schemeClr w14:val="tx1"/>
                  </w14:solidFill>
                </w14:textFill>
              </w:rPr>
              <w:t>（二）</w:t>
            </w:r>
            <w:r>
              <w:rPr>
                <w:rFonts w:hint="eastAsia" w:ascii="方正仿宋_GBK" w:hAnsi="宋体" w:eastAsia="方正仿宋_GBK" w:cs="Times New Roman"/>
                <w:color w:val="000000" w:themeColor="text1"/>
                <w:sz w:val="24"/>
                <w:szCs w:val="24"/>
                <w14:textFill>
                  <w14:solidFill>
                    <w14:schemeClr w14:val="tx1"/>
                  </w14:solidFill>
                </w14:textFill>
              </w:rPr>
              <w:t>特定资格要求</w:t>
            </w:r>
            <w:r>
              <w:rPr>
                <w:rFonts w:hint="eastAsia" w:ascii="方正仿宋_GBK" w:hAnsi="仿宋" w:eastAsia="方正仿宋_GBK" w:cs="Times New Roman"/>
                <w:color w:val="000000" w:themeColor="text1"/>
                <w:szCs w:val="21"/>
                <w14:textFill>
                  <w14:solidFill>
                    <w14:schemeClr w14:val="tx1"/>
                  </w14:solidFill>
                </w14:textFill>
              </w:rPr>
              <w:t>的要求提交</w:t>
            </w:r>
            <w:r>
              <w:rPr>
                <w:rFonts w:hint="eastAsia" w:ascii="方正仿宋_GBK" w:hAnsi="宋体" w:eastAsia="方正仿宋_GBK" w:cs="Times New Roman"/>
                <w:color w:val="000000" w:themeColor="text1"/>
                <w:szCs w:val="21"/>
                <w14:textFill>
                  <w14:solidFill>
                    <w14:schemeClr w14:val="tx1"/>
                  </w14:solidFill>
                </w14:textFill>
              </w:rPr>
              <w:t>（如果有）</w:t>
            </w:r>
            <w:r>
              <w:rPr>
                <w:rFonts w:hint="eastAsia" w:ascii="方正仿宋_GBK" w:hAnsi="仿宋" w:eastAsia="方正仿宋_GBK" w:cs="Times New Roman"/>
                <w:color w:val="000000" w:themeColor="text1"/>
                <w:szCs w:val="21"/>
                <w14:textFill>
                  <w14:solidFill>
                    <w14:schemeClr w14:val="tx1"/>
                  </w14:solidFill>
                </w14:textFill>
              </w:rPr>
              <w:t>。</w:t>
            </w:r>
          </w:p>
        </w:tc>
      </w:tr>
    </w:tbl>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注：</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供应商按“多证合一”登记制度办理营业执照的，税务登记证（副本）和社会保险登记证以供应商所提供的营业执照（副本）复印件为准。</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ascii="Calibri" w:hAnsi="Calibri" w:eastAsia="方正仿宋_GBK" w:cs="Calibri"/>
          <w:color w:val="000000" w:themeColor="text1"/>
          <w:sz w:val="24"/>
          <w:szCs w:val="24"/>
          <w14:textFill>
            <w14:solidFill>
              <w14:schemeClr w14:val="tx1"/>
            </w14:solidFill>
          </w14:textFill>
        </w:rPr>
        <w:t>①</w:t>
      </w:r>
      <w:r>
        <w:rPr>
          <w:rFonts w:hint="eastAsia" w:ascii="方正仿宋_GBK" w:hAnsi="宋体" w:eastAsia="方正仿宋_GBK" w:cs="Times New Roman"/>
          <w:color w:val="000000" w:themeColor="text1"/>
          <w:sz w:val="24"/>
          <w:szCs w:val="24"/>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ascii="方正仿宋_GBK" w:hAnsi="宋体" w:eastAsia="方正仿宋_GBK" w:cs="Times New Roman"/>
          <w:color w:val="000000" w:themeColor="text1"/>
          <w:sz w:val="24"/>
          <w:szCs w:val="24"/>
          <w14:textFill>
            <w14:solidFill>
              <w14:schemeClr w14:val="tx1"/>
            </w14:solidFill>
          </w14:textFill>
        </w:rPr>
        <w:t>②</w:t>
      </w:r>
      <w:r>
        <w:rPr>
          <w:rFonts w:hint="eastAsia" w:ascii="方正仿宋_GBK" w:hAnsi="宋体" w:eastAsia="方正仿宋_GBK" w:cs="Times New Roman"/>
          <w:color w:val="000000" w:themeColor="text1"/>
          <w:sz w:val="24"/>
          <w:szCs w:val="24"/>
          <w14:textFill>
            <w14:solidFill>
              <w14:schemeClr w14:val="tx1"/>
            </w14:solidFill>
          </w14:textFill>
        </w:rPr>
        <w:t>供应商应提供四张截图（截图模板见第七篇后模板）。</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2、符合性审查。依据比选文件的规定，评审小组从响应文件的有效性、完整性和对比选文件的响应程度进行审查，以确定是否对比选文件的实质性要求作出响应。符合性检查资料表如下：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57"/>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80"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序号</w:t>
            </w:r>
          </w:p>
        </w:tc>
        <w:tc>
          <w:tcPr>
            <w:tcW w:w="3441" w:type="dxa"/>
            <w:gridSpan w:val="2"/>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评审因素</w:t>
            </w:r>
          </w:p>
        </w:tc>
        <w:tc>
          <w:tcPr>
            <w:tcW w:w="5409" w:type="dxa"/>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80" w:type="dxa"/>
            <w:vMerge w:val="restart"/>
            <w:vAlign w:val="center"/>
          </w:tcPr>
          <w:p>
            <w:pPr>
              <w:snapToGrid w:val="0"/>
              <w:spacing w:line="400" w:lineRule="exact"/>
              <w:jc w:val="center"/>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1</w:t>
            </w:r>
          </w:p>
        </w:tc>
        <w:tc>
          <w:tcPr>
            <w:tcW w:w="1457" w:type="dxa"/>
            <w:vMerge w:val="restart"/>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有效性审查</w:t>
            </w: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响应文件签署</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w:t>
            </w:r>
            <w:r>
              <w:rPr>
                <w:rFonts w:hint="eastAsia" w:ascii="方正仿宋_GBK" w:hAnsi="宋体" w:eastAsia="方正仿宋_GBK" w:cs="Times New Roman"/>
                <w:color w:val="000000" w:themeColor="text1"/>
                <w:szCs w:val="21"/>
                <w14:textFill>
                  <w14:solidFill>
                    <w14:schemeClr w14:val="tx1"/>
                  </w14:solidFill>
                </w14:textFill>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color w:val="000000" w:themeColor="text1"/>
                <w:szCs w:val="21"/>
                <w14:textFill>
                  <w14:solidFill>
                    <w14:schemeClr w14:val="tx1"/>
                  </w14:solidFill>
                </w14:textFill>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法定代表人身份证明及授权委托书</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法定代表人身份证明及授权委托书有效，符合比选文件规定的格式，签署或盖章齐全。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color w:val="000000" w:themeColor="text1"/>
                <w:szCs w:val="21"/>
                <w14:textFill>
                  <w14:solidFill>
                    <w14:schemeClr w14:val="tx1"/>
                  </w14:solidFill>
                </w14:textFill>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响应方案</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0" w:type="dxa"/>
            <w:vMerge w:val="continue"/>
            <w:vAlign w:val="center"/>
          </w:tcPr>
          <w:p>
            <w:pPr>
              <w:snapToGrid w:val="0"/>
              <w:spacing w:line="400" w:lineRule="exact"/>
              <w:ind w:firstLine="420" w:firstLineChars="200"/>
              <w:jc w:val="center"/>
              <w:rPr>
                <w:rFonts w:ascii="方正仿宋_GBK" w:hAnsi="宋体" w:eastAsia="方正仿宋_GBK" w:cs="Times New Roman"/>
                <w:color w:val="000000" w:themeColor="text1"/>
                <w:szCs w:val="21"/>
                <w14:textFill>
                  <w14:solidFill>
                    <w14:schemeClr w14:val="tx1"/>
                  </w14:solidFill>
                </w14:textFill>
              </w:rPr>
            </w:pPr>
          </w:p>
        </w:tc>
        <w:tc>
          <w:tcPr>
            <w:tcW w:w="1457" w:type="dxa"/>
            <w:vMerge w:val="continue"/>
            <w:vAlign w:val="center"/>
          </w:tcPr>
          <w:p>
            <w:pPr>
              <w:snapToGrid w:val="0"/>
              <w:spacing w:line="400" w:lineRule="exact"/>
              <w:ind w:firstLine="420" w:firstLineChars="200"/>
              <w:jc w:val="left"/>
              <w:rPr>
                <w:rFonts w:ascii="方正仿宋_GBK" w:hAnsi="宋体" w:eastAsia="方正仿宋_GBK" w:cs="Times New Roman"/>
                <w:color w:val="000000" w:themeColor="text1"/>
                <w:szCs w:val="21"/>
                <w14:textFill>
                  <w14:solidFill>
                    <w14:schemeClr w14:val="tx1"/>
                  </w14:solidFill>
                </w14:textFill>
              </w:rPr>
            </w:pP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报价唯一</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只能在预算金额内报价，</w:t>
            </w:r>
            <w:r>
              <w:rPr>
                <w:rFonts w:hint="eastAsia" w:ascii="方正仿宋_GBK" w:hAnsi="宋体" w:eastAsia="方正仿宋_GBK" w:cs="Times New Roman"/>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0" w:type="dxa"/>
            <w:vAlign w:val="center"/>
          </w:tcPr>
          <w:p>
            <w:pPr>
              <w:snapToGrid w:val="0"/>
              <w:spacing w:line="400" w:lineRule="exact"/>
              <w:jc w:val="center"/>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2</w:t>
            </w:r>
          </w:p>
        </w:tc>
        <w:tc>
          <w:tcPr>
            <w:tcW w:w="1457"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完整性审查</w:t>
            </w: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响应文件份数</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响应文件正、副本数量符合比选文件要求。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3</w:t>
            </w:r>
          </w:p>
        </w:tc>
        <w:tc>
          <w:tcPr>
            <w:tcW w:w="1457"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服务部分</w:t>
            </w: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w:t>
            </w:r>
            <w:r>
              <w:rPr>
                <w:rFonts w:hint="eastAsia" w:ascii="方正仿宋_GBK" w:hAnsi="宋体" w:eastAsia="方正仿宋_GBK" w:cs="Times New Roman"/>
                <w:color w:val="000000" w:themeColor="text1"/>
                <w:szCs w:val="21"/>
                <w14:textFill>
                  <w14:solidFill>
                    <w14:schemeClr w14:val="tx1"/>
                  </w14:solidFill>
                </w14:textFill>
              </w:rPr>
              <w:t>文件内容</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本采购文件第三篇中（※）号标注的部分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4</w:t>
            </w:r>
          </w:p>
        </w:tc>
        <w:tc>
          <w:tcPr>
            <w:tcW w:w="1457"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商务部分</w:t>
            </w: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w:t>
            </w:r>
            <w:r>
              <w:rPr>
                <w:rFonts w:hint="eastAsia" w:ascii="方正仿宋_GBK" w:hAnsi="宋体" w:eastAsia="方正仿宋_GBK" w:cs="Times New Roman"/>
                <w:color w:val="000000" w:themeColor="text1"/>
                <w:szCs w:val="21"/>
                <w14:textFill>
                  <w14:solidFill>
                    <w14:schemeClr w14:val="tx1"/>
                  </w14:solidFill>
                </w14:textFill>
              </w:rPr>
              <w:t>文件内容</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本采购文件第四篇中（※）号标注的部分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80" w:type="dxa"/>
            <w:vAlign w:val="center"/>
          </w:tcPr>
          <w:p>
            <w:pPr>
              <w:snapToGrid w:val="0"/>
              <w:spacing w:line="400" w:lineRule="exact"/>
              <w:jc w:val="center"/>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5</w:t>
            </w:r>
          </w:p>
        </w:tc>
        <w:tc>
          <w:tcPr>
            <w:tcW w:w="1457"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响应有效期</w:t>
            </w:r>
          </w:p>
        </w:tc>
        <w:tc>
          <w:tcPr>
            <w:tcW w:w="1984" w:type="dxa"/>
            <w:vAlign w:val="center"/>
          </w:tcPr>
          <w:p>
            <w:pPr>
              <w:snapToGrid w:val="0"/>
              <w:spacing w:line="400" w:lineRule="exact"/>
              <w:jc w:val="left"/>
              <w:rPr>
                <w:rFonts w:ascii="方正仿宋_GBK" w:hAnsi="宋体" w:eastAsia="方正仿宋_GBK" w:cs="Times New Roman"/>
                <w:color w:val="000000" w:themeColor="text1"/>
                <w:szCs w:val="21"/>
                <w:lang w:val="zh-CN"/>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w:t>
            </w:r>
            <w:r>
              <w:rPr>
                <w:rFonts w:hint="eastAsia" w:ascii="方正仿宋_GBK" w:hAnsi="宋体" w:eastAsia="方正仿宋_GBK" w:cs="Times New Roman"/>
                <w:color w:val="000000" w:themeColor="text1"/>
                <w:szCs w:val="21"/>
                <w14:textFill>
                  <w14:solidFill>
                    <w14:schemeClr w14:val="tx1"/>
                  </w14:solidFill>
                </w14:textFill>
              </w:rPr>
              <w:t>文件内容</w:t>
            </w:r>
          </w:p>
        </w:tc>
        <w:tc>
          <w:tcPr>
            <w:tcW w:w="5409" w:type="dxa"/>
            <w:vAlign w:val="center"/>
          </w:tcPr>
          <w:p>
            <w:pPr>
              <w:snapToGrid w:val="0"/>
              <w:spacing w:line="400" w:lineRule="exact"/>
              <w:jc w:val="left"/>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lang w:val="zh-CN"/>
                <w14:textFill>
                  <w14:solidFill>
                    <w14:schemeClr w14:val="tx1"/>
                  </w14:solidFill>
                </w14:textFill>
              </w:rPr>
              <w:t>响应</w:t>
            </w:r>
            <w:r>
              <w:rPr>
                <w:rFonts w:hint="eastAsia" w:ascii="方正仿宋_GBK" w:hAnsi="宋体" w:eastAsia="方正仿宋_GBK" w:cs="Times New Roman"/>
                <w:color w:val="000000" w:themeColor="text1"/>
                <w:szCs w:val="21"/>
                <w14:textFill>
                  <w14:solidFill>
                    <w14:schemeClr w14:val="tx1"/>
                  </w14:solidFill>
                </w14:textFill>
              </w:rPr>
              <w:t>有效期为响应截止日期后90天内</w:t>
            </w:r>
          </w:p>
        </w:tc>
      </w:tr>
    </w:tbl>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（五）在比选过程中比选的任何一方不得向他人透露与比选有关的技术资料、价格或其他信息。</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六）在比选过程中，评审小组可以根据比选文件和比选情况实质性变动采购需求中的技术、服务要求以及合同草案条款，但不得变动比选文件中的其他内容。实质性变动的内容，须经采购人代表确认。对比选文件作出的实质性变动是比选比选文件的有效组成部分，比选小组应当及时以书面形式同时通知所有参加比选的供应商。供应商应当按照比选文件的变动情况和比选小组的要求重新提交响应文件或重新做出相关的书面承诺，并报出最佳服务，最后统一报价。最后报价不能超过初始报价，否则失去成为成交候选人的资格，也不进入下一步评审排名。</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（七）供应商在比选时作出的所有书面承诺须由法定代表人或其授权代表签字。</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（八）、比选结束后，评审小组要求所有参加正式比选的供应商在规定时间内同时书面提交最后报价及有关承诺（填写《最后报价表》）。</w:t>
      </w:r>
      <w:r>
        <w:rPr>
          <w:rFonts w:ascii="方正仿宋_GBK" w:hAnsi="宋体" w:eastAsia="方正仿宋_GBK" w:cs="Times New Roman"/>
          <w:color w:val="000000" w:themeColor="text1"/>
          <w:sz w:val="24"/>
          <w:szCs w:val="24"/>
          <w14:textFill>
            <w14:solidFill>
              <w14:schemeClr w14:val="tx1"/>
            </w14:solidFill>
          </w14:textFill>
        </w:rPr>
        <w:t>已提交响应文件</w:t>
      </w:r>
      <w:r>
        <w:rPr>
          <w:rFonts w:hint="eastAsia" w:ascii="方正仿宋_GBK" w:hAnsi="宋体" w:eastAsia="方正仿宋_GBK" w:cs="Times New Roman"/>
          <w:color w:val="000000" w:themeColor="text1"/>
          <w:sz w:val="24"/>
          <w:szCs w:val="24"/>
          <w14:textFill>
            <w14:solidFill>
              <w14:schemeClr w14:val="tx1"/>
            </w14:solidFill>
          </w14:textFill>
        </w:rPr>
        <w:t>但未在规定时间内进行最后报价</w:t>
      </w:r>
      <w:r>
        <w:rPr>
          <w:rFonts w:ascii="方正仿宋_GBK" w:hAnsi="宋体" w:eastAsia="方正仿宋_GBK" w:cs="Times New Roman"/>
          <w:color w:val="000000" w:themeColor="text1"/>
          <w:sz w:val="24"/>
          <w:szCs w:val="24"/>
          <w14:textFill>
            <w14:solidFill>
              <w14:schemeClr w14:val="tx1"/>
            </w14:solidFill>
          </w14:textFill>
        </w:rPr>
        <w:t>的供应商，</w:t>
      </w:r>
      <w:r>
        <w:rPr>
          <w:rFonts w:hint="eastAsia" w:ascii="方正仿宋_GBK" w:hAnsi="宋体" w:eastAsia="方正仿宋_GBK" w:cs="Times New Roman"/>
          <w:color w:val="000000" w:themeColor="text1"/>
          <w:sz w:val="24"/>
          <w:szCs w:val="24"/>
          <w14:textFill>
            <w14:solidFill>
              <w14:schemeClr w14:val="tx1"/>
            </w14:solidFill>
          </w14:textFill>
        </w:rPr>
        <w:t>视为放弃最后报价，以供应商响应文件中的报价为准。</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46" w:name="_Toc32150"/>
      <w:bookmarkStart w:id="47" w:name="_Toc403569781"/>
      <w:bookmarkStart w:id="48" w:name="_Toc28776"/>
      <w:bookmarkStart w:id="49" w:name="_Toc102227320"/>
      <w:bookmarkStart w:id="50" w:name="_Toc342913394"/>
      <w:r>
        <w:rPr>
          <w:rFonts w:hint="eastAsia" w:ascii="微软雅黑" w:hAnsi="微软雅黑" w:eastAsia="微软雅黑" w:cs="微软雅黑"/>
          <w:color w:val="000000" w:themeColor="text1"/>
          <w:sz w:val="24"/>
          <w:szCs w:val="24"/>
          <w14:textFill>
            <w14:solidFill>
              <w14:schemeClr w14:val="tx1"/>
            </w14:solidFill>
          </w14:textFill>
        </w:rPr>
        <w:t>五、评审依据</w:t>
      </w:r>
      <w:bookmarkEnd w:id="46"/>
      <w:bookmarkEnd w:id="47"/>
      <w:bookmarkEnd w:id="48"/>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评审的依据为比选文件和响应文件（含有效的补充文件）。评审小组判断响应文件对比选文件的响应，仅基于响应文件本身而不靠外部证据。</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51" w:name="_Toc403569782"/>
      <w:bookmarkStart w:id="52" w:name="_Toc29340"/>
      <w:bookmarkStart w:id="53" w:name="_Toc12437"/>
      <w:r>
        <w:rPr>
          <w:rFonts w:hint="eastAsia" w:ascii="微软雅黑" w:hAnsi="微软雅黑" w:eastAsia="微软雅黑" w:cs="微软雅黑"/>
          <w:color w:val="000000" w:themeColor="text1"/>
          <w:sz w:val="24"/>
          <w:szCs w:val="24"/>
          <w14:textFill>
            <w14:solidFill>
              <w14:schemeClr w14:val="tx1"/>
            </w14:solidFill>
          </w14:textFill>
        </w:rPr>
        <w:t>六、成交</w:t>
      </w:r>
      <w:bookmarkEnd w:id="49"/>
      <w:r>
        <w:rPr>
          <w:rFonts w:hint="eastAsia" w:ascii="微软雅黑" w:hAnsi="微软雅黑" w:eastAsia="微软雅黑" w:cs="微软雅黑"/>
          <w:color w:val="000000" w:themeColor="text1"/>
          <w:sz w:val="24"/>
          <w:szCs w:val="24"/>
          <w14:textFill>
            <w14:solidFill>
              <w14:schemeClr w14:val="tx1"/>
            </w14:solidFill>
          </w14:textFill>
        </w:rPr>
        <w:t>原则</w:t>
      </w:r>
      <w:bookmarkEnd w:id="50"/>
      <w:bookmarkEnd w:id="51"/>
      <w:bookmarkEnd w:id="52"/>
      <w:bookmarkEnd w:id="53"/>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（一）评审办法</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1.评审小组将依照本比选文件相关规定对质量和服务均能满足比选实质性响应要求的供应商所提交的最后报价由低到高的顺序提出3名以上成交候选人，并编写评审报告。</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2.若供应商的最后报价经扣减后价格相同，按技术参数（条款）的优劣顺序排列；以上都相同的，按服务条款的优劣顺序排列。</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3.成交价格=成交供应商的最后报价</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（二）评审细则：</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 资格符合性检查</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依据法律法规和比选文件的规定，对供应商的资格证明等进行审查，以确定供应商是否具备比选资格。</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2.对响应文件的有效性、完整性和响应程度检查</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依据比选文件的规定，对供应商的响应文件从技术、服务等方面进行审查，以确定供应商是否实质性响应比选文件的要求。</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3.若同一</w:t>
      </w:r>
      <w:r>
        <w:rPr>
          <w:rFonts w:ascii="方正仿宋_GBK" w:hAnsi="宋体" w:eastAsia="方正仿宋_GBK" w:cs="Times New Roman"/>
          <w:color w:val="000000" w:themeColor="text1"/>
          <w:sz w:val="24"/>
          <w:szCs w:val="24"/>
          <w14:textFill>
            <w14:solidFill>
              <w14:schemeClr w14:val="tx1"/>
            </w14:solidFill>
          </w14:textFill>
        </w:rPr>
        <w:t>合同项</w:t>
      </w:r>
      <w:r>
        <w:rPr>
          <w:rFonts w:hint="eastAsia" w:ascii="方正仿宋_GBK" w:hAnsi="宋体" w:eastAsia="方正仿宋_GBK" w:cs="Times New Roman"/>
          <w:color w:val="000000" w:themeColor="text1"/>
          <w:sz w:val="24"/>
          <w:szCs w:val="24"/>
          <w14:textFill>
            <w14:solidFill>
              <w14:schemeClr w14:val="tx1"/>
            </w14:solidFill>
          </w14:textFill>
        </w:rPr>
        <w:t>（分包）</w:t>
      </w:r>
      <w:r>
        <w:rPr>
          <w:rFonts w:ascii="方正仿宋_GBK" w:hAnsi="宋体" w:eastAsia="方正仿宋_GBK" w:cs="Times New Roman"/>
          <w:color w:val="000000" w:themeColor="text1"/>
          <w:sz w:val="24"/>
          <w:szCs w:val="24"/>
          <w14:textFill>
            <w14:solidFill>
              <w14:schemeClr w14:val="tx1"/>
            </w14:solidFill>
          </w14:textFill>
        </w:rPr>
        <w:t>下</w:t>
      </w:r>
      <w:r>
        <w:rPr>
          <w:rFonts w:hint="eastAsia" w:ascii="方正仿宋_GBK" w:hAnsi="宋体" w:eastAsia="方正仿宋_GBK" w:cs="Times New Roman"/>
          <w:color w:val="000000" w:themeColor="text1"/>
          <w:sz w:val="24"/>
          <w:szCs w:val="24"/>
          <w14:textFill>
            <w14:solidFill>
              <w14:schemeClr w14:val="tx1"/>
            </w14:solidFill>
          </w14:textFill>
        </w:rPr>
        <w:t>为单一品目的货物采购比选中，同一品牌同一型号产品有多家供应商参加投标，只能按照一家供应商计算。评审中在其他条件（资格性检查、符合性检查）合格的前提下，选取最终报价最低的供应商进入评审，舍掉其他供应商。</w:t>
      </w:r>
    </w:p>
    <w:p>
      <w:pPr>
        <w:snapToGrid w:val="0"/>
        <w:spacing w:line="390" w:lineRule="exact"/>
        <w:ind w:firstLine="480" w:firstLineChars="200"/>
        <w:rPr>
          <w:rFonts w:ascii="方正仿宋_GBK" w:hAnsi="宋体" w:eastAsia="方正仿宋_GBK" w:cs="Times New Roman"/>
          <w:b/>
          <w:color w:val="000000" w:themeColor="text1"/>
          <w:sz w:val="24"/>
          <w:szCs w:val="24"/>
          <w14:textFill>
            <w14:solidFill>
              <w14:schemeClr w14:val="tx1"/>
            </w14:solidFill>
          </w14:textFill>
        </w:rPr>
      </w:pPr>
      <w:r>
        <w:rPr>
          <w:rFonts w:hint="eastAsia" w:ascii="方正仿宋_GBK" w:hAnsi="宋体" w:eastAsia="方正仿宋_GBK" w:cs="Times New Roman"/>
          <w:b/>
          <w:color w:val="000000" w:themeColor="text1"/>
          <w:sz w:val="24"/>
          <w:szCs w:val="24"/>
          <w14:textFill>
            <w14:solidFill>
              <w14:schemeClr w14:val="tx1"/>
            </w14:solidFill>
          </w14:textFill>
        </w:rPr>
        <w:t>4.成交供应商的确定：</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 “第三篇 项目服务需求”有一条及以上不能满足比选文件要求的供应商将失去成为成交供应商的资格；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 “第四篇 项目商务需求”有一条及以上不能满足比选文件要求的供应商将失去成为成交供应商的资格。</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评审小组认为，排在前面的成交候选人的最后报价或者某些分项报价明显不合理或者低于成本，有可能影响商品质量和不能诚信履约的，将要求其在规定的期限内提供书面文件予以解释说明，并提交相关证明材料；否则，评审比选小组可以取消该成交候选人成为成交供应商的资格，按顺序由排在后面的成交候选人递补，以此类推。</w:t>
      </w:r>
    </w:p>
    <w:p>
      <w:pPr>
        <w:snapToGrid w:val="0"/>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（4）评审小组将依照评审办法提出3名以上成交候选人。</w:t>
      </w:r>
    </w:p>
    <w:p>
      <w:pPr>
        <w:snapToGrid w:val="0"/>
        <w:spacing w:line="390" w:lineRule="exact"/>
        <w:ind w:firstLine="401" w:firstLineChars="167"/>
        <w:rPr>
          <w:rFonts w:ascii="方正仿宋_GBK" w:hAnsi="宋体" w:eastAsia="方正仿宋_GBK" w:cs="Times New Roman"/>
          <w:b/>
          <w:color w:val="000000" w:themeColor="text1"/>
          <w:sz w:val="24"/>
          <w:szCs w:val="24"/>
          <w14:textFill>
            <w14:solidFill>
              <w14:schemeClr w14:val="tx1"/>
            </w14:solidFill>
          </w14:textFill>
        </w:rPr>
      </w:pPr>
      <w:r>
        <w:rPr>
          <w:rFonts w:hint="eastAsia" w:ascii="方正仿宋_GBK" w:hAnsi="宋体" w:eastAsia="方正仿宋_GBK" w:cs="Times New Roman"/>
          <w:b/>
          <w:color w:val="000000" w:themeColor="text1"/>
          <w:sz w:val="24"/>
          <w:szCs w:val="24"/>
          <w14:textFill>
            <w14:solidFill>
              <w14:schemeClr w14:val="tx1"/>
            </w14:solidFill>
          </w14:textFill>
        </w:rPr>
        <w:t>5.成交供应商的变更</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（1）成交供应商拒绝签订采购合同的，医院可以按照评审报告推荐的成交候选人顺序，确定排名下一位的候选人为成交供应商，也可以重新开展采购活动。</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（2）拒绝签订采购合同的成交供应商不得参加对该项目重新开展的采购活动，列入黑名单，3年内不能参加医院的采购活动。</w:t>
      </w:r>
    </w:p>
    <w:p>
      <w:pPr>
        <w:snapToGrid w:val="0"/>
        <w:spacing w:line="390" w:lineRule="exact"/>
        <w:ind w:firstLine="360" w:firstLineChars="15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6.</w:t>
      </w:r>
      <w:r>
        <w:rPr>
          <w:rFonts w:hint="eastAsia" w:ascii="方正仿宋_GBK" w:hAnsi="宋体" w:eastAsia="方正仿宋_GBK"/>
          <w:b/>
          <w:color w:val="000000" w:themeColor="text1"/>
          <w:sz w:val="24"/>
          <w:szCs w:val="24"/>
          <w14:textFill>
            <w14:solidFill>
              <w14:schemeClr w14:val="tx1"/>
            </w14:solidFill>
          </w14:textFill>
        </w:rPr>
        <w:t xml:space="preserve"> 采购终止</w:t>
      </w:r>
    </w:p>
    <w:p>
      <w:pPr>
        <w:snapToGrid w:val="0"/>
        <w:spacing w:line="390" w:lineRule="exact"/>
        <w:ind w:firstLine="360" w:firstLineChars="15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出现下列情形之一的，采购人或者采购代理机构应当终止比选采购活动，发布项目终止公告并说明原因，重新开展采购活动：</w:t>
      </w:r>
    </w:p>
    <w:p>
      <w:pPr>
        <w:snapToGrid w:val="0"/>
        <w:spacing w:line="390" w:lineRule="exact"/>
        <w:ind w:firstLine="360" w:firstLineChars="15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（1）因情况变化，不再符合规定的比选采购方式适用情形的；</w:t>
      </w:r>
    </w:p>
    <w:p>
      <w:pPr>
        <w:snapToGrid w:val="0"/>
        <w:spacing w:line="390" w:lineRule="exact"/>
        <w:ind w:firstLine="360" w:firstLineChars="15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出现影响采购公正的违法、违规行为的；</w:t>
      </w:r>
    </w:p>
    <w:p>
      <w:pPr>
        <w:snapToGrid w:val="0"/>
        <w:spacing w:line="390" w:lineRule="exact"/>
        <w:ind w:firstLine="360" w:firstLineChars="15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w:t>
      </w:r>
      <w:r>
        <w:rPr>
          <w:rFonts w:hint="eastAsia" w:ascii="方正仿宋_GBK" w:hAnsi="宋体" w:eastAsia="方正仿宋_GBK" w:cs="Times New Roman"/>
          <w:color w:val="000000" w:themeColor="text1"/>
          <w:sz w:val="24"/>
          <w:szCs w:val="24"/>
          <w14:textFill>
            <w14:solidFill>
              <w14:schemeClr w14:val="tx1"/>
            </w14:solidFill>
          </w14:textFill>
        </w:rPr>
        <w:t>在采购过程中符合竞争要求的供应商或者报价未超过采购预算的供应商不足3家的，</w:t>
      </w:r>
      <w:r>
        <w:rPr>
          <w:rFonts w:hint="eastAsia" w:ascii="方正仿宋_GBK" w:hAnsi="宋体" w:eastAsia="方正仿宋_GBK"/>
          <w:color w:val="000000" w:themeColor="text1"/>
          <w:sz w:val="24"/>
          <w:szCs w:val="24"/>
          <w14:textFill>
            <w14:solidFill>
              <w14:schemeClr w14:val="tx1"/>
            </w14:solidFill>
          </w14:textFill>
        </w:rPr>
        <w:t>但《医院采购管理办法（试行）》第二十三条第一款（五）规定的情形除外。</w:t>
      </w:r>
      <w:r>
        <w:rPr>
          <w:rFonts w:hint="eastAsia" w:ascii="方正仿宋_GBK" w:hAnsi="宋体" w:eastAsia="方正仿宋_GBK" w:cs="Times New Roman"/>
          <w:color w:val="000000" w:themeColor="text1"/>
          <w:sz w:val="24"/>
          <w:szCs w:val="24"/>
          <w14:textFill>
            <w14:solidFill>
              <w14:schemeClr w14:val="tx1"/>
            </w14:solidFill>
          </w14:textFill>
        </w:rPr>
        <w:t>。</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54" w:name="_Toc102227321"/>
      <w:bookmarkStart w:id="55" w:name="_Toc403569783"/>
      <w:bookmarkStart w:id="56" w:name="_Toc3212"/>
      <w:bookmarkStart w:id="57" w:name="_Toc342913395"/>
      <w:bookmarkStart w:id="58" w:name="_Toc129"/>
      <w:r>
        <w:rPr>
          <w:rFonts w:hint="eastAsia" w:ascii="微软雅黑" w:hAnsi="微软雅黑" w:eastAsia="微软雅黑" w:cs="微软雅黑"/>
          <w:color w:val="000000" w:themeColor="text1"/>
          <w:sz w:val="24"/>
          <w:szCs w:val="24"/>
          <w14:textFill>
            <w14:solidFill>
              <w14:schemeClr w14:val="tx1"/>
            </w14:solidFill>
          </w14:textFill>
        </w:rPr>
        <w:t>七、成交通知</w:t>
      </w:r>
      <w:bookmarkEnd w:id="54"/>
      <w:bookmarkEnd w:id="55"/>
      <w:bookmarkEnd w:id="56"/>
      <w:bookmarkEnd w:id="57"/>
      <w:bookmarkEnd w:id="58"/>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1.成交供应商确定后，医院将在重庆医科大学附属永川医院官网发布成交结果公告，并仅对成交者发出电话通知。</w:t>
      </w:r>
    </w:p>
    <w:p>
      <w:pPr>
        <w:keepNext/>
        <w:keepLines/>
        <w:spacing w:line="390" w:lineRule="exact"/>
        <w:ind w:firstLine="360" w:firstLineChars="150"/>
        <w:outlineLvl w:val="2"/>
        <w:rPr>
          <w:rFonts w:ascii="方正仿宋_GBK" w:hAnsi="Times New Roman" w:eastAsia="方正仿宋_GBK" w:cs="Times New Roman"/>
          <w:color w:val="000000" w:themeColor="text1"/>
          <w:sz w:val="24"/>
          <w:szCs w:val="24"/>
          <w14:textFill>
            <w14:solidFill>
              <w14:schemeClr w14:val="tx1"/>
            </w14:solidFill>
          </w14:textFill>
        </w:rPr>
      </w:pPr>
      <w:r>
        <w:rPr>
          <w:rFonts w:hint="eastAsia" w:ascii="方正仿宋_GBK" w:hAnsi="Times New Roman" w:eastAsia="方正仿宋_GBK" w:cs="Times New Roman"/>
          <w:color w:val="000000" w:themeColor="text1"/>
          <w:sz w:val="24"/>
          <w:szCs w:val="24"/>
          <w14:textFill>
            <w14:solidFill>
              <w14:schemeClr w14:val="tx1"/>
            </w14:solidFill>
          </w14:textFill>
        </w:rPr>
        <w:t>2.接到采购结果通知后30天内必须来医院完善合同相关手续，逾期视为自动放弃供应商资格。</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59" w:name="_Toc17413"/>
      <w:bookmarkStart w:id="60" w:name="_Toc403569784"/>
      <w:bookmarkStart w:id="61" w:name="_Toc817"/>
      <w:r>
        <w:rPr>
          <w:rFonts w:hint="eastAsia" w:ascii="微软雅黑" w:hAnsi="微软雅黑" w:eastAsia="微软雅黑" w:cs="微软雅黑"/>
          <w:color w:val="000000" w:themeColor="text1"/>
          <w:sz w:val="24"/>
          <w:szCs w:val="24"/>
          <w14:textFill>
            <w14:solidFill>
              <w14:schemeClr w14:val="tx1"/>
            </w14:solidFill>
          </w14:textFill>
        </w:rPr>
        <w:t>八、关于质疑和投诉</w:t>
      </w:r>
      <w:bookmarkEnd w:id="59"/>
      <w:bookmarkEnd w:id="60"/>
      <w:bookmarkEnd w:id="61"/>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（一）质疑</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供应商认为比选文件、采购过程和成交结果使自己的权益收到伤害的，可向采购人或采购代理机构以书面形式提出质疑。</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提出质疑的应当是参与所质疑项目采购活动的供应商。 </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1、质疑时限、内容</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（1）供应商认为比选文件、采购过程、成交结果使自己的权益受到损害的，可以在知道或者应知其权益受到损害之日起7个工作日内，以书面形式向采购人、采购代理机构提出质疑。</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（2）供应商提出质疑应当提交质疑函和必要的证明材料，质疑函应当包括下列内容：</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①供应商的姓名或者名称、地址、邮编、联系人及联系电话；</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②质疑项目的名称、项目编号；</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③具体、明确的质疑事项和与质疑事项相关的请求；</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④事实依据；</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⑤必要的法律依据；</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⑥提出质疑的日期；</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⑦营业执照（或事业单位法人证书，或个体工商户营业执照或有效的自然人身份证明、组织机构代码证）复印件；</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⑧法定代表人授权委托书原件、法定代表人身份证复印件和其授权代表的身份证复印件（供应商为自然人的提供自然人身份证复印件）；</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（3）供应商为自然人的，质疑函应当由本人签字；供应商为法人或者其他组织的，质疑函应当由法定代表人、主要负责人，或者其授权代表签字或者盖章，并加盖公章。</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2、质疑答复</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采购人、采购代理机构应当在收到供应商的书面质疑后七个工作日内作出答复，并以书面形式通知质疑供应商和其他有关供应商。</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3、其他</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（1）供应商应按照《政府采购质疑和投诉办法》（财政部令第94号）及相关法律法规要求，在法定质疑期内一次性提出针对同一采购程序环节的质疑。</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（2）质疑函范本可在财政部门户网站和中国政府采购网下载。</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（三）投诉</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62" w:name="_Toc102227322"/>
      <w:bookmarkStart w:id="63" w:name="_Toc403569785"/>
      <w:bookmarkStart w:id="64" w:name="_Toc6381"/>
      <w:bookmarkStart w:id="65" w:name="_Toc342913396"/>
      <w:r>
        <w:rPr>
          <w:rFonts w:hint="eastAsia" w:ascii="方正仿宋_GBK" w:hAnsi="宋体" w:eastAsia="方正仿宋_GBK" w:cs="Times New Roman"/>
          <w:color w:val="000000" w:themeColor="text1"/>
          <w:sz w:val="24"/>
          <w:szCs w:val="24"/>
          <w14:textFill>
            <w14:solidFill>
              <w14:schemeClr w14:val="tx1"/>
            </w14:solidFill>
          </w14:textFill>
        </w:rPr>
        <w:t>供应商对医院的答复不满意，或者医院未在规定时间内答复的，可在答复期满后15个工作日内按有关规定，向院纪检部门投诉。</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66" w:name="_Toc23608"/>
      <w:r>
        <w:rPr>
          <w:rFonts w:hint="eastAsia" w:ascii="微软雅黑" w:hAnsi="微软雅黑" w:eastAsia="微软雅黑" w:cs="微软雅黑"/>
          <w:color w:val="000000" w:themeColor="text1"/>
          <w:sz w:val="24"/>
          <w:szCs w:val="24"/>
          <w14:textFill>
            <w14:solidFill>
              <w14:schemeClr w14:val="tx1"/>
            </w14:solidFill>
          </w14:textFill>
        </w:rPr>
        <w:t>九、签订</w:t>
      </w:r>
      <w:bookmarkEnd w:id="62"/>
      <w:r>
        <w:rPr>
          <w:rFonts w:hint="eastAsia" w:ascii="微软雅黑" w:hAnsi="微软雅黑" w:eastAsia="微软雅黑" w:cs="微软雅黑"/>
          <w:color w:val="000000" w:themeColor="text1"/>
          <w:sz w:val="24"/>
          <w:szCs w:val="24"/>
          <w14:textFill>
            <w14:solidFill>
              <w14:schemeClr w14:val="tx1"/>
            </w14:solidFill>
          </w14:textFill>
        </w:rPr>
        <w:t>合同</w:t>
      </w:r>
      <w:bookmarkEnd w:id="63"/>
      <w:bookmarkEnd w:id="64"/>
      <w:bookmarkEnd w:id="65"/>
      <w:bookmarkEnd w:id="66"/>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采购人与成交供应商应当在成交通知书发出之日起30日内，按照采购文件和成交供应商响应文件的约定，与成交供应商签订书面合同。所签订的合同不得对采购文件和供应商的响应文件作实质性修改。其他未尽事宜由医院和成交供应商在采购合同中详细约定。</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2、采购文件、成交供应商的响应文件及有效承诺文件等，均为签订合同的依据。</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3、如成交供应商放弃成交项目或在签订合同时擅自改变成交状态的，采购人将按照相关法律法规处理。</w:t>
      </w:r>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4、医院要求成交供应商提供履约保证金的，应当在比选文件中予以约定。成交供应商履约完毕后，医院根据采购文件规定无息退还其履约保证金。</w:t>
      </w:r>
    </w:p>
    <w:p>
      <w:pPr>
        <w:spacing w:line="39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5、除不可抗力等因素外，成交通知书发出后，采购人改变成交结果，或者成交供应商拒绝签订政府采购合同的，应当承担相应的法律责任。</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67" w:name="_Toc29479"/>
      <w:bookmarkStart w:id="68" w:name="_Toc15659"/>
      <w:bookmarkStart w:id="69" w:name="_Toc17553"/>
      <w:r>
        <w:rPr>
          <w:rFonts w:hint="eastAsia" w:ascii="微软雅黑" w:hAnsi="微软雅黑" w:eastAsia="微软雅黑" w:cs="微软雅黑"/>
          <w:color w:val="000000" w:themeColor="text1"/>
          <w:sz w:val="24"/>
          <w:szCs w:val="24"/>
          <w14:textFill>
            <w14:solidFill>
              <w14:schemeClr w14:val="tx1"/>
            </w14:solidFill>
          </w14:textFill>
        </w:rPr>
        <w:t>十、其他</w:t>
      </w:r>
      <w:bookmarkEnd w:id="67"/>
      <w:bookmarkEnd w:id="68"/>
      <w:bookmarkEnd w:id="69"/>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供应商来院参加采购相关活动，应执行医院《采购和产品介绍活动来院人员新冠防疫管理要求》进行防疫防控（按照“第七篇响应文件格式要求”规定执行）。</w:t>
      </w: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napToGrid w:val="0"/>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p>
    <w:p>
      <w:pPr>
        <w:spacing w:line="390" w:lineRule="exact"/>
        <w:rPr>
          <w:rFonts w:ascii="方正仿宋_GBK" w:hAnsi="宋体" w:eastAsia="方正仿宋_GBK" w:cs="Times New Roman"/>
          <w:b/>
          <w:color w:val="000000" w:themeColor="text1"/>
          <w:sz w:val="24"/>
          <w:szCs w:val="24"/>
          <w14:textFill>
            <w14:solidFill>
              <w14:schemeClr w14:val="tx1"/>
            </w14:solidFill>
          </w14:textFill>
        </w:rPr>
      </w:pPr>
    </w:p>
    <w:p>
      <w:pPr>
        <w:pStyle w:val="2"/>
        <w:jc w:val="center"/>
        <w:rPr>
          <w:b/>
          <w:color w:val="000000" w:themeColor="text1"/>
          <w:sz w:val="44"/>
          <w:szCs w:val="44"/>
          <w14:textFill>
            <w14:solidFill>
              <w14:schemeClr w14:val="tx1"/>
            </w14:solidFill>
          </w14:textFill>
        </w:rPr>
      </w:pPr>
      <w:bookmarkStart w:id="70" w:name="_Toc485108784"/>
      <w:bookmarkStart w:id="71" w:name="_Toc11564"/>
      <w:r>
        <w:rPr>
          <w:rFonts w:hint="eastAsia" w:ascii="微软雅黑" w:hAnsi="微软雅黑" w:eastAsia="微软雅黑" w:cs="微软雅黑"/>
          <w:b/>
          <w:color w:val="000000" w:themeColor="text1"/>
          <w:sz w:val="36"/>
          <w:szCs w:val="36"/>
          <w14:textFill>
            <w14:solidFill>
              <w14:schemeClr w14:val="tx1"/>
            </w14:solidFill>
          </w14:textFill>
        </w:rPr>
        <w:t>第三篇  项目服务需求</w:t>
      </w:r>
      <w:bookmarkEnd w:id="70"/>
      <w:bookmarkEnd w:id="71"/>
    </w:p>
    <w:p>
      <w:pPr>
        <w:rPr>
          <w:rFonts w:ascii="Times New Roman" w:hAnsi="Times New Roman" w:eastAsia="宋体" w:cs="Times New Roman"/>
          <w:color w:val="000000" w:themeColor="text1"/>
          <w:sz w:val="28"/>
          <w:szCs w:val="20"/>
          <w14:textFill>
            <w14:solidFill>
              <w14:schemeClr w14:val="tx1"/>
            </w14:solidFill>
          </w14:textFill>
        </w:rPr>
      </w:pP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72" w:name="_Toc485108785"/>
      <w:bookmarkStart w:id="73" w:name="_Toc23194"/>
      <w:bookmarkStart w:id="74" w:name="_Toc12789058"/>
      <w:r>
        <w:rPr>
          <w:rFonts w:hint="eastAsia" w:ascii="微软雅黑" w:hAnsi="微软雅黑" w:eastAsia="微软雅黑" w:cs="微软雅黑"/>
          <w:color w:val="000000" w:themeColor="text1"/>
          <w:sz w:val="24"/>
          <w:szCs w:val="24"/>
          <w14:textFill>
            <w14:solidFill>
              <w14:schemeClr w14:val="tx1"/>
            </w14:solidFill>
          </w14:textFill>
        </w:rPr>
        <w:t>一、</w:t>
      </w:r>
      <w:bookmarkEnd w:id="72"/>
      <w:r>
        <w:rPr>
          <w:rFonts w:hint="eastAsia" w:ascii="微软雅黑" w:hAnsi="微软雅黑" w:eastAsia="微软雅黑" w:cs="微软雅黑"/>
          <w:color w:val="000000" w:themeColor="text1"/>
          <w:sz w:val="24"/>
          <w:szCs w:val="24"/>
          <w14:textFill>
            <w14:solidFill>
              <w14:schemeClr w14:val="tx1"/>
            </w14:solidFill>
          </w14:textFill>
        </w:rPr>
        <w:t>项目一览表</w:t>
      </w:r>
      <w:bookmarkEnd w:id="73"/>
    </w:p>
    <w:tbl>
      <w:tblPr>
        <w:tblStyle w:val="58"/>
        <w:tblW w:w="8867" w:type="dxa"/>
        <w:tblInd w:w="145" w:type="dxa"/>
        <w:tblLayout w:type="fixed"/>
        <w:tblCellMar>
          <w:top w:w="0" w:type="dxa"/>
          <w:left w:w="108" w:type="dxa"/>
          <w:bottom w:w="0" w:type="dxa"/>
          <w:right w:w="108" w:type="dxa"/>
        </w:tblCellMar>
      </w:tblPr>
      <w:tblGrid>
        <w:gridCol w:w="3791"/>
        <w:gridCol w:w="2556"/>
        <w:gridCol w:w="2520"/>
      </w:tblGrid>
      <w:tr>
        <w:tblPrEx>
          <w:tblCellMar>
            <w:top w:w="0" w:type="dxa"/>
            <w:left w:w="108" w:type="dxa"/>
            <w:bottom w:w="0" w:type="dxa"/>
            <w:right w:w="108" w:type="dxa"/>
          </w:tblCellMar>
        </w:tblPrEx>
        <w:tc>
          <w:tcPr>
            <w:tcW w:w="379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r>
              <w:rPr>
                <w:rFonts w:hint="eastAsia" w:ascii="方正仿宋_GBK" w:hAnsi="仿宋" w:eastAsia="方正仿宋_GBK" w:cs="仿宋"/>
                <w:color w:val="000000" w:themeColor="text1"/>
                <w:sz w:val="24"/>
                <w:szCs w:val="24"/>
                <w14:textFill>
                  <w14:solidFill>
                    <w14:schemeClr w14:val="tx1"/>
                  </w14:solidFill>
                </w14:textFill>
              </w:rPr>
              <w:t>项目名称</w:t>
            </w:r>
          </w:p>
        </w:tc>
        <w:tc>
          <w:tcPr>
            <w:tcW w:w="255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r>
              <w:rPr>
                <w:rFonts w:hint="eastAsia" w:ascii="方正仿宋_GBK" w:hAnsi="仿宋" w:eastAsia="方正仿宋_GBK" w:cs="仿宋"/>
                <w:color w:val="000000" w:themeColor="text1"/>
                <w:sz w:val="24"/>
                <w:szCs w:val="24"/>
                <w14:textFill>
                  <w14:solidFill>
                    <w14:schemeClr w14:val="tx1"/>
                  </w14:solidFill>
                </w14:textFill>
              </w:rPr>
              <w:t>成交供应商数量</w:t>
            </w:r>
          </w:p>
        </w:tc>
        <w:tc>
          <w:tcPr>
            <w:tcW w:w="2520"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r>
              <w:rPr>
                <w:rFonts w:hint="eastAsia" w:ascii="方正仿宋_GBK" w:hAnsi="仿宋" w:eastAsia="方正仿宋_GBK" w:cs="仿宋"/>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c>
          <w:tcPr>
            <w:tcW w:w="3791" w:type="dxa"/>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r>
              <w:rPr>
                <w:rFonts w:hint="eastAsia" w:ascii="方正仿宋_GBK" w:hAnsi="仿宋" w:eastAsia="方正仿宋_GBK" w:cs="仿宋"/>
                <w:color w:val="000000" w:themeColor="text1"/>
                <w:sz w:val="22"/>
                <w:szCs w:val="22"/>
                <w:lang w:val="en-US" w:eastAsia="zh-CN"/>
                <w14:textFill>
                  <w14:solidFill>
                    <w14:schemeClr w14:val="tx1"/>
                  </w14:solidFill>
                </w14:textFill>
              </w:rPr>
              <w:t>常年法律顾问服务（经济类）</w:t>
            </w:r>
          </w:p>
        </w:tc>
        <w:tc>
          <w:tcPr>
            <w:tcW w:w="2556"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r>
              <w:rPr>
                <w:rFonts w:hint="eastAsia" w:ascii="方正仿宋_GBK" w:hAnsi="仿宋" w:eastAsia="方正仿宋_GBK" w:cs="仿宋"/>
                <w:color w:val="000000" w:themeColor="text1"/>
                <w:sz w:val="24"/>
                <w:szCs w:val="24"/>
                <w14:textFill>
                  <w14:solidFill>
                    <w14:schemeClr w14:val="tx1"/>
                  </w14:solidFill>
                </w14:textFill>
              </w:rPr>
              <w:t>1</w:t>
            </w:r>
          </w:p>
        </w:tc>
        <w:tc>
          <w:tcPr>
            <w:tcW w:w="2520" w:type="dxa"/>
            <w:tcBorders>
              <w:top w:val="single" w:color="auto" w:sz="4" w:space="0"/>
              <w:left w:val="nil"/>
              <w:bottom w:val="single" w:color="auto" w:sz="4" w:space="0"/>
              <w:right w:val="single" w:color="auto" w:sz="4" w:space="0"/>
            </w:tcBorders>
            <w:vAlign w:val="center"/>
          </w:tcPr>
          <w:p>
            <w:pPr>
              <w:snapToGrid w:val="0"/>
              <w:spacing w:line="500" w:lineRule="exact"/>
              <w:jc w:val="center"/>
              <w:rPr>
                <w:rFonts w:ascii="方正仿宋_GBK" w:hAnsi="仿宋" w:eastAsia="方正仿宋_GBK" w:cs="仿宋"/>
                <w:color w:val="000000" w:themeColor="text1"/>
                <w:sz w:val="24"/>
                <w:szCs w:val="24"/>
                <w14:textFill>
                  <w14:solidFill>
                    <w14:schemeClr w14:val="tx1"/>
                  </w14:solidFill>
                </w14:textFill>
              </w:rPr>
            </w:pPr>
          </w:p>
        </w:tc>
      </w:tr>
    </w:tbl>
    <w:p>
      <w:pPr>
        <w:ind w:firstLine="480" w:firstLineChars="200"/>
        <w:rPr>
          <w:rFonts w:ascii="方正仿宋_GBK" w:hAnsi="仿宋" w:eastAsia="方正仿宋_GBK" w:cs="仿宋"/>
          <w:color w:val="000000" w:themeColor="text1"/>
          <w:sz w:val="24"/>
          <w:szCs w:val="24"/>
          <w14:textFill>
            <w14:solidFill>
              <w14:schemeClr w14:val="tx1"/>
            </w14:solidFill>
          </w14:textFill>
        </w:rPr>
      </w:pP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75" w:name="_Toc485108786"/>
      <w:bookmarkStart w:id="76" w:name="_Toc30719"/>
      <w:r>
        <w:rPr>
          <w:rFonts w:hint="eastAsia" w:ascii="微软雅黑" w:hAnsi="微软雅黑" w:eastAsia="微软雅黑" w:cs="微软雅黑"/>
          <w:color w:val="000000" w:themeColor="text1"/>
          <w:sz w:val="24"/>
          <w:szCs w:val="24"/>
          <w14:textFill>
            <w14:solidFill>
              <w14:schemeClr w14:val="tx1"/>
            </w14:solidFill>
          </w14:textFill>
        </w:rPr>
        <w:t>二、服务要求</w:t>
      </w:r>
      <w:bookmarkEnd w:id="75"/>
      <w:bookmarkEnd w:id="76"/>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（一）</w:t>
      </w:r>
      <w:r>
        <w:rPr>
          <w:rFonts w:hint="eastAsia" w:ascii="方正仿宋_GBK" w:hAnsi="宋体" w:eastAsia="方正仿宋_GBK" w:cs="Times New Roman"/>
          <w:bCs/>
          <w:color w:val="000000" w:themeColor="text1"/>
          <w:sz w:val="24"/>
          <w:szCs w:val="24"/>
          <w14:textFill>
            <w14:solidFill>
              <w14:schemeClr w14:val="tx1"/>
            </w14:solidFill>
          </w14:textFill>
        </w:rPr>
        <w:t>为院方审查经济类合同。</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（二）</w:t>
      </w:r>
      <w:r>
        <w:rPr>
          <w:rFonts w:hint="eastAsia" w:ascii="方正仿宋_GBK" w:hAnsi="宋体" w:eastAsia="方正仿宋_GBK" w:cs="Times New Roman"/>
          <w:bCs/>
          <w:color w:val="000000" w:themeColor="text1"/>
          <w:sz w:val="24"/>
          <w:szCs w:val="24"/>
          <w14:textFill>
            <w14:solidFill>
              <w14:schemeClr w14:val="tx1"/>
            </w14:solidFill>
          </w14:textFill>
        </w:rPr>
        <w:t>为院方就有关法律问题提供意见。</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（三）</w:t>
      </w:r>
      <w:r>
        <w:rPr>
          <w:rFonts w:hint="eastAsia" w:ascii="方正仿宋_GBK" w:hAnsi="宋体" w:eastAsia="方正仿宋_GBK" w:cs="Times New Roman"/>
          <w:bCs/>
          <w:color w:val="000000" w:themeColor="text1"/>
          <w:sz w:val="24"/>
          <w:szCs w:val="24"/>
          <w14:textFill>
            <w14:solidFill>
              <w14:schemeClr w14:val="tx1"/>
            </w14:solidFill>
          </w14:textFill>
        </w:rPr>
        <w:t>草拟、审查法律文书。</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（四）</w:t>
      </w:r>
      <w:r>
        <w:rPr>
          <w:rFonts w:hint="eastAsia" w:ascii="方正仿宋_GBK" w:hAnsi="宋体" w:eastAsia="方正仿宋_GBK" w:cs="Times New Roman"/>
          <w:bCs/>
          <w:color w:val="000000" w:themeColor="text1"/>
          <w:sz w:val="24"/>
          <w:szCs w:val="24"/>
          <w14:textFill>
            <w14:solidFill>
              <w14:schemeClr w14:val="tx1"/>
            </w14:solidFill>
          </w14:textFill>
        </w:rPr>
        <w:t>代理参加处理与院方财务科、审计科、人事科、设备科、后勤保障科等有关的争议、诉讼、仲裁等法律事务纠纷的处理。</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（五）</w:t>
      </w:r>
      <w:r>
        <w:rPr>
          <w:rFonts w:hint="eastAsia" w:ascii="方正仿宋_GBK" w:hAnsi="宋体" w:eastAsia="方正仿宋_GBK" w:cs="Times New Roman"/>
          <w:bCs/>
          <w:color w:val="000000" w:themeColor="text1"/>
          <w:sz w:val="24"/>
          <w:szCs w:val="24"/>
          <w14:textFill>
            <w14:solidFill>
              <w14:schemeClr w14:val="tx1"/>
            </w14:solidFill>
          </w14:textFill>
        </w:rPr>
        <w:t>协助医院与第三方交涉，出具律师函。</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（六）</w:t>
      </w:r>
      <w:r>
        <w:rPr>
          <w:rFonts w:hint="eastAsia" w:ascii="方正仿宋_GBK" w:hAnsi="宋体" w:eastAsia="方正仿宋_GBK" w:cs="Times New Roman"/>
          <w:bCs/>
          <w:color w:val="000000" w:themeColor="text1"/>
          <w:sz w:val="24"/>
          <w:szCs w:val="24"/>
          <w14:textFill>
            <w14:solidFill>
              <w14:schemeClr w14:val="tx1"/>
            </w14:solidFill>
          </w14:textFill>
        </w:rPr>
        <w:t>办理院方委托的其他法律事务，维护院方的合</w:t>
      </w:r>
      <w:r>
        <w:rPr>
          <w:rFonts w:hint="eastAsia" w:ascii="方正仿宋_GBK" w:hAnsi="宋体" w:eastAsia="方正仿宋_GBK" w:cs="Times New Roman"/>
          <w:bCs/>
          <w:color w:val="000000" w:themeColor="text1"/>
          <w:sz w:val="24"/>
          <w:szCs w:val="24"/>
          <w:lang w:eastAsia="zh-CN"/>
          <w14:textFill>
            <w14:solidFill>
              <w14:schemeClr w14:val="tx1"/>
            </w14:solidFill>
          </w14:textFill>
        </w:rPr>
        <w:t>法</w:t>
      </w:r>
      <w:r>
        <w:rPr>
          <w:rFonts w:hint="eastAsia" w:ascii="方正仿宋_GBK" w:hAnsi="宋体" w:eastAsia="方正仿宋_GBK" w:cs="Times New Roman"/>
          <w:bCs/>
          <w:color w:val="000000" w:themeColor="text1"/>
          <w:sz w:val="24"/>
          <w:szCs w:val="24"/>
          <w14:textFill>
            <w14:solidFill>
              <w14:schemeClr w14:val="tx1"/>
            </w14:solidFill>
          </w14:textFill>
        </w:rPr>
        <w:t>权益。</w:t>
      </w:r>
    </w:p>
    <w:p>
      <w:pPr>
        <w:keepNext/>
        <w:snapToGrid w:val="0"/>
        <w:spacing w:line="360" w:lineRule="atLeast"/>
        <w:ind w:firstLine="480" w:firstLineChars="200"/>
        <w:outlineLvl w:val="0"/>
        <w:rPr>
          <w:rFonts w:hint="eastAsia" w:ascii="方正仿宋_GBK" w:hAnsi="宋体" w:eastAsia="方正仿宋_GBK" w:cs="Times New Roman"/>
          <w:bCs/>
          <w:color w:val="000000" w:themeColor="text1"/>
          <w:sz w:val="24"/>
          <w:szCs w:val="24"/>
          <w14:textFill>
            <w14:solidFill>
              <w14:schemeClr w14:val="tx1"/>
            </w14:solidFill>
          </w14:textFill>
        </w:rPr>
      </w:pPr>
      <w:r>
        <w:rPr>
          <w:rFonts w:hint="eastAsia" w:ascii="方正仿宋_GBK" w:hAnsi="宋体" w:eastAsia="方正仿宋_GBK" w:cs="Times New Roman"/>
          <w:bCs/>
          <w:color w:val="000000" w:themeColor="text1"/>
          <w:sz w:val="24"/>
          <w:szCs w:val="24"/>
          <w:lang w:eastAsia="zh-CN"/>
          <w14:textFill>
            <w14:solidFill>
              <w14:schemeClr w14:val="tx1"/>
            </w14:solidFill>
          </w14:textFill>
        </w:rPr>
        <w:t>（七）</w:t>
      </w:r>
      <w:r>
        <w:rPr>
          <w:rFonts w:hint="eastAsia" w:ascii="方正仿宋_GBK" w:hAnsi="宋体" w:eastAsia="方正仿宋_GBK" w:cs="Times New Roman"/>
          <w:bCs/>
          <w:color w:val="000000" w:themeColor="text1"/>
          <w:sz w:val="24"/>
          <w:szCs w:val="24"/>
          <w14:textFill>
            <w14:solidFill>
              <w14:schemeClr w14:val="tx1"/>
            </w14:solidFill>
          </w14:textFill>
        </w:rPr>
        <w:t>服务方应指派固定的律师为院方提供常年法律顾问服务。</w:t>
      </w: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spacing w:line="400" w:lineRule="exact"/>
        <w:ind w:firstLine="480" w:firstLineChars="200"/>
        <w:jc w:val="lef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keepNext/>
        <w:keepLines/>
        <w:spacing w:line="400" w:lineRule="exact"/>
        <w:outlineLvl w:val="2"/>
        <w:rPr>
          <w:rFonts w:hint="eastAsia" w:ascii="方正仿宋_GBK" w:hAnsi="宋体" w:eastAsia="方正仿宋_GBK" w:cs="Times New Roman"/>
          <w:color w:val="000000" w:themeColor="text1"/>
          <w:sz w:val="24"/>
          <w:szCs w:val="24"/>
          <w14:textFill>
            <w14:solidFill>
              <w14:schemeClr w14:val="tx1"/>
            </w14:solidFill>
          </w14:textFill>
        </w:rPr>
      </w:pPr>
    </w:p>
    <w:p>
      <w:pPr>
        <w:pStyle w:val="2"/>
        <w:jc w:val="center"/>
        <w:rPr>
          <w:b/>
          <w:color w:val="000000" w:themeColor="text1"/>
          <w:sz w:val="44"/>
          <w:szCs w:val="44"/>
          <w14:textFill>
            <w14:solidFill>
              <w14:schemeClr w14:val="tx1"/>
            </w14:solidFill>
          </w14:textFill>
        </w:rPr>
      </w:pPr>
      <w:bookmarkStart w:id="77" w:name="_Toc485108787"/>
      <w:bookmarkStart w:id="78" w:name="_Toc12324"/>
      <w:r>
        <w:rPr>
          <w:rFonts w:hint="eastAsia" w:ascii="微软雅黑" w:hAnsi="微软雅黑" w:eastAsia="微软雅黑" w:cs="微软雅黑"/>
          <w:b/>
          <w:color w:val="000000" w:themeColor="text1"/>
          <w:sz w:val="36"/>
          <w:szCs w:val="36"/>
          <w14:textFill>
            <w14:solidFill>
              <w14:schemeClr w14:val="tx1"/>
            </w14:solidFill>
          </w14:textFill>
        </w:rPr>
        <w:t>第四篇  项目商务需求</w:t>
      </w:r>
      <w:bookmarkEnd w:id="74"/>
      <w:bookmarkEnd w:id="77"/>
      <w:bookmarkEnd w:id="78"/>
      <w:bookmarkStart w:id="79" w:name="_Toc11641055"/>
      <w:bookmarkStart w:id="80" w:name="_Toc12789059"/>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81" w:name="_Toc485108788"/>
      <w:bookmarkStart w:id="82" w:name="_Toc19737"/>
      <w:bookmarkStart w:id="83" w:name="_Toc344475121"/>
      <w:r>
        <w:rPr>
          <w:rFonts w:hint="eastAsia" w:ascii="微软雅黑" w:hAnsi="微软雅黑" w:eastAsia="微软雅黑" w:cs="微软雅黑"/>
          <w:color w:val="000000" w:themeColor="text1"/>
          <w:sz w:val="24"/>
          <w:szCs w:val="24"/>
          <w14:textFill>
            <w14:solidFill>
              <w14:schemeClr w14:val="tx1"/>
            </w14:solidFill>
          </w14:textFill>
        </w:rPr>
        <w:t>一、服务时间、地点</w:t>
      </w:r>
      <w:bookmarkEnd w:id="81"/>
      <w:bookmarkEnd w:id="82"/>
    </w:p>
    <w:p>
      <w:pPr>
        <w:spacing w:line="360" w:lineRule="auto"/>
        <w:ind w:firstLine="564" w:firstLineChars="235"/>
        <w:rPr>
          <w:rFonts w:ascii="仿宋" w:hAnsi="仿宋" w:eastAsia="仿宋" w:cs="仿宋"/>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（一）服务时间：</w:t>
      </w:r>
      <w:r>
        <w:rPr>
          <w:rFonts w:hint="eastAsia" w:ascii="方正仿宋_GBK" w:hAnsi="宋体" w:eastAsia="方正仿宋_GBK" w:cs="Times New Roman"/>
          <w:color w:val="000000" w:themeColor="text1"/>
          <w:sz w:val="24"/>
          <w:szCs w:val="24"/>
          <w:u w:val="single"/>
          <w:lang w:val="en-US" w:eastAsia="zh-CN"/>
          <w14:textFill>
            <w14:solidFill>
              <w14:schemeClr w14:val="tx1"/>
            </w14:solidFill>
          </w14:textFill>
        </w:rPr>
        <w:t>3</w:t>
      </w:r>
      <w:r>
        <w:rPr>
          <w:rFonts w:hint="eastAsia" w:ascii="方正仿宋_GBK" w:hAnsi="宋体" w:eastAsia="方正仿宋_GBK" w:cs="Times New Roman"/>
          <w:color w:val="000000" w:themeColor="text1"/>
          <w:sz w:val="24"/>
          <w:szCs w:val="24"/>
          <w:u w:val="single"/>
          <w14:textFill>
            <w14:solidFill>
              <w14:schemeClr w14:val="tx1"/>
            </w14:solidFill>
          </w14:textFill>
        </w:rPr>
        <w:t>年。</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（二）服务地点：重庆医科大学附属永川医院（</w:t>
      </w:r>
      <w:r>
        <w:rPr>
          <w:rFonts w:hint="eastAsia" w:ascii="方正仿宋_GBK" w:hAnsi="宋体" w:eastAsia="方正仿宋_GBK"/>
          <w:color w:val="000000" w:themeColor="text1"/>
          <w:sz w:val="24"/>
          <w:szCs w:val="24"/>
          <w14:textFill>
            <w14:solidFill>
              <w14:schemeClr w14:val="tx1"/>
            </w14:solidFill>
          </w14:textFill>
        </w:rPr>
        <w:t>重庆市永川区萱花路439号</w:t>
      </w:r>
      <w:r>
        <w:rPr>
          <w:rFonts w:hint="eastAsia" w:ascii="方正仿宋_GBK" w:hAnsi="宋体" w:eastAsia="方正仿宋_GBK" w:cs="Times New Roman"/>
          <w:color w:val="000000" w:themeColor="text1"/>
          <w:sz w:val="24"/>
          <w:szCs w:val="24"/>
          <w14:textFill>
            <w14:solidFill>
              <w14:schemeClr w14:val="tx1"/>
            </w14:solidFill>
          </w14:textFill>
        </w:rPr>
        <w:t xml:space="preserve">） </w:t>
      </w:r>
    </w:p>
    <w:bookmarkEnd w:id="83"/>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84" w:name="_Toc485108789"/>
      <w:bookmarkStart w:id="85" w:name="_Toc7312"/>
      <w:bookmarkStart w:id="86" w:name="_Toc485108790"/>
      <w:bookmarkStart w:id="87" w:name="_Toc344475122"/>
      <w:r>
        <w:rPr>
          <w:rFonts w:hint="eastAsia" w:ascii="微软雅黑" w:hAnsi="微软雅黑" w:eastAsia="微软雅黑" w:cs="微软雅黑"/>
          <w:color w:val="000000" w:themeColor="text1"/>
          <w:sz w:val="24"/>
          <w:szCs w:val="24"/>
          <w14:textFill>
            <w14:solidFill>
              <w14:schemeClr w14:val="tx1"/>
            </w14:solidFill>
          </w14:textFill>
        </w:rPr>
        <w:t>二、质量保证及售后服务</w:t>
      </w:r>
      <w:bookmarkEnd w:id="84"/>
      <w:bookmarkEnd w:id="85"/>
    </w:p>
    <w:p>
      <w:pPr>
        <w:tabs>
          <w:tab w:val="left" w:pos="4680"/>
        </w:tabs>
        <w:spacing w:line="560" w:lineRule="exact"/>
        <w:ind w:firstLine="560" w:firstLineChars="200"/>
        <w:rPr>
          <w:rFonts w:ascii="仿宋" w:hAnsi="仿宋" w:eastAsia="仿宋" w:cs="MS Shell Dlg"/>
          <w:color w:val="000000" w:themeColor="text1"/>
          <w:sz w:val="28"/>
          <w:szCs w:val="28"/>
          <w14:textFill>
            <w14:solidFill>
              <w14:schemeClr w14:val="tx1"/>
            </w14:solidFill>
          </w14:textFill>
        </w:rPr>
      </w:pPr>
      <w:r>
        <w:rPr>
          <w:rFonts w:hint="eastAsia" w:ascii="仿宋" w:hAnsi="仿宋" w:eastAsia="仿宋" w:cs="MS Shell Dlg"/>
          <w:color w:val="000000" w:themeColor="text1"/>
          <w:sz w:val="28"/>
          <w:szCs w:val="28"/>
          <w14:textFill>
            <w14:solidFill>
              <w14:schemeClr w14:val="tx1"/>
            </w14:solidFill>
          </w14:textFill>
        </w:rPr>
        <w:t>服务方指派固定的律师为院方提供常年法律顾问服务</w:t>
      </w:r>
      <w:r>
        <w:rPr>
          <w:rFonts w:hint="eastAsia" w:ascii="仿宋" w:hAnsi="仿宋" w:eastAsia="仿宋" w:cs="MS Shell Dlg"/>
          <w:color w:val="000000" w:themeColor="text1"/>
          <w:sz w:val="28"/>
          <w:szCs w:val="28"/>
          <w:lang w:eastAsia="zh-CN"/>
          <w14:textFill>
            <w14:solidFill>
              <w14:schemeClr w14:val="tx1"/>
            </w14:solidFill>
          </w14:textFill>
        </w:rPr>
        <w:t>，处理院方</w:t>
      </w:r>
      <w:r>
        <w:rPr>
          <w:rFonts w:hint="eastAsia" w:ascii="仿宋" w:hAnsi="仿宋" w:eastAsia="仿宋" w:cs="MS Shell Dlg"/>
          <w:color w:val="000000" w:themeColor="text1"/>
          <w:sz w:val="28"/>
          <w:szCs w:val="28"/>
          <w14:textFill>
            <w14:solidFill>
              <w14:schemeClr w14:val="tx1"/>
            </w14:solidFill>
          </w14:textFill>
        </w:rPr>
        <w:t>有关的争议、诉讼、仲裁等法律事务纠纷</w:t>
      </w:r>
      <w:r>
        <w:rPr>
          <w:rFonts w:hint="eastAsia" w:ascii="仿宋" w:hAnsi="仿宋" w:eastAsia="仿宋" w:cs="MS Shell Dlg"/>
          <w:color w:val="000000" w:themeColor="text1"/>
          <w:sz w:val="28"/>
          <w:szCs w:val="28"/>
          <w:lang w:eastAsia="zh-CN"/>
          <w14:textFill>
            <w14:solidFill>
              <w14:schemeClr w14:val="tx1"/>
            </w14:solidFill>
          </w14:textFill>
        </w:rPr>
        <w:t>，</w:t>
      </w:r>
      <w:r>
        <w:rPr>
          <w:rFonts w:hint="eastAsia" w:ascii="仿宋" w:hAnsi="仿宋" w:eastAsia="仿宋" w:cs="MS Shell Dlg"/>
          <w:color w:val="000000" w:themeColor="text1"/>
          <w:sz w:val="28"/>
          <w:szCs w:val="28"/>
          <w14:textFill>
            <w14:solidFill>
              <w14:schemeClr w14:val="tx1"/>
            </w14:solidFill>
          </w14:textFill>
        </w:rPr>
        <w:t>维护院方的合同权益。</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88" w:name="_Toc12251"/>
      <w:r>
        <w:rPr>
          <w:rFonts w:hint="eastAsia" w:ascii="微软雅黑" w:hAnsi="微软雅黑" w:eastAsia="微软雅黑" w:cs="微软雅黑"/>
          <w:color w:val="000000" w:themeColor="text1"/>
          <w:sz w:val="24"/>
          <w:szCs w:val="24"/>
          <w14:textFill>
            <w14:solidFill>
              <w14:schemeClr w14:val="tx1"/>
            </w14:solidFill>
          </w14:textFill>
        </w:rPr>
        <w:t>三、付款方式</w:t>
      </w:r>
      <w:bookmarkEnd w:id="86"/>
      <w:bookmarkEnd w:id="87"/>
      <w:bookmarkEnd w:id="88"/>
    </w:p>
    <w:p>
      <w:pPr>
        <w:snapToGrid w:val="0"/>
        <w:spacing w:line="400" w:lineRule="exact"/>
        <w:ind w:firstLine="480" w:firstLineChars="200"/>
        <w:rPr>
          <w:rFonts w:hint="eastAsia" w:ascii="方正仿宋_GBK" w:hAnsi="宋体" w:eastAsia="方正仿宋_GBK" w:cs="宋体"/>
          <w:color w:val="000000" w:themeColor="text1"/>
          <w:kern w:val="0"/>
          <w:sz w:val="24"/>
          <w:szCs w:val="24"/>
          <w14:textFill>
            <w14:solidFill>
              <w14:schemeClr w14:val="tx1"/>
            </w14:solidFill>
          </w14:textFill>
        </w:rPr>
      </w:pPr>
      <w:r>
        <w:rPr>
          <w:rFonts w:hint="eastAsia" w:ascii="方正仿宋_GBK" w:hAnsi="宋体" w:eastAsia="方正仿宋_GBK" w:cs="宋体"/>
          <w:color w:val="000000" w:themeColor="text1"/>
          <w:kern w:val="0"/>
          <w:sz w:val="24"/>
          <w:szCs w:val="24"/>
          <w14:textFill>
            <w14:solidFill>
              <w14:schemeClr w14:val="tx1"/>
            </w14:solidFill>
          </w14:textFill>
        </w:rPr>
        <w:t>院方于合同签订后30日内向服务方支付第一年的顾问服务费,第二年、第三年的顾问服务费分别于服务期限开始前的一个月内支付。</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89" w:name="_Toc403569795"/>
      <w:bookmarkStart w:id="90" w:name="_Toc485108793"/>
      <w:bookmarkStart w:id="91" w:name="_Toc30364"/>
      <w:r>
        <w:rPr>
          <w:rFonts w:hint="eastAsia" w:ascii="微软雅黑" w:hAnsi="微软雅黑" w:eastAsia="微软雅黑" w:cs="微软雅黑"/>
          <w:color w:val="000000" w:themeColor="text1"/>
          <w:sz w:val="24"/>
          <w:szCs w:val="24"/>
          <w:lang w:eastAsia="zh-CN"/>
          <w14:textFill>
            <w14:solidFill>
              <w14:schemeClr w14:val="tx1"/>
            </w14:solidFill>
          </w14:textFill>
        </w:rPr>
        <w:t>四</w:t>
      </w:r>
      <w:r>
        <w:rPr>
          <w:rFonts w:hint="eastAsia" w:ascii="微软雅黑" w:hAnsi="微软雅黑" w:eastAsia="微软雅黑" w:cs="微软雅黑"/>
          <w:color w:val="000000" w:themeColor="text1"/>
          <w:sz w:val="24"/>
          <w:szCs w:val="24"/>
          <w14:textFill>
            <w14:solidFill>
              <w14:schemeClr w14:val="tx1"/>
            </w14:solidFill>
          </w14:textFill>
        </w:rPr>
        <w:t>、其他</w:t>
      </w:r>
      <w:bookmarkEnd w:id="89"/>
      <w:bookmarkEnd w:id="90"/>
      <w:bookmarkEnd w:id="91"/>
    </w:p>
    <w:p>
      <w:pPr>
        <w:snapToGrid w:val="0"/>
        <w:spacing w:line="400" w:lineRule="exact"/>
        <w:ind w:firstLine="54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（一）供应商必须在响应文件中对以上条款和服务承诺明确列出，承诺内容必须达到本篇及比选其他条款的要求。</w:t>
      </w:r>
    </w:p>
    <w:p>
      <w:pPr>
        <w:snapToGrid w:val="0"/>
        <w:spacing w:line="400" w:lineRule="exact"/>
        <w:ind w:firstLine="540"/>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（二）其他未尽事宜由供需双方在采购合同中详细约定。</w:t>
      </w:r>
    </w:p>
    <w:p>
      <w:pPr>
        <w:snapToGrid w:val="0"/>
        <w:spacing w:line="400" w:lineRule="exact"/>
        <w:ind w:firstLine="540"/>
        <w:rPr>
          <w:rFonts w:ascii="方正仿宋_GBK" w:hAnsi="Times New Roman" w:eastAsia="方正仿宋_GBK" w:cs="Times New Roman"/>
          <w:color w:val="000000" w:themeColor="text1"/>
          <w:sz w:val="24"/>
          <w:szCs w:val="24"/>
          <w14:textFill>
            <w14:solidFill>
              <w14:schemeClr w14:val="tx1"/>
            </w14:solidFill>
          </w14:textFill>
        </w:rPr>
      </w:pPr>
    </w:p>
    <w:p>
      <w:pPr>
        <w:pStyle w:val="2"/>
        <w:jc w:val="center"/>
        <w:rPr>
          <w:color w:val="000000" w:themeColor="text1"/>
          <w:sz w:val="44"/>
          <w:szCs w:val="44"/>
          <w14:textFill>
            <w14:solidFill>
              <w14:schemeClr w14:val="tx1"/>
            </w14:solidFill>
          </w14:textFill>
        </w:rPr>
      </w:pPr>
      <w:r>
        <w:rPr>
          <w:rFonts w:eastAsia="黑体"/>
          <w:b/>
          <w:color w:val="000000" w:themeColor="text1"/>
          <w14:textFill>
            <w14:solidFill>
              <w14:schemeClr w14:val="tx1"/>
            </w14:solidFill>
          </w14:textFill>
        </w:rPr>
        <w:br w:type="page"/>
      </w:r>
      <w:bookmarkEnd w:id="79"/>
      <w:bookmarkEnd w:id="80"/>
      <w:bookmarkStart w:id="92" w:name="_Toc30503"/>
      <w:bookmarkStart w:id="93" w:name="_Toc485108794"/>
      <w:bookmarkStart w:id="94" w:name="_Toc403569796"/>
      <w:bookmarkStart w:id="95" w:name="_Toc303945820"/>
      <w:bookmarkStart w:id="96" w:name="_Toc148265480"/>
      <w:r>
        <w:rPr>
          <w:rFonts w:hint="eastAsia" w:ascii="微软雅黑" w:hAnsi="微软雅黑" w:eastAsia="微软雅黑" w:cs="微软雅黑"/>
          <w:b/>
          <w:color w:val="000000" w:themeColor="text1"/>
          <w:sz w:val="36"/>
          <w:szCs w:val="36"/>
          <w14:textFill>
            <w14:solidFill>
              <w14:schemeClr w14:val="tx1"/>
            </w14:solidFill>
          </w14:textFill>
        </w:rPr>
        <w:t>第五篇  合同草案条款</w:t>
      </w:r>
      <w:bookmarkEnd w:id="92"/>
      <w:bookmarkEnd w:id="93"/>
      <w:bookmarkEnd w:id="94"/>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97" w:name="_Toc54718202"/>
      <w:bookmarkStart w:id="98" w:name="_Toc14867"/>
      <w:r>
        <w:rPr>
          <w:rFonts w:hint="eastAsia" w:ascii="微软雅黑" w:hAnsi="微软雅黑" w:eastAsia="微软雅黑" w:cs="微软雅黑"/>
          <w:color w:val="000000" w:themeColor="text1"/>
          <w:sz w:val="24"/>
          <w:szCs w:val="24"/>
          <w14:textFill>
            <w14:solidFill>
              <w14:schemeClr w14:val="tx1"/>
            </w14:solidFill>
          </w14:textFill>
        </w:rPr>
        <w:t>一、定义</w:t>
      </w:r>
      <w:bookmarkEnd w:id="97"/>
      <w:bookmarkEnd w:id="98"/>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99" w:name="_Toc988"/>
      <w:r>
        <w:rPr>
          <w:rFonts w:hint="eastAsia" w:ascii="方正仿宋_GBK" w:hAnsi="宋体" w:eastAsia="方正仿宋_GBK" w:cs="Times New Roman"/>
          <w:color w:val="000000" w:themeColor="text1"/>
          <w:sz w:val="24"/>
          <w:szCs w:val="24"/>
          <w14:textFill>
            <w14:solidFill>
              <w14:schemeClr w14:val="tx1"/>
            </w14:solidFill>
          </w14:textFill>
        </w:rPr>
        <w:t>（一）甲方（需方）即重庆医科大学附属永川医院。</w:t>
      </w:r>
      <w:bookmarkEnd w:id="99"/>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0" w:name="_Toc22662"/>
      <w:r>
        <w:rPr>
          <w:rFonts w:hint="eastAsia" w:ascii="方正仿宋_GBK" w:hAnsi="宋体" w:eastAsia="方正仿宋_GBK" w:cs="Times New Roman"/>
          <w:color w:val="000000" w:themeColor="text1"/>
          <w:sz w:val="24"/>
          <w:szCs w:val="24"/>
          <w14:textFill>
            <w14:solidFill>
              <w14:schemeClr w14:val="tx1"/>
            </w14:solidFill>
          </w14:textFill>
        </w:rPr>
        <w:t>（二）乙方（供方）即成交供应商，是指成交后提供合同服务的自然人、法人及其他组织。</w:t>
      </w:r>
      <w:bookmarkEnd w:id="100"/>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1" w:name="_Toc30025"/>
      <w:r>
        <w:rPr>
          <w:rFonts w:hint="eastAsia" w:ascii="方正仿宋_GBK" w:hAnsi="宋体" w:eastAsia="方正仿宋_GBK" w:cs="Times New Roman"/>
          <w:color w:val="000000" w:themeColor="text1"/>
          <w:sz w:val="24"/>
          <w:szCs w:val="24"/>
          <w14:textFill>
            <w14:solidFill>
              <w14:schemeClr w14:val="tx1"/>
            </w14:solidFill>
          </w14:textFill>
        </w:rPr>
        <w:t>（三）合同是指由甲乙双方按照比选文件和响应文件的实质性内容，通过协商一致达成的书面协议。</w:t>
      </w:r>
      <w:bookmarkEnd w:id="101"/>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2" w:name="_Toc2152"/>
      <w:r>
        <w:rPr>
          <w:rFonts w:hint="eastAsia" w:ascii="方正仿宋_GBK" w:hAnsi="宋体" w:eastAsia="方正仿宋_GBK" w:cs="Times New Roman"/>
          <w:color w:val="000000" w:themeColor="text1"/>
          <w:sz w:val="24"/>
          <w:szCs w:val="24"/>
          <w14:textFill>
            <w14:solidFill>
              <w14:schemeClr w14:val="tx1"/>
            </w14:solidFill>
          </w14:textFill>
        </w:rPr>
        <w:t>（四）合同价格指以成交价格为依据，在供方全面履行合同义务后，需方应支付给供方的金额。</w:t>
      </w:r>
      <w:bookmarkEnd w:id="102"/>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3" w:name="_Toc9666"/>
      <w:r>
        <w:rPr>
          <w:rFonts w:hint="eastAsia" w:ascii="方正仿宋_GBK" w:hAnsi="宋体" w:eastAsia="方正仿宋_GBK" w:cs="Times New Roman"/>
          <w:color w:val="000000" w:themeColor="text1"/>
          <w:sz w:val="24"/>
          <w:szCs w:val="24"/>
          <w14:textFill>
            <w14:solidFill>
              <w14:schemeClr w14:val="tx1"/>
            </w14:solidFill>
          </w14:textFill>
        </w:rPr>
        <w:t>（五）技术资料是指合同</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及其相关的设计、制造、监造、检验、验收等文件（包括图纸、各种文字说明、标准）。</w:t>
      </w:r>
      <w:bookmarkEnd w:id="103"/>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04" w:name="_Toc54718203"/>
      <w:bookmarkStart w:id="105" w:name="_Toc2070"/>
      <w:r>
        <w:rPr>
          <w:rFonts w:hint="eastAsia" w:ascii="微软雅黑" w:hAnsi="微软雅黑" w:eastAsia="微软雅黑" w:cs="微软雅黑"/>
          <w:color w:val="000000" w:themeColor="text1"/>
          <w:sz w:val="24"/>
          <w:szCs w:val="24"/>
          <w14:textFill>
            <w14:solidFill>
              <w14:schemeClr w14:val="tx1"/>
            </w14:solidFill>
          </w14:textFill>
        </w:rPr>
        <w:t>二、</w:t>
      </w:r>
      <w:r>
        <w:rPr>
          <w:rFonts w:hint="eastAsia" w:ascii="微软雅黑" w:hAnsi="微软雅黑" w:eastAsia="微软雅黑" w:cs="微软雅黑"/>
          <w:color w:val="000000" w:themeColor="text1"/>
          <w:sz w:val="24"/>
          <w:szCs w:val="24"/>
          <w:lang w:eastAsia="zh-CN"/>
          <w14:textFill>
            <w14:solidFill>
              <w14:schemeClr w14:val="tx1"/>
            </w14:solidFill>
          </w14:textFill>
        </w:rPr>
        <w:t>服务</w:t>
      </w:r>
      <w:r>
        <w:rPr>
          <w:rFonts w:hint="eastAsia" w:ascii="微软雅黑" w:hAnsi="微软雅黑" w:eastAsia="微软雅黑" w:cs="微软雅黑"/>
          <w:color w:val="000000" w:themeColor="text1"/>
          <w:sz w:val="24"/>
          <w:szCs w:val="24"/>
          <w14:textFill>
            <w14:solidFill>
              <w14:schemeClr w14:val="tx1"/>
            </w14:solidFill>
          </w14:textFill>
        </w:rPr>
        <w:t>内容</w:t>
      </w:r>
      <w:bookmarkEnd w:id="104"/>
      <w:bookmarkEnd w:id="105"/>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6" w:name="_Toc28967"/>
      <w:r>
        <w:rPr>
          <w:rFonts w:hint="eastAsia" w:ascii="方正仿宋_GBK" w:hAnsi="宋体" w:eastAsia="方正仿宋_GBK" w:cs="Times New Roman"/>
          <w:color w:val="000000" w:themeColor="text1"/>
          <w:sz w:val="24"/>
          <w:szCs w:val="24"/>
          <w14:textFill>
            <w14:solidFill>
              <w14:schemeClr w14:val="tx1"/>
            </w14:solidFill>
          </w14:textFill>
        </w:rPr>
        <w:t>合同包括以下内容：</w:t>
      </w:r>
      <w:bookmarkEnd w:id="106"/>
      <w:r>
        <w:rPr>
          <w:rFonts w:hint="eastAsia" w:ascii="微软雅黑" w:hAnsi="微软雅黑" w:eastAsia="微软雅黑" w:cs="微软雅黑"/>
          <w:b w:val="0"/>
          <w:color w:val="000000" w:themeColor="text1"/>
          <w:kern w:val="2"/>
          <w:sz w:val="24"/>
          <w:szCs w:val="24"/>
          <w:lang w:val="en-US" w:eastAsia="zh-CN" w:bidi="ar-SA"/>
          <w14:textFill>
            <w14:solidFill>
              <w14:schemeClr w14:val="tx1"/>
            </w14:solidFill>
          </w14:textFill>
        </w:rPr>
        <w:t>服务内容、服务要求</w:t>
      </w:r>
      <w:r>
        <w:rPr>
          <w:rFonts w:hint="eastAsia" w:ascii="方正仿宋_GBK" w:hAnsi="宋体" w:eastAsia="方正仿宋_GBK" w:cs="Times New Roman"/>
          <w:color w:val="000000" w:themeColor="text1"/>
          <w:sz w:val="24"/>
          <w:szCs w:val="24"/>
          <w14:textFill>
            <w14:solidFill>
              <w14:schemeClr w14:val="tx1"/>
            </w14:solidFill>
          </w14:textFill>
        </w:rPr>
        <w:t>等内容。</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07" w:name="_Toc54718204"/>
      <w:bookmarkStart w:id="108" w:name="_Toc27757"/>
      <w:r>
        <w:rPr>
          <w:rFonts w:hint="eastAsia" w:ascii="微软雅黑" w:hAnsi="微软雅黑" w:eastAsia="微软雅黑" w:cs="微软雅黑"/>
          <w:color w:val="000000" w:themeColor="text1"/>
          <w:sz w:val="24"/>
          <w:szCs w:val="24"/>
          <w14:textFill>
            <w14:solidFill>
              <w14:schemeClr w14:val="tx1"/>
            </w14:solidFill>
          </w14:textFill>
        </w:rPr>
        <w:t>三、合同价格</w:t>
      </w:r>
      <w:bookmarkEnd w:id="107"/>
      <w:bookmarkEnd w:id="108"/>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09" w:name="_Toc25177"/>
      <w:bookmarkStart w:id="110" w:name="_Toc54718205"/>
      <w:r>
        <w:rPr>
          <w:rFonts w:hint="eastAsia" w:ascii="方正仿宋_GBK" w:hAnsi="宋体" w:eastAsia="方正仿宋_GBK" w:cs="Times New Roman"/>
          <w:color w:val="000000" w:themeColor="text1"/>
          <w:sz w:val="24"/>
          <w:szCs w:val="24"/>
          <w14:textFill>
            <w14:solidFill>
              <w14:schemeClr w14:val="tx1"/>
            </w14:solidFill>
          </w14:textFill>
        </w:rPr>
        <w:t>（一）合同价格即</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服务项目</w:t>
      </w:r>
      <w:r>
        <w:rPr>
          <w:rFonts w:hint="eastAsia" w:ascii="方正仿宋_GBK" w:hAnsi="宋体" w:eastAsia="方正仿宋_GBK" w:cs="Times New Roman"/>
          <w:color w:val="000000" w:themeColor="text1"/>
          <w:sz w:val="24"/>
          <w:szCs w:val="24"/>
          <w14:textFill>
            <w14:solidFill>
              <w14:schemeClr w14:val="tx1"/>
            </w14:solidFill>
          </w14:textFill>
        </w:rPr>
        <w:t>单价。</w:t>
      </w:r>
      <w:bookmarkEnd w:id="109"/>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11" w:name="_Toc3890"/>
      <w:r>
        <w:rPr>
          <w:rFonts w:hint="eastAsia" w:ascii="方正仿宋_GBK" w:hAnsi="宋体" w:eastAsia="方正仿宋_GBK" w:cs="Times New Roman"/>
          <w:color w:val="000000" w:themeColor="text1"/>
          <w:sz w:val="24"/>
          <w:szCs w:val="24"/>
          <w14:textFill>
            <w14:solidFill>
              <w14:schemeClr w14:val="tx1"/>
            </w14:solidFill>
          </w14:textFill>
        </w:rPr>
        <w:t>（二）合同价格包括合同</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、技术资料、合同</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的税费、</w:t>
      </w:r>
      <w:r>
        <w:rPr>
          <w:rFonts w:hint="eastAsia" w:ascii="方正仿宋_GBK" w:hAnsi="宋体" w:eastAsia="方正仿宋_GBK" w:cs="Times New Roman"/>
          <w:color w:val="000000" w:themeColor="text1"/>
          <w:sz w:val="24"/>
          <w:szCs w:val="24"/>
          <w:lang w:eastAsia="zh-CN"/>
          <w14:textFill>
            <w14:solidFill>
              <w14:schemeClr w14:val="tx1"/>
            </w14:solidFill>
          </w14:textFill>
        </w:rPr>
        <w:t>人工费</w:t>
      </w:r>
      <w:r>
        <w:rPr>
          <w:rFonts w:hint="eastAsia" w:ascii="方正仿宋_GBK" w:hAnsi="宋体" w:eastAsia="方正仿宋_GBK" w:cs="Times New Roman"/>
          <w:color w:val="000000" w:themeColor="text1"/>
          <w:sz w:val="24"/>
          <w:szCs w:val="24"/>
          <w14:textFill>
            <w14:solidFill>
              <w14:schemeClr w14:val="tx1"/>
            </w14:solidFill>
          </w14:textFill>
        </w:rPr>
        <w:t>、保险费、及与</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有关的供方应纳的税费，所有税费由乙方负担。</w:t>
      </w:r>
      <w:bookmarkEnd w:id="111"/>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12" w:name="_Toc23604"/>
      <w:r>
        <w:rPr>
          <w:rFonts w:hint="eastAsia" w:ascii="微软雅黑" w:hAnsi="微软雅黑" w:eastAsia="微软雅黑" w:cs="微软雅黑"/>
          <w:color w:val="000000" w:themeColor="text1"/>
          <w:sz w:val="24"/>
          <w:szCs w:val="24"/>
          <w14:textFill>
            <w14:solidFill>
              <w14:schemeClr w14:val="tx1"/>
            </w14:solidFill>
          </w14:textFill>
        </w:rPr>
        <w:t>四、转包或分包</w:t>
      </w:r>
      <w:bookmarkEnd w:id="110"/>
      <w:bookmarkEnd w:id="112"/>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13" w:name="_Toc8161"/>
      <w:r>
        <w:rPr>
          <w:rFonts w:hint="eastAsia" w:ascii="方正仿宋_GBK" w:hAnsi="宋体" w:eastAsia="方正仿宋_GBK" w:cs="Times New Roman"/>
          <w:color w:val="000000" w:themeColor="text1"/>
          <w:sz w:val="24"/>
          <w:szCs w:val="24"/>
          <w14:textFill>
            <w14:solidFill>
              <w14:schemeClr w14:val="tx1"/>
            </w14:solidFill>
          </w14:textFill>
        </w:rPr>
        <w:t>（一）本合同范围的</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，应由乙方直接供应，不得转让他人供应；</w:t>
      </w:r>
      <w:bookmarkEnd w:id="113"/>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14" w:name="_Toc26926"/>
      <w:r>
        <w:rPr>
          <w:rFonts w:hint="eastAsia" w:ascii="方正仿宋_GBK" w:hAnsi="宋体" w:eastAsia="方正仿宋_GBK" w:cs="Times New Roman"/>
          <w:color w:val="000000" w:themeColor="text1"/>
          <w:sz w:val="24"/>
          <w:szCs w:val="24"/>
          <w14:textFill>
            <w14:solidFill>
              <w14:schemeClr w14:val="tx1"/>
            </w14:solidFill>
          </w14:textFill>
        </w:rPr>
        <w:t>（二）非经甲方书面同意，乙方不得将本合同范围的</w:t>
      </w:r>
      <w:r>
        <w:rPr>
          <w:rFonts w:hint="eastAsia" w:ascii="方正仿宋_GBK" w:hAnsi="宋体" w:eastAsia="方正仿宋_GBK" w:cs="Times New Roman"/>
          <w:color w:val="000000" w:themeColor="text1"/>
          <w:sz w:val="24"/>
          <w:szCs w:val="24"/>
          <w:lang w:eastAsia="zh-CN"/>
          <w14:textFill>
            <w14:solidFill>
              <w14:schemeClr w14:val="tx1"/>
            </w14:solidFill>
          </w14:textFill>
        </w:rPr>
        <w:t>服务</w:t>
      </w:r>
      <w:r>
        <w:rPr>
          <w:rFonts w:hint="eastAsia" w:ascii="方正仿宋_GBK" w:hAnsi="宋体" w:eastAsia="方正仿宋_GBK" w:cs="Times New Roman"/>
          <w:color w:val="000000" w:themeColor="text1"/>
          <w:sz w:val="24"/>
          <w:szCs w:val="24"/>
          <w14:textFill>
            <w14:solidFill>
              <w14:schemeClr w14:val="tx1"/>
            </w14:solidFill>
          </w14:textFill>
        </w:rPr>
        <w:t>全部或部分分包给他人供应；</w:t>
      </w:r>
      <w:bookmarkEnd w:id="114"/>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15" w:name="_Toc11245"/>
      <w:r>
        <w:rPr>
          <w:rFonts w:hint="eastAsia" w:ascii="方正仿宋_GBK" w:hAnsi="宋体" w:eastAsia="方正仿宋_GBK" w:cs="Times New Roman"/>
          <w:color w:val="000000" w:themeColor="text1"/>
          <w:sz w:val="24"/>
          <w:szCs w:val="24"/>
          <w14:textFill>
            <w14:solidFill>
              <w14:schemeClr w14:val="tx1"/>
            </w14:solidFill>
          </w14:textFill>
        </w:rPr>
        <w:t>（三）如有转让和未经甲方同意的分包行为，甲方有权解除合同，没收履约保证金并追究乙方的违约责任。</w:t>
      </w:r>
      <w:bookmarkEnd w:id="115"/>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16" w:name="_Toc54718206"/>
      <w:bookmarkStart w:id="117" w:name="_Toc24236"/>
      <w:r>
        <w:rPr>
          <w:rFonts w:hint="eastAsia" w:ascii="微软雅黑" w:hAnsi="微软雅黑" w:eastAsia="微软雅黑" w:cs="微软雅黑"/>
          <w:color w:val="000000" w:themeColor="text1"/>
          <w:sz w:val="24"/>
          <w:szCs w:val="24"/>
          <w14:textFill>
            <w14:solidFill>
              <w14:schemeClr w14:val="tx1"/>
            </w14:solidFill>
          </w14:textFill>
        </w:rPr>
        <w:t>五、质量保证及售后服务</w:t>
      </w:r>
      <w:bookmarkEnd w:id="116"/>
      <w:bookmarkEnd w:id="117"/>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lang w:eastAsia="zh-CN"/>
          <w14:textFill>
            <w14:solidFill>
              <w14:schemeClr w14:val="tx1"/>
            </w14:solidFill>
          </w14:textFill>
        </w:rPr>
      </w:pPr>
      <w:bookmarkStart w:id="118" w:name="_Toc12985"/>
      <w:bookmarkStart w:id="119" w:name="_Toc23372"/>
      <w:r>
        <w:rPr>
          <w:rFonts w:hint="eastAsia" w:ascii="方正仿宋_GBK" w:hAnsi="宋体" w:eastAsia="方正仿宋_GBK"/>
          <w:color w:val="000000" w:themeColor="text1"/>
          <w:sz w:val="24"/>
          <w:szCs w:val="24"/>
          <w:lang w:eastAsia="zh-CN"/>
          <w14:textFill>
            <w14:solidFill>
              <w14:schemeClr w14:val="tx1"/>
            </w14:solidFill>
          </w14:textFill>
        </w:rPr>
        <w:t>（一）乙方提供的服务需符合国家相关法律法规，并满足甲方提出的相关要求。</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二</w:t>
      </w:r>
      <w:r>
        <w:rPr>
          <w:rFonts w:hint="eastAsia" w:ascii="方正仿宋_GBK" w:hAnsi="宋体" w:eastAsia="方正仿宋_GBK"/>
          <w:color w:val="000000" w:themeColor="text1"/>
          <w:sz w:val="24"/>
          <w:szCs w:val="24"/>
          <w14:textFill>
            <w14:solidFill>
              <w14:schemeClr w14:val="tx1"/>
            </w14:solidFill>
          </w14:textFill>
        </w:rPr>
        <w:t>）如在使用过程中</w:t>
      </w:r>
      <w:r>
        <w:rPr>
          <w:rFonts w:hint="eastAsia" w:ascii="方正仿宋_GBK" w:hAnsi="宋体" w:eastAsia="方正仿宋_GBK"/>
          <w:color w:val="000000" w:themeColor="text1"/>
          <w:sz w:val="24"/>
          <w:szCs w:val="24"/>
          <w:lang w:eastAsia="zh-CN"/>
          <w14:textFill>
            <w14:solidFill>
              <w14:schemeClr w14:val="tx1"/>
            </w14:solidFill>
          </w14:textFill>
        </w:rPr>
        <w:t>出现争议</w:t>
      </w:r>
      <w:r>
        <w:rPr>
          <w:rFonts w:hint="eastAsia" w:ascii="方正仿宋_GBK" w:hAnsi="宋体" w:eastAsia="方正仿宋_GBK"/>
          <w:color w:val="000000" w:themeColor="text1"/>
          <w:sz w:val="24"/>
          <w:szCs w:val="24"/>
          <w14:textFill>
            <w14:solidFill>
              <w14:schemeClr w14:val="tx1"/>
            </w14:solidFill>
          </w14:textFill>
        </w:rPr>
        <w:t>问题，乙方应同本项目“第</w:t>
      </w:r>
      <w:r>
        <w:rPr>
          <w:rFonts w:hint="eastAsia" w:ascii="方正仿宋_GBK" w:hAnsi="宋体" w:eastAsia="方正仿宋_GBK"/>
          <w:color w:val="000000" w:themeColor="text1"/>
          <w:sz w:val="24"/>
          <w:szCs w:val="24"/>
          <w:lang w:eastAsia="zh-CN"/>
          <w14:textFill>
            <w14:solidFill>
              <w14:schemeClr w14:val="tx1"/>
            </w14:solidFill>
          </w14:textFill>
        </w:rPr>
        <w:t>四</w:t>
      </w:r>
      <w:r>
        <w:rPr>
          <w:rFonts w:hint="eastAsia" w:ascii="方正仿宋_GBK" w:hAnsi="宋体" w:eastAsia="方正仿宋_GBK"/>
          <w:color w:val="000000" w:themeColor="text1"/>
          <w:sz w:val="24"/>
          <w:szCs w:val="24"/>
          <w14:textFill>
            <w14:solidFill>
              <w14:schemeClr w14:val="tx1"/>
            </w14:solidFill>
          </w14:textFill>
        </w:rPr>
        <w:t>篇 项目商务要求”对质量保证及售后服务内容的约定。</w:t>
      </w:r>
      <w:bookmarkEnd w:id="118"/>
    </w:p>
    <w:p>
      <w:pPr>
        <w:pageBreakBefore w:val="0"/>
        <w:kinsoku/>
        <w:wordWrap/>
        <w:overflowPunct/>
        <w:topLinePunct w:val="0"/>
        <w:bidi w:val="0"/>
        <w:snapToGrid w:val="0"/>
        <w:spacing w:line="24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三</w:t>
      </w: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合同</w:t>
      </w:r>
      <w:r>
        <w:rPr>
          <w:rFonts w:hint="eastAsia" w:ascii="方正仿宋_GBK" w:hAnsi="宋体" w:eastAsia="方正仿宋_GBK"/>
          <w:color w:val="000000" w:themeColor="text1"/>
          <w:sz w:val="24"/>
          <w:szCs w:val="24"/>
          <w14:textFill>
            <w14:solidFill>
              <w14:schemeClr w14:val="tx1"/>
            </w14:solidFill>
          </w14:textFill>
        </w:rPr>
        <w:t>期内，</w:t>
      </w:r>
      <w:r>
        <w:rPr>
          <w:rFonts w:hint="eastAsia" w:ascii="方正仿宋_GBK" w:hAnsi="宋体" w:eastAsia="方正仿宋_GBK"/>
          <w:color w:val="000000" w:themeColor="text1"/>
          <w:sz w:val="24"/>
          <w:szCs w:val="24"/>
          <w:lang w:eastAsia="zh-CN"/>
          <w14:textFill>
            <w14:solidFill>
              <w14:schemeClr w14:val="tx1"/>
            </w14:solidFill>
          </w14:textFill>
        </w:rPr>
        <w:t>在服务过程中出现的</w:t>
      </w:r>
      <w:r>
        <w:rPr>
          <w:rFonts w:hint="eastAsia" w:ascii="方正仿宋_GBK" w:hAnsi="宋体" w:eastAsia="方正仿宋_GBK"/>
          <w:color w:val="000000" w:themeColor="text1"/>
          <w:sz w:val="24"/>
          <w:szCs w:val="24"/>
          <w14:textFill>
            <w14:solidFill>
              <w14:schemeClr w14:val="tx1"/>
            </w14:solidFill>
          </w14:textFill>
        </w:rPr>
        <w:t>问题</w:t>
      </w:r>
      <w:r>
        <w:rPr>
          <w:rFonts w:hint="eastAsia" w:ascii="方正仿宋_GBK" w:hAnsi="宋体" w:eastAsia="方正仿宋_GBK"/>
          <w:color w:val="000000" w:themeColor="text1"/>
          <w:sz w:val="24"/>
          <w:szCs w:val="24"/>
          <w:lang w:eastAsia="zh-CN"/>
          <w14:textFill>
            <w14:solidFill>
              <w14:schemeClr w14:val="tx1"/>
            </w14:solidFill>
          </w14:textFill>
        </w:rPr>
        <w:t>，</w:t>
      </w:r>
      <w:r>
        <w:rPr>
          <w:rFonts w:hint="eastAsia" w:ascii="方正仿宋_GBK" w:hAnsi="宋体" w:eastAsia="方正仿宋_GBK"/>
          <w:color w:val="000000" w:themeColor="text1"/>
          <w:sz w:val="24"/>
          <w:szCs w:val="24"/>
          <w14:textFill>
            <w14:solidFill>
              <w14:schemeClr w14:val="tx1"/>
            </w14:solidFill>
          </w14:textFill>
        </w:rPr>
        <w:t>乙方负责处理解决并承担一切费用。</w:t>
      </w:r>
      <w:bookmarkEnd w:id="119"/>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20" w:name="_Toc54718207"/>
      <w:bookmarkStart w:id="121" w:name="_Toc10578"/>
      <w:r>
        <w:rPr>
          <w:rFonts w:hint="eastAsia" w:ascii="微软雅黑" w:hAnsi="微软雅黑" w:eastAsia="微软雅黑" w:cs="微软雅黑"/>
          <w:color w:val="000000" w:themeColor="text1"/>
          <w:sz w:val="24"/>
          <w:szCs w:val="24"/>
          <w14:textFill>
            <w14:solidFill>
              <w14:schemeClr w14:val="tx1"/>
            </w14:solidFill>
          </w14:textFill>
        </w:rPr>
        <w:t>六、付款</w:t>
      </w:r>
      <w:bookmarkEnd w:id="120"/>
      <w:bookmarkEnd w:id="121"/>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22" w:name="_Toc23183"/>
      <w:r>
        <w:rPr>
          <w:rFonts w:hint="eastAsia" w:ascii="方正仿宋_GBK" w:hAnsi="宋体" w:eastAsia="方正仿宋_GBK" w:cs="Times New Roman"/>
          <w:color w:val="000000" w:themeColor="text1"/>
          <w:sz w:val="24"/>
          <w:szCs w:val="24"/>
          <w14:textFill>
            <w14:solidFill>
              <w14:schemeClr w14:val="tx1"/>
            </w14:solidFill>
          </w14:textFill>
        </w:rPr>
        <w:t>（一）本合同使用货币币制如未作特别说明均为人民币。</w:t>
      </w:r>
      <w:bookmarkEnd w:id="122"/>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23" w:name="_Toc8880"/>
      <w:r>
        <w:rPr>
          <w:rFonts w:hint="eastAsia" w:ascii="方正仿宋_GBK" w:hAnsi="宋体" w:eastAsia="方正仿宋_GBK" w:cs="Times New Roman"/>
          <w:color w:val="000000" w:themeColor="text1"/>
          <w:sz w:val="24"/>
          <w:szCs w:val="24"/>
          <w14:textFill>
            <w14:solidFill>
              <w14:schemeClr w14:val="tx1"/>
            </w14:solidFill>
          </w14:textFill>
        </w:rPr>
        <w:t>（二）付款方式：银行转账。</w:t>
      </w:r>
      <w:bookmarkEnd w:id="123"/>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24" w:name="_Toc28037"/>
      <w:r>
        <w:rPr>
          <w:rFonts w:hint="eastAsia" w:ascii="方正仿宋_GBK" w:hAnsi="宋体" w:eastAsia="方正仿宋_GBK" w:cs="Times New Roman"/>
          <w:color w:val="000000" w:themeColor="text1"/>
          <w:sz w:val="24"/>
          <w:szCs w:val="24"/>
          <w14:textFill>
            <w14:solidFill>
              <w14:schemeClr w14:val="tx1"/>
            </w14:solidFill>
          </w14:textFill>
        </w:rPr>
        <w:t>（三）付款方法：同本项目“第四篇 项目商务要求”中关于付款方式的约定。</w:t>
      </w:r>
      <w:bookmarkEnd w:id="124"/>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25" w:name="_Toc54718211"/>
      <w:bookmarkStart w:id="126" w:name="_Toc15586"/>
      <w:r>
        <w:rPr>
          <w:rFonts w:hint="eastAsia" w:ascii="微软雅黑" w:hAnsi="微软雅黑" w:eastAsia="微软雅黑" w:cs="微软雅黑"/>
          <w:color w:val="000000" w:themeColor="text1"/>
          <w:sz w:val="24"/>
          <w:szCs w:val="24"/>
          <w:lang w:eastAsia="zh-CN"/>
          <w14:textFill>
            <w14:solidFill>
              <w14:schemeClr w14:val="tx1"/>
            </w14:solidFill>
          </w14:textFill>
        </w:rPr>
        <w:t>七</w:t>
      </w:r>
      <w:r>
        <w:rPr>
          <w:rFonts w:hint="eastAsia" w:ascii="微软雅黑" w:hAnsi="微软雅黑" w:eastAsia="微软雅黑" w:cs="微软雅黑"/>
          <w:color w:val="000000" w:themeColor="text1"/>
          <w:sz w:val="24"/>
          <w:szCs w:val="24"/>
          <w14:textFill>
            <w14:solidFill>
              <w14:schemeClr w14:val="tx1"/>
            </w14:solidFill>
          </w14:textFill>
        </w:rPr>
        <w:t>、合同争议的解决</w:t>
      </w:r>
      <w:bookmarkEnd w:id="125"/>
      <w:bookmarkEnd w:id="126"/>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27" w:name="_Toc5382"/>
      <w:r>
        <w:rPr>
          <w:rFonts w:hint="eastAsia" w:ascii="方正仿宋_GBK" w:hAnsi="宋体" w:eastAsia="方正仿宋_GBK" w:cs="Times New Roman"/>
          <w:color w:val="000000" w:themeColor="text1"/>
          <w:sz w:val="24"/>
          <w:szCs w:val="24"/>
          <w14:textFill>
            <w14:solidFill>
              <w14:schemeClr w14:val="tx1"/>
            </w14:solidFill>
          </w14:textFill>
        </w:rPr>
        <w:t>（一）当事人友好协商达成一致</w:t>
      </w:r>
      <w:bookmarkEnd w:id="127"/>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28" w:name="_Toc29926"/>
      <w:r>
        <w:rPr>
          <w:rFonts w:hint="eastAsia" w:ascii="方正仿宋_GBK" w:hAnsi="宋体" w:eastAsia="方正仿宋_GBK" w:cs="Times New Roman"/>
          <w:color w:val="000000" w:themeColor="text1"/>
          <w:sz w:val="24"/>
          <w:szCs w:val="24"/>
          <w14:textFill>
            <w14:solidFill>
              <w14:schemeClr w14:val="tx1"/>
            </w14:solidFill>
          </w14:textFill>
        </w:rPr>
        <w:t>（二）在60天内当事人协商不能达成协议的，可提请医院当地仲裁机构仲裁。</w:t>
      </w:r>
      <w:bookmarkEnd w:id="128"/>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29" w:name="_Toc54718212"/>
      <w:bookmarkStart w:id="130" w:name="_Toc10903"/>
      <w:r>
        <w:rPr>
          <w:rFonts w:hint="eastAsia" w:ascii="微软雅黑" w:hAnsi="微软雅黑" w:eastAsia="微软雅黑" w:cs="微软雅黑"/>
          <w:color w:val="000000" w:themeColor="text1"/>
          <w:sz w:val="24"/>
          <w:szCs w:val="24"/>
          <w:lang w:eastAsia="zh-CN"/>
          <w14:textFill>
            <w14:solidFill>
              <w14:schemeClr w14:val="tx1"/>
            </w14:solidFill>
          </w14:textFill>
        </w:rPr>
        <w:t>八</w:t>
      </w:r>
      <w:r>
        <w:rPr>
          <w:rFonts w:hint="eastAsia" w:ascii="微软雅黑" w:hAnsi="微软雅黑" w:eastAsia="微软雅黑" w:cs="微软雅黑"/>
          <w:color w:val="000000" w:themeColor="text1"/>
          <w:sz w:val="24"/>
          <w:szCs w:val="24"/>
          <w14:textFill>
            <w14:solidFill>
              <w14:schemeClr w14:val="tx1"/>
            </w14:solidFill>
          </w14:textFill>
        </w:rPr>
        <w:t>、违约责任</w:t>
      </w:r>
      <w:bookmarkEnd w:id="129"/>
      <w:bookmarkEnd w:id="130"/>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bookmarkStart w:id="131" w:name="_Toc54718213"/>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一</w:t>
      </w:r>
      <w:r>
        <w:rPr>
          <w:rFonts w:hint="eastAsia" w:ascii="方正仿宋_GBK" w:hAnsi="宋体" w:eastAsia="方正仿宋_GBK"/>
          <w:color w:val="000000" w:themeColor="text1"/>
          <w:sz w:val="24"/>
          <w:szCs w:val="24"/>
          <w14:textFill>
            <w14:solidFill>
              <w14:schemeClr w14:val="tx1"/>
            </w14:solidFill>
          </w14:textFill>
        </w:rPr>
        <w:t>）按《中华人民共和国民法典》有关条款，在合同期内，乙方对货物与合同要求不符承担责任，并且甲方已于规定合同期内提出违约，乙方应按甲方同意的下述一种或多种方法解决违约事宜。</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w:t>
      </w:r>
      <w:r>
        <w:rPr>
          <w:rFonts w:hint="eastAsia" w:ascii="方正仿宋_GBK" w:hAnsi="宋体" w:eastAsia="方正仿宋_GBK"/>
          <w:color w:val="000000" w:themeColor="text1"/>
          <w:sz w:val="24"/>
          <w:szCs w:val="24"/>
          <w:lang w:eastAsia="zh-CN"/>
          <w14:textFill>
            <w14:solidFill>
              <w14:schemeClr w14:val="tx1"/>
            </w14:solidFill>
          </w14:textFill>
        </w:rPr>
        <w:t>二</w:t>
      </w:r>
      <w:r>
        <w:rPr>
          <w:rFonts w:hint="eastAsia" w:ascii="方正仿宋_GBK" w:hAnsi="宋体" w:eastAsia="方正仿宋_GBK"/>
          <w:color w:val="000000" w:themeColor="text1"/>
          <w:sz w:val="24"/>
          <w:szCs w:val="24"/>
          <w14:textFill>
            <w14:solidFill>
              <w14:schemeClr w14:val="tx1"/>
            </w14:solidFill>
          </w14:textFill>
        </w:rPr>
        <w:t>）合同签订后，甲乙方双方均应遵守，任意一方违约，除按照合同约定承担违约责任外，还应承担自身违约而给对方造成的损失，损失范围包括但不限于仲裁费、鉴定费、保全费、差旅费、律师费等；违约金、赔偿金、相关损失和费用医院均可从成交供应商货款中扣除。</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（三）乙方出现下列情况之一的，甲方有权随时终止合同：</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1.合同有效期内，因政策调整变化、乙方所</w:t>
      </w:r>
      <w:r>
        <w:rPr>
          <w:rFonts w:hint="eastAsia" w:ascii="方正仿宋_GBK" w:hAnsi="宋体" w:eastAsia="方正仿宋_GBK"/>
          <w:color w:val="000000" w:themeColor="text1"/>
          <w:sz w:val="24"/>
          <w:szCs w:val="24"/>
          <w:lang w:eastAsia="zh-CN"/>
          <w14:textFill>
            <w14:solidFill>
              <w14:schemeClr w14:val="tx1"/>
            </w14:solidFill>
          </w14:textFill>
        </w:rPr>
        <w:t>服务项目不满足相关政策</w:t>
      </w:r>
      <w:r>
        <w:rPr>
          <w:rFonts w:hint="eastAsia" w:ascii="方正仿宋_GBK" w:hAnsi="宋体" w:eastAsia="方正仿宋_GBK"/>
          <w:color w:val="000000" w:themeColor="text1"/>
          <w:sz w:val="24"/>
          <w:szCs w:val="24"/>
          <w14:textFill>
            <w14:solidFill>
              <w14:schemeClr w14:val="tx1"/>
            </w14:solidFill>
          </w14:textFill>
        </w:rPr>
        <w:t>，甲方有权提前解除或终止本合同，甲方应提前通知乙方，本合同自通知送达之日即解除或终止。</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2.乙方提供虚假书面材料的（如：资质文件、合格证明等）和未遵守《廉洁购销合同》相关条款的；</w:t>
      </w:r>
    </w:p>
    <w:p>
      <w:pPr>
        <w:pageBreakBefore w:val="0"/>
        <w:kinsoku/>
        <w:wordWrap/>
        <w:overflowPunct/>
        <w:topLinePunct w:val="0"/>
        <w:bidi w:val="0"/>
        <w:snapToGrid w:val="0"/>
        <w:spacing w:line="240" w:lineRule="auto"/>
        <w:ind w:firstLine="480" w:firstLineChars="200"/>
        <w:rPr>
          <w:rFonts w:hint="eastAsia"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3.未经甲方同意，乙方擅自变更公司名称或擅自停止</w:t>
      </w:r>
      <w:r>
        <w:rPr>
          <w:rFonts w:hint="eastAsia" w:ascii="方正仿宋_GBK" w:hAnsi="宋体" w:eastAsia="方正仿宋_GBK"/>
          <w:color w:val="000000" w:themeColor="text1"/>
          <w:sz w:val="24"/>
          <w:szCs w:val="24"/>
          <w:lang w:eastAsia="zh-CN"/>
          <w14:textFill>
            <w14:solidFill>
              <w14:schemeClr w14:val="tx1"/>
            </w14:solidFill>
          </w14:textFill>
        </w:rPr>
        <w:t>服务的</w:t>
      </w:r>
      <w:r>
        <w:rPr>
          <w:rFonts w:hint="eastAsia" w:ascii="方正仿宋_GBK" w:hAnsi="宋体" w:eastAsia="方正仿宋_GBK"/>
          <w:color w:val="000000" w:themeColor="text1"/>
          <w:sz w:val="24"/>
          <w:szCs w:val="24"/>
          <w14:textFill>
            <w14:solidFill>
              <w14:schemeClr w14:val="tx1"/>
            </w14:solidFill>
          </w14:textFill>
        </w:rPr>
        <w:t>；</w:t>
      </w:r>
    </w:p>
    <w:p>
      <w:pPr>
        <w:pageBreakBefore w:val="0"/>
        <w:kinsoku/>
        <w:wordWrap/>
        <w:overflowPunct/>
        <w:topLinePunct w:val="0"/>
        <w:bidi w:val="0"/>
        <w:snapToGrid w:val="0"/>
        <w:spacing w:line="24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4.未经甲方同意，供货方擅自涨价或停止</w:t>
      </w:r>
      <w:r>
        <w:rPr>
          <w:rFonts w:hint="eastAsia" w:ascii="方正仿宋_GBK" w:hAnsi="宋体" w:eastAsia="方正仿宋_GBK"/>
          <w:color w:val="000000" w:themeColor="text1"/>
          <w:sz w:val="24"/>
          <w:szCs w:val="24"/>
          <w:lang w:eastAsia="zh-CN"/>
          <w14:textFill>
            <w14:solidFill>
              <w14:schemeClr w14:val="tx1"/>
            </w14:solidFill>
          </w14:textFill>
        </w:rPr>
        <w:t>服务</w:t>
      </w:r>
      <w:r>
        <w:rPr>
          <w:rFonts w:hint="eastAsia" w:ascii="方正仿宋_GBK" w:hAnsi="宋体" w:eastAsia="方正仿宋_GBK"/>
          <w:color w:val="000000" w:themeColor="text1"/>
          <w:sz w:val="24"/>
          <w:szCs w:val="24"/>
          <w14:textFill>
            <w14:solidFill>
              <w14:schemeClr w14:val="tx1"/>
            </w14:solidFill>
          </w14:textFill>
        </w:rPr>
        <w:t>的</w:t>
      </w:r>
      <w:r>
        <w:rPr>
          <w:rFonts w:hint="eastAsia" w:ascii="方正仿宋_GBK" w:hAnsi="宋体" w:eastAsia="方正仿宋_GBK" w:cs="Times New Roman"/>
          <w:color w:val="000000" w:themeColor="text1"/>
          <w:sz w:val="24"/>
          <w:szCs w:val="24"/>
          <w14:textFill>
            <w14:solidFill>
              <w14:schemeClr w14:val="tx1"/>
            </w14:solidFill>
          </w14:textFill>
        </w:rPr>
        <w:t>。</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32" w:name="_Toc8061"/>
      <w:r>
        <w:rPr>
          <w:rFonts w:hint="eastAsia" w:ascii="微软雅黑" w:hAnsi="微软雅黑" w:eastAsia="微软雅黑" w:cs="微软雅黑"/>
          <w:color w:val="000000" w:themeColor="text1"/>
          <w:sz w:val="24"/>
          <w:szCs w:val="24"/>
          <w:lang w:eastAsia="zh-CN"/>
          <w14:textFill>
            <w14:solidFill>
              <w14:schemeClr w14:val="tx1"/>
            </w14:solidFill>
          </w14:textFill>
        </w:rPr>
        <w:t>九</w:t>
      </w:r>
      <w:r>
        <w:rPr>
          <w:rFonts w:hint="eastAsia" w:ascii="微软雅黑" w:hAnsi="微软雅黑" w:eastAsia="微软雅黑" w:cs="微软雅黑"/>
          <w:color w:val="000000" w:themeColor="text1"/>
          <w:sz w:val="24"/>
          <w:szCs w:val="24"/>
          <w14:textFill>
            <w14:solidFill>
              <w14:schemeClr w14:val="tx1"/>
            </w14:solidFill>
          </w14:textFill>
        </w:rPr>
        <w:t>、合同生效及其它</w:t>
      </w:r>
      <w:bookmarkEnd w:id="131"/>
      <w:bookmarkEnd w:id="132"/>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33" w:name="_Toc7071"/>
      <w:r>
        <w:rPr>
          <w:rFonts w:hint="eastAsia" w:ascii="方正仿宋_GBK" w:hAnsi="宋体" w:eastAsia="方正仿宋_GBK" w:cs="Times New Roman"/>
          <w:color w:val="000000" w:themeColor="text1"/>
          <w:sz w:val="24"/>
          <w:szCs w:val="24"/>
          <w14:textFill>
            <w14:solidFill>
              <w14:schemeClr w14:val="tx1"/>
            </w14:solidFill>
          </w14:textFill>
        </w:rPr>
        <w:t>（一）合同生效及其效力应符合《中华人民共和国民法典》有关规定。</w:t>
      </w:r>
      <w:bookmarkEnd w:id="133"/>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34" w:name="_Toc26923"/>
      <w:r>
        <w:rPr>
          <w:rFonts w:hint="eastAsia" w:ascii="方正仿宋_GBK" w:hAnsi="宋体" w:eastAsia="方正仿宋_GBK" w:cs="Times New Roman"/>
          <w:color w:val="000000" w:themeColor="text1"/>
          <w:sz w:val="24"/>
          <w:szCs w:val="24"/>
          <w14:textFill>
            <w14:solidFill>
              <w14:schemeClr w14:val="tx1"/>
            </w14:solidFill>
          </w14:textFill>
        </w:rPr>
        <w:t>（二）合同应经当事人法定代表人或委托代理人签字，加盖双方合同专用章或公章。</w:t>
      </w:r>
      <w:bookmarkEnd w:id="134"/>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35" w:name="_Toc21580"/>
      <w:r>
        <w:rPr>
          <w:rFonts w:hint="eastAsia" w:ascii="方正仿宋_GBK" w:hAnsi="宋体" w:eastAsia="方正仿宋_GBK" w:cs="Times New Roman"/>
          <w:color w:val="000000" w:themeColor="text1"/>
          <w:sz w:val="24"/>
          <w:szCs w:val="24"/>
          <w14:textFill>
            <w14:solidFill>
              <w14:schemeClr w14:val="tx1"/>
            </w14:solidFill>
          </w14:textFill>
        </w:rPr>
        <w:t>（三）合同所包括附件，是合同不可分割的一部分，具有同等法法律效力。</w:t>
      </w:r>
      <w:bookmarkEnd w:id="135"/>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36" w:name="_Toc28233"/>
      <w:r>
        <w:rPr>
          <w:rFonts w:hint="eastAsia" w:ascii="方正仿宋_GBK" w:hAnsi="宋体" w:eastAsia="方正仿宋_GBK" w:cs="Times New Roman"/>
          <w:color w:val="000000" w:themeColor="text1"/>
          <w:sz w:val="24"/>
          <w:szCs w:val="24"/>
          <w14:textFill>
            <w14:solidFill>
              <w14:schemeClr w14:val="tx1"/>
            </w14:solidFill>
          </w14:textFill>
        </w:rPr>
        <w:t>（四）合同需提供担保的，按《中华人民共和国担保法》规定执行。</w:t>
      </w:r>
      <w:bookmarkEnd w:id="136"/>
    </w:p>
    <w:p>
      <w:pPr>
        <w:snapToGrid w:val="0"/>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bookmarkStart w:id="137" w:name="_Toc18983"/>
      <w:r>
        <w:rPr>
          <w:rFonts w:hint="eastAsia" w:ascii="方正仿宋_GBK" w:hAnsi="宋体" w:eastAsia="方正仿宋_GBK" w:cs="Times New Roman"/>
          <w:color w:val="000000" w:themeColor="text1"/>
          <w:sz w:val="24"/>
          <w:szCs w:val="24"/>
          <w14:textFill>
            <w14:solidFill>
              <w14:schemeClr w14:val="tx1"/>
            </w14:solidFill>
          </w14:textFill>
        </w:rPr>
        <w:t>（五）本合同条件未尽事宜依照《中华人民共和国民法典》，由供需双方共同协商确定。</w:t>
      </w:r>
      <w:bookmarkEnd w:id="137"/>
    </w:p>
    <w:p>
      <w:pPr>
        <w:snapToGrid w:val="0"/>
        <w:spacing w:line="400" w:lineRule="exact"/>
        <w:ind w:firstLine="480" w:firstLineChars="200"/>
        <w:rPr>
          <w:rFonts w:hint="eastAsia" w:ascii="方正仿宋_GBK" w:hAnsi="Times New Roman" w:eastAsia="方正仿宋_GBK" w:cs="Times New Roman"/>
          <w:color w:val="000000" w:themeColor="text1"/>
          <w:sz w:val="24"/>
          <w:szCs w:val="20"/>
          <w14:textFill>
            <w14:solidFill>
              <w14:schemeClr w14:val="tx1"/>
            </w14:solidFill>
          </w14:textFill>
        </w:rPr>
      </w:pPr>
    </w:p>
    <w:bookmarkEnd w:id="95"/>
    <w:bookmarkEnd w:id="96"/>
    <w:p>
      <w:pPr>
        <w:tabs>
          <w:tab w:val="left" w:pos="9000"/>
        </w:tabs>
        <w:spacing w:line="276" w:lineRule="auto"/>
        <w:jc w:val="both"/>
        <w:rPr>
          <w:rFonts w:ascii="方正仿宋_GBK" w:hAnsi="Times New Roman" w:eastAsia="方正仿宋_GBK" w:cs="Times New Roman"/>
          <w:color w:val="000000" w:themeColor="text1"/>
          <w:szCs w:val="21"/>
          <w14:textFill>
            <w14:solidFill>
              <w14:schemeClr w14:val="tx1"/>
            </w14:solidFill>
          </w14:textFill>
        </w:rPr>
        <w:sectPr>
          <w:pgSz w:w="11907" w:h="16840"/>
          <w:pgMar w:top="1134" w:right="1191" w:bottom="1134" w:left="1304" w:header="964" w:footer="992" w:gutter="0"/>
          <w:cols w:space="720" w:num="1"/>
          <w:docGrid w:linePitch="312" w:charSpace="0"/>
        </w:sectPr>
      </w:pPr>
      <w:r>
        <w:rPr>
          <w:rFonts w:hint="eastAsia" w:ascii="Times New Roman" w:hAnsi="Times New Roman" w:eastAsia="宋体" w:cs="Times New Roman"/>
          <w:color w:val="000000" w:themeColor="text1"/>
          <w:sz w:val="28"/>
          <w:szCs w:val="20"/>
          <w14:textFill>
            <w14:solidFill>
              <w14:schemeClr w14:val="tx1"/>
            </w14:solidFill>
          </w14:textFill>
        </w:rPr>
        <w:t xml:space="preserve"> </w:t>
      </w:r>
    </w:p>
    <w:p>
      <w:pPr>
        <w:pStyle w:val="2"/>
        <w:jc w:val="center"/>
        <w:rPr>
          <w:rFonts w:hint="eastAsia" w:ascii="微软雅黑" w:hAnsi="微软雅黑" w:eastAsia="微软雅黑" w:cs="微软雅黑"/>
          <w:b/>
          <w:color w:val="000000" w:themeColor="text1"/>
          <w:sz w:val="36"/>
          <w:szCs w:val="36"/>
          <w14:textFill>
            <w14:solidFill>
              <w14:schemeClr w14:val="tx1"/>
            </w14:solidFill>
          </w14:textFill>
        </w:rPr>
      </w:pPr>
      <w:bookmarkStart w:id="138" w:name="_Hlt41879464"/>
      <w:bookmarkEnd w:id="138"/>
      <w:bookmarkStart w:id="139" w:name="_Toc485108795"/>
      <w:bookmarkStart w:id="140" w:name="_Toc12789072"/>
      <w:bookmarkStart w:id="141" w:name="_Toc8495"/>
      <w:r>
        <w:rPr>
          <w:rFonts w:hint="eastAsia" w:ascii="微软雅黑" w:hAnsi="微软雅黑" w:eastAsia="微软雅黑" w:cs="微软雅黑"/>
          <w:b/>
          <w:color w:val="000000" w:themeColor="text1"/>
          <w:sz w:val="36"/>
          <w:szCs w:val="36"/>
          <w14:textFill>
            <w14:solidFill>
              <w14:schemeClr w14:val="tx1"/>
            </w14:solidFill>
          </w14:textFill>
        </w:rPr>
        <w:t>第六篇  响应文件格式要求</w:t>
      </w:r>
      <w:bookmarkEnd w:id="139"/>
      <w:bookmarkEnd w:id="140"/>
      <w:bookmarkEnd w:id="141"/>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42" w:name="_Toc27547"/>
      <w:r>
        <w:rPr>
          <w:rFonts w:hint="eastAsia" w:ascii="微软雅黑" w:hAnsi="微软雅黑" w:eastAsia="微软雅黑" w:cs="微软雅黑"/>
          <w:color w:val="000000" w:themeColor="text1"/>
          <w:sz w:val="24"/>
          <w:szCs w:val="24"/>
          <w14:textFill>
            <w14:solidFill>
              <w14:schemeClr w14:val="tx1"/>
            </w14:solidFill>
          </w14:textFill>
        </w:rPr>
        <w:t>一、经济部分</w:t>
      </w:r>
      <w:bookmarkEnd w:id="142"/>
    </w:p>
    <w:p>
      <w:pPr>
        <w:spacing w:line="44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（一）比选报价函</w:t>
      </w:r>
    </w:p>
    <w:p>
      <w:pPr>
        <w:spacing w:line="44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（二）明细报价表</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43" w:name="_Toc3006"/>
      <w:r>
        <w:rPr>
          <w:rFonts w:hint="eastAsia" w:ascii="微软雅黑" w:hAnsi="微软雅黑" w:eastAsia="微软雅黑" w:cs="微软雅黑"/>
          <w:color w:val="000000" w:themeColor="text1"/>
          <w:sz w:val="24"/>
          <w:szCs w:val="24"/>
          <w14:textFill>
            <w14:solidFill>
              <w14:schemeClr w14:val="tx1"/>
            </w14:solidFill>
          </w14:textFill>
        </w:rPr>
        <w:t>二、服务部分</w:t>
      </w:r>
      <w:bookmarkEnd w:id="143"/>
    </w:p>
    <w:p>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（一）按照“第三篇  项目服务需求”提供相应资料</w:t>
      </w:r>
    </w:p>
    <w:p>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（二）服务响应偏离表</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44" w:name="_Toc9038"/>
      <w:r>
        <w:rPr>
          <w:rFonts w:hint="eastAsia" w:ascii="微软雅黑" w:hAnsi="微软雅黑" w:eastAsia="微软雅黑" w:cs="微软雅黑"/>
          <w:color w:val="000000" w:themeColor="text1"/>
          <w:sz w:val="24"/>
          <w:szCs w:val="24"/>
          <w14:textFill>
            <w14:solidFill>
              <w14:schemeClr w14:val="tx1"/>
            </w14:solidFill>
          </w14:textFill>
        </w:rPr>
        <w:t>三、商务部分</w:t>
      </w:r>
      <w:bookmarkEnd w:id="144"/>
    </w:p>
    <w:p>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bookmarkStart w:id="145" w:name="_Toc38358147"/>
      <w:bookmarkStart w:id="146" w:name="OLE_LINK10"/>
      <w:bookmarkStart w:id="147" w:name="OLE_LINK11"/>
      <w:r>
        <w:rPr>
          <w:rFonts w:hint="eastAsia" w:ascii="微软雅黑" w:hAnsi="微软雅黑" w:eastAsia="微软雅黑" w:cs="微软雅黑"/>
          <w:color w:val="000000" w:themeColor="text1"/>
          <w:sz w:val="24"/>
          <w:szCs w:val="24"/>
          <w14:textFill>
            <w14:solidFill>
              <w14:schemeClr w14:val="tx1"/>
            </w14:solidFill>
          </w14:textFill>
        </w:rPr>
        <w:t>（一）按照“第四篇  项目商务需求”提供相应资料</w:t>
      </w:r>
      <w:bookmarkEnd w:id="145"/>
    </w:p>
    <w:p>
      <w:pPr>
        <w:snapToGrid w:val="0"/>
        <w:spacing w:line="360" w:lineRule="auto"/>
        <w:ind w:firstLine="480" w:firstLineChars="200"/>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（二）商务响应偏离表</w:t>
      </w:r>
    </w:p>
    <w:p>
      <w:pPr>
        <w:spacing w:line="44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（三）其它优惠承诺</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48" w:name="_Toc21029"/>
      <w:r>
        <w:rPr>
          <w:rFonts w:hint="eastAsia" w:ascii="微软雅黑" w:hAnsi="微软雅黑" w:eastAsia="微软雅黑" w:cs="微软雅黑"/>
          <w:color w:val="000000" w:themeColor="text1"/>
          <w:sz w:val="24"/>
          <w:szCs w:val="24"/>
          <w14:textFill>
            <w14:solidFill>
              <w14:schemeClr w14:val="tx1"/>
            </w14:solidFill>
          </w14:textFill>
        </w:rPr>
        <w:t>四、资格条件及其他</w:t>
      </w:r>
      <w:bookmarkEnd w:id="148"/>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（一）营业执照（副本）或事业单位法人证书（副本）复印件</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（二）组织机构代码证复印件</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说明：供应商按“三证合一”登记制度办理营业执照的，组织机构代码证和税务登记证以供应商所提供的法人营业执照（副本）复印件为准。</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（三）法定代表人身份证明书（格式）</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（四）法定代表人授权委托书（格式）</w:t>
      </w:r>
    </w:p>
    <w:p>
      <w:pPr>
        <w:snapToGrid w:val="0"/>
        <w:spacing w:line="400" w:lineRule="exact"/>
        <w:ind w:firstLine="480" w:firstLineChars="200"/>
        <w:rPr>
          <w:rFonts w:ascii="方正仿宋_GBK" w:hAnsi="宋体" w:eastAsia="方正仿宋_GBK" w:cs="Times New Roman"/>
          <w:color w:val="000000" w:themeColor="text1"/>
          <w:sz w:val="24"/>
          <w:szCs w:val="24"/>
          <w:highlight w:val="yellow"/>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（五）2020或2021年度财务状况报告（表）或其基本开户银行出具的资信证明复印件，本年度新成立或成立不满一年的组织和自然人无法提供财务状况报告（表）的，可提供银行出具的资信证明复印件。</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（六）书面声明（格式）</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（七）税务登记证（副本）复印件</w:t>
      </w:r>
    </w:p>
    <w:p>
      <w:pPr>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八）社会保险缴纳证明材料（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说明：供应商按“多证合一”登记制度办理营业执照的，组织机构代码证、税务登记证（副本）和社会保险登记证以供应商所提供的营业执照（副本）复印件为准。</w:t>
      </w:r>
    </w:p>
    <w:p>
      <w:pPr>
        <w:snapToGrid w:val="0"/>
        <w:spacing w:line="40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（九）特定资格条件证书或证明文件</w:t>
      </w:r>
      <w:r>
        <w:rPr>
          <w:rFonts w:hint="eastAsia" w:ascii="仿宋" w:hAnsi="仿宋" w:eastAsia="仿宋" w:cs="仿宋"/>
          <w:color w:val="000000" w:themeColor="text1"/>
          <w:sz w:val="24"/>
          <w:szCs w:val="24"/>
          <w14:textFill>
            <w14:solidFill>
              <w14:schemeClr w14:val="tx1"/>
            </w14:solidFill>
          </w14:textFill>
        </w:rPr>
        <w:t>（如果有）</w:t>
      </w:r>
    </w:p>
    <w:p>
      <w:pPr>
        <w:snapToGrid w:val="0"/>
        <w:spacing w:line="4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14:textFill>
            <w14:solidFill>
              <w14:schemeClr w14:val="tx1"/>
            </w14:solidFill>
          </w14:textFill>
        </w:rPr>
        <w:t>（十）供应商提供 “信用中国”网站(www.creditchina.gov.cn)、"中国政府采购网"(www.ccgp.gov.cn)等渠道查询供应商信用记录的四张截图：信用中国--行政处罚；信用中国--失信惩戒；信用中国--重大税收违法案件当事人名单查询；中国政府采购网--政府采购严重违法失信行为信息记录（截图模板见第六篇后模板）</w:t>
      </w:r>
    </w:p>
    <w:p>
      <w:pPr>
        <w:pStyle w:val="3"/>
        <w:spacing w:line="240" w:lineRule="auto"/>
        <w:rPr>
          <w:rFonts w:hint="eastAsia" w:ascii="微软雅黑" w:hAnsi="微软雅黑" w:eastAsia="微软雅黑" w:cs="微软雅黑"/>
          <w:color w:val="000000" w:themeColor="text1"/>
          <w:sz w:val="24"/>
          <w:szCs w:val="24"/>
          <w14:textFill>
            <w14:solidFill>
              <w14:schemeClr w14:val="tx1"/>
            </w14:solidFill>
          </w14:textFill>
        </w:rPr>
      </w:pPr>
      <w:bookmarkStart w:id="149" w:name="_Toc3260"/>
      <w:r>
        <w:rPr>
          <w:rFonts w:hint="eastAsia" w:ascii="微软雅黑" w:hAnsi="微软雅黑" w:eastAsia="微软雅黑" w:cs="微软雅黑"/>
          <w:color w:val="000000" w:themeColor="text1"/>
          <w:sz w:val="24"/>
          <w:szCs w:val="24"/>
          <w14:textFill>
            <w14:solidFill>
              <w14:schemeClr w14:val="tx1"/>
            </w14:solidFill>
          </w14:textFill>
        </w:rPr>
        <w:t>五、其他应提供的资料</w:t>
      </w:r>
      <w:bookmarkEnd w:id="149"/>
    </w:p>
    <w:p>
      <w:pPr>
        <w:spacing w:line="44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（一）其他资料</w:t>
      </w:r>
    </w:p>
    <w:bookmarkEnd w:id="146"/>
    <w:bookmarkEnd w:id="147"/>
    <w:p>
      <w:pPr>
        <w:spacing w:line="440" w:lineRule="exact"/>
        <w:ind w:firstLine="720" w:firstLineChars="3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1.其他与项目有关的资料</w:t>
      </w:r>
    </w:p>
    <w:p>
      <w:pPr>
        <w:snapToGrid w:val="0"/>
        <w:spacing w:line="360" w:lineRule="auto"/>
        <w:rPr>
          <w:rFonts w:ascii="宋体" w:hAnsi="宋体" w:eastAsia="宋体" w:cs="Times New Roman"/>
          <w:color w:val="000000" w:themeColor="text1"/>
          <w:sz w:val="24"/>
          <w:szCs w:val="24"/>
          <w:bdr w:val="single" w:color="auto" w:sz="4" w:space="0"/>
          <w14:textFill>
            <w14:solidFill>
              <w14:schemeClr w14:val="tx1"/>
            </w14:solidFill>
          </w14:textFill>
        </w:rPr>
        <w:sectPr>
          <w:pgSz w:w="11907" w:h="16840"/>
          <w:pgMar w:top="1134" w:right="1191" w:bottom="1134" w:left="1304" w:header="851" w:footer="992" w:gutter="0"/>
          <w:cols w:space="720" w:num="1"/>
          <w:docGrid w:linePitch="380" w:charSpace="-5735"/>
        </w:sectPr>
      </w:pPr>
    </w:p>
    <w:p>
      <w:pPr>
        <w:pStyle w:val="180"/>
        <w:numPr>
          <w:ilvl w:val="0"/>
          <w:numId w:val="13"/>
        </w:numPr>
        <w:ind w:firstLineChars="0"/>
        <w:rPr>
          <w:rFonts w:hint="eastAsia"/>
          <w:b/>
          <w:color w:val="000000" w:themeColor="text1"/>
          <w14:textFill>
            <w14:solidFill>
              <w14:schemeClr w14:val="tx1"/>
            </w14:solidFill>
          </w14:textFill>
        </w:rPr>
      </w:pPr>
      <w:bookmarkStart w:id="150" w:name="_Toc313008356"/>
      <w:bookmarkStart w:id="151" w:name="_Toc485108796"/>
      <w:bookmarkStart w:id="152" w:name="_Toc342913419"/>
      <w:bookmarkStart w:id="153" w:name="_Toc480979018"/>
      <w:bookmarkStart w:id="154" w:name="_Toc313888360"/>
      <w:bookmarkStart w:id="155" w:name="_Toc283382454"/>
      <w:bookmarkStart w:id="156" w:name="_Toc12789073"/>
      <w:r>
        <w:rPr>
          <w:rFonts w:hint="eastAsia"/>
          <w:b/>
          <w:color w:val="000000" w:themeColor="text1"/>
          <w14:textFill>
            <w14:solidFill>
              <w14:schemeClr w14:val="tx1"/>
            </w14:solidFill>
          </w14:textFill>
        </w:rPr>
        <w:t>经济部分</w:t>
      </w:r>
      <w:bookmarkEnd w:id="150"/>
      <w:bookmarkEnd w:id="151"/>
      <w:bookmarkEnd w:id="152"/>
      <w:bookmarkEnd w:id="153"/>
      <w:bookmarkEnd w:id="154"/>
    </w:p>
    <w:p>
      <w:pPr>
        <w:pStyle w:val="180"/>
        <w:ind w:left="450" w:firstLine="0" w:firstLineChars="0"/>
        <w:rPr>
          <w:b/>
          <w:color w:val="000000" w:themeColor="text1"/>
          <w14:textFill>
            <w14:solidFill>
              <w14:schemeClr w14:val="tx1"/>
            </w14:solidFill>
          </w14:textFill>
        </w:rPr>
      </w:pPr>
    </w:p>
    <w:bookmarkEnd w:id="155"/>
    <w:bookmarkEnd w:id="156"/>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（一）比选报价函</w:t>
      </w:r>
    </w:p>
    <w:p>
      <w:pPr>
        <w:tabs>
          <w:tab w:val="left" w:pos="6300"/>
        </w:tabs>
        <w:snapToGrid w:val="0"/>
        <w:spacing w:line="480" w:lineRule="exact"/>
        <w:jc w:val="center"/>
        <w:outlineLvl w:val="0"/>
        <w:rPr>
          <w:rFonts w:ascii="方正仿宋_GBK" w:hAnsi="宋体" w:eastAsia="方正仿宋_GBK" w:cs="Times New Roman"/>
          <w:b/>
          <w:color w:val="000000" w:themeColor="text1"/>
          <w:sz w:val="28"/>
          <w:szCs w:val="28"/>
          <w14:textFill>
            <w14:solidFill>
              <w14:schemeClr w14:val="tx1"/>
            </w14:solidFill>
          </w14:textFill>
        </w:rPr>
      </w:pPr>
      <w:r>
        <w:rPr>
          <w:rFonts w:hint="eastAsia" w:ascii="方正仿宋_GBK" w:hAnsi="宋体" w:eastAsia="方正仿宋_GBK" w:cs="Times New Roman"/>
          <w:b/>
          <w:color w:val="000000" w:themeColor="text1"/>
          <w:sz w:val="28"/>
          <w:szCs w:val="28"/>
          <w14:textFill>
            <w14:solidFill>
              <w14:schemeClr w14:val="tx1"/>
            </w14:solidFill>
          </w14:textFill>
        </w:rPr>
        <w:t>比选报价函</w:t>
      </w:r>
    </w:p>
    <w:p>
      <w:pPr>
        <w:tabs>
          <w:tab w:val="left" w:pos="6300"/>
        </w:tabs>
        <w:snapToGrid w:val="0"/>
        <w:spacing w:line="312" w:lineRule="auto"/>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szCs w:val="24"/>
          <w:u w:val="single"/>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4"/>
          <w14:textFill>
            <w14:solidFill>
              <w14:schemeClr w14:val="tx1"/>
            </w14:solidFill>
          </w14:textFill>
        </w:rPr>
        <w:t>：</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我方收到____________________________（比选项目名称）的比选文件，经详细研究，决定参加该比选项目的竞争比选。</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1、愿意按照比选文件中的一切要求，提供本项目的技术服务、商务需求，初始报价</w:t>
      </w:r>
      <w:r>
        <w:rPr>
          <w:rFonts w:hint="eastAsia" w:ascii="方正仿宋_GBK" w:hAnsi="宋体" w:eastAsia="方正仿宋_GBK" w:cs="Times New Roman"/>
          <w:color w:val="000000" w:themeColor="text1"/>
          <w:sz w:val="24"/>
          <w:szCs w:val="24"/>
          <w:lang w:eastAsia="zh-CN"/>
          <w14:textFill>
            <w14:solidFill>
              <w14:schemeClr w14:val="tx1"/>
            </w14:solidFill>
          </w14:textFill>
        </w:rPr>
        <w:t>以（二）明细报价表为准</w:t>
      </w:r>
      <w:r>
        <w:rPr>
          <w:rFonts w:hint="eastAsia" w:ascii="方正仿宋_GBK" w:hAnsi="宋体" w:eastAsia="方正仿宋_GBK" w:cs="Times New Roman"/>
          <w:color w:val="000000" w:themeColor="text1"/>
          <w:sz w:val="24"/>
          <w:szCs w:val="24"/>
          <w14:textFill>
            <w14:solidFill>
              <w14:schemeClr w14:val="tx1"/>
            </w14:solidFill>
          </w14:textFill>
        </w:rPr>
        <w:t>。</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2、我方现提交的响应文件为：响应文件正本</w:t>
      </w:r>
      <w:r>
        <w:rPr>
          <w:rFonts w:hint="eastAsia" w:ascii="方正仿宋_GBK" w:hAnsi="宋体" w:eastAsia="方正仿宋_GBK" w:cs="Times New Roman"/>
          <w:color w:val="000000" w:themeColor="text1"/>
          <w:sz w:val="24"/>
          <w:szCs w:val="24"/>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4"/>
          <w14:textFill>
            <w14:solidFill>
              <w14:schemeClr w14:val="tx1"/>
            </w14:solidFill>
          </w14:textFill>
        </w:rPr>
        <w:t>份，副本</w:t>
      </w:r>
      <w:r>
        <w:rPr>
          <w:rFonts w:hint="eastAsia" w:ascii="方正仿宋_GBK" w:hAnsi="宋体" w:eastAsia="方正仿宋_GBK" w:cs="Times New Roman"/>
          <w:color w:val="000000" w:themeColor="text1"/>
          <w:sz w:val="24"/>
          <w:szCs w:val="24"/>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4"/>
          <w14:textFill>
            <w14:solidFill>
              <w14:schemeClr w14:val="tx1"/>
            </w14:solidFill>
          </w14:textFill>
        </w:rPr>
        <w:t>份。</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3、我方承诺：本次比选的有效期为90天。</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4、我方完全理解和接受贵方比选文件的一切规定和要求及比选评审办法。</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5、在整个比选过程中，我方若有违规行为，接受按照《中华人民共和国政府采购法》和《比选文件》之规定给予惩罚。</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7、我方未为采购项目提供整体设计、规范编制或者项目管理、监理、监测等服务。</w:t>
      </w:r>
    </w:p>
    <w:p>
      <w:pPr>
        <w:tabs>
          <w:tab w:val="left" w:pos="6300"/>
        </w:tabs>
        <w:snapToGrid w:val="0"/>
        <w:spacing w:line="360" w:lineRule="auto"/>
        <w:ind w:firstLine="57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供应商（公章）：</w:t>
      </w:r>
    </w:p>
    <w:p>
      <w:pPr>
        <w:tabs>
          <w:tab w:val="left" w:pos="6300"/>
        </w:tabs>
        <w:snapToGrid w:val="0"/>
        <w:spacing w:line="360" w:lineRule="auto"/>
        <w:ind w:firstLine="57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地址：  </w:t>
      </w:r>
    </w:p>
    <w:p>
      <w:pPr>
        <w:tabs>
          <w:tab w:val="left" w:pos="6300"/>
        </w:tabs>
        <w:snapToGrid w:val="0"/>
        <w:spacing w:line="360" w:lineRule="auto"/>
        <w:ind w:firstLine="57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电话：                           传真：</w:t>
      </w:r>
    </w:p>
    <w:p>
      <w:pPr>
        <w:tabs>
          <w:tab w:val="left" w:pos="6300"/>
        </w:tabs>
        <w:snapToGrid w:val="0"/>
        <w:spacing w:line="360" w:lineRule="auto"/>
        <w:ind w:firstLine="57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网址：                           邮编：</w:t>
      </w:r>
    </w:p>
    <w:p>
      <w:pPr>
        <w:tabs>
          <w:tab w:val="left" w:pos="6300"/>
        </w:tabs>
        <w:snapToGrid w:val="0"/>
        <w:spacing w:line="360" w:lineRule="auto"/>
        <w:ind w:firstLine="57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联系人：</w:t>
      </w:r>
    </w:p>
    <w:p>
      <w:pPr>
        <w:snapToGrid w:val="0"/>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cs="Times New Roman"/>
          <w:color w:val="000000" w:themeColor="text1"/>
          <w:sz w:val="24"/>
          <w:szCs w:val="24"/>
          <w14:textFill>
            <w14:solidFill>
              <w14:schemeClr w14:val="tx1"/>
            </w14:solidFill>
          </w14:textFill>
        </w:rPr>
        <w:t xml:space="preserve">                               年   月   日</w:t>
      </w:r>
    </w:p>
    <w:p>
      <w:pPr>
        <w:tabs>
          <w:tab w:val="left" w:pos="2895"/>
        </w:tabs>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（二）明细报价表</w:t>
      </w:r>
    </w:p>
    <w:p>
      <w:pPr>
        <w:snapToGrid w:val="0"/>
        <w:spacing w:line="360" w:lineRule="auto"/>
        <w:jc w:val="center"/>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Times New Roman" w:eastAsia="方正仿宋_GBK" w:cs="Times New Roman"/>
          <w:b/>
          <w:color w:val="000000" w:themeColor="text1"/>
          <w:sz w:val="28"/>
          <w:szCs w:val="28"/>
          <w14:textFill>
            <w14:solidFill>
              <w14:schemeClr w14:val="tx1"/>
            </w14:solidFill>
          </w14:textFill>
        </w:rPr>
        <w:t>明细报价表</w:t>
      </w:r>
      <w:r>
        <w:rPr>
          <w:rFonts w:hint="eastAsia" w:ascii="方正仿宋_GBK" w:hAnsi="宋体" w:eastAsia="方正仿宋_GBK" w:cs="Times New Roman"/>
          <w:color w:val="000000" w:themeColor="text1"/>
          <w:sz w:val="24"/>
          <w:szCs w:val="24"/>
          <w14:textFill>
            <w14:solidFill>
              <w14:schemeClr w14:val="tx1"/>
            </w14:solidFill>
          </w14:textFill>
        </w:rPr>
        <w:t>（格式自定）</w:t>
      </w:r>
    </w:p>
    <w:p>
      <w:pPr>
        <w:jc w:val="center"/>
        <w:rPr>
          <w:rFonts w:ascii="方正仿宋_GBK" w:hAnsi="Times New Roman" w:eastAsia="方正仿宋_GBK" w:cs="Times New Roman"/>
          <w:b/>
          <w:color w:val="000000" w:themeColor="text1"/>
          <w:sz w:val="28"/>
          <w:szCs w:val="28"/>
          <w14:textFill>
            <w14:solidFill>
              <w14:schemeClr w14:val="tx1"/>
            </w14:solidFill>
          </w14:textFill>
        </w:rPr>
      </w:pPr>
    </w:p>
    <w:p>
      <w:pPr>
        <w:spacing w:line="360" w:lineRule="auto"/>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项目名称：</w:t>
      </w:r>
      <w:r>
        <w:rPr>
          <w:rFonts w:hint="eastAsia" w:ascii="方正仿宋_GBK" w:hAnsi="宋体" w:eastAsia="方正仿宋_GBK" w:cs="Times New Roman"/>
          <w:color w:val="000000" w:themeColor="text1"/>
          <w:sz w:val="24"/>
          <w:szCs w:val="24"/>
          <w:lang w:eastAsia="zh-CN"/>
          <w14:textFill>
            <w14:solidFill>
              <w14:schemeClr w14:val="tx1"/>
            </w14:solidFill>
          </w14:textFill>
        </w:rPr>
        <w:t>常年法律顾问服务（经济类）</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3209"/>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项目名称</w:t>
            </w:r>
          </w:p>
        </w:tc>
        <w:tc>
          <w:tcPr>
            <w:tcW w:w="3209" w:type="dxa"/>
            <w:vAlign w:val="bottom"/>
          </w:tcPr>
          <w:p>
            <w:pPr>
              <w:spacing w:line="360" w:lineRule="auto"/>
              <w:jc w:val="center"/>
              <w:rPr>
                <w:rFonts w:hint="default" w:ascii="方正仿宋_GBK" w:hAnsi="宋体" w:eastAsia="方正仿宋_GBK" w:cs="Times New Roman"/>
                <w:color w:val="000000" w:themeColor="text1"/>
                <w:sz w:val="24"/>
                <w:szCs w:val="24"/>
                <w:vertAlign w:val="baseline"/>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费用（元）</w:t>
            </w:r>
          </w:p>
        </w:tc>
        <w:tc>
          <w:tcPr>
            <w:tcW w:w="3210"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常年法律顾问年服务费</w:t>
            </w:r>
          </w:p>
        </w:tc>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c>
          <w:tcPr>
            <w:tcW w:w="3210"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spacing w:line="360" w:lineRule="auto"/>
              <w:jc w:val="center"/>
              <w:rPr>
                <w:rFonts w:hint="default" w:ascii="方正仿宋_GBK" w:hAnsi="宋体" w:eastAsia="方正仿宋_GBK" w:cs="Times New Roman"/>
                <w:color w:val="000000" w:themeColor="text1"/>
                <w:sz w:val="24"/>
                <w:szCs w:val="24"/>
                <w:vertAlign w:val="baseline"/>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标的额</w:t>
            </w:r>
            <w:r>
              <w:rPr>
                <w:rFonts w:hint="eastAsia" w:ascii="方正仿宋_GBK" w:hAnsi="宋体" w:eastAsia="方正仿宋_GBK" w:cs="Times New Roman"/>
                <w:color w:val="000000" w:themeColor="text1"/>
                <w:sz w:val="24"/>
                <w:szCs w:val="24"/>
                <w:vertAlign w:val="baseline"/>
                <w:lang w:val="en-US" w:eastAsia="zh-CN"/>
                <w14:textFill>
                  <w14:solidFill>
                    <w14:schemeClr w14:val="tx1"/>
                  </w14:solidFill>
                </w14:textFill>
              </w:rPr>
              <w:t>10万元以下</w:t>
            </w:r>
          </w:p>
        </w:tc>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c>
          <w:tcPr>
            <w:tcW w:w="3210"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3209" w:type="dxa"/>
            <w:vAlign w:val="bottom"/>
          </w:tcPr>
          <w:p>
            <w:pPr>
              <w:spacing w:line="360" w:lineRule="auto"/>
              <w:jc w:val="center"/>
              <w:rPr>
                <w:rFonts w:hint="default" w:ascii="方正仿宋_GBK" w:hAnsi="宋体" w:eastAsia="方正仿宋_GBK" w:cs="Times New Roman"/>
                <w:color w:val="000000" w:themeColor="text1"/>
                <w:sz w:val="24"/>
                <w:szCs w:val="24"/>
                <w:vertAlign w:val="baseline"/>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标的额</w:t>
            </w:r>
            <w:r>
              <w:rPr>
                <w:rFonts w:hint="eastAsia" w:ascii="方正仿宋_GBK" w:hAnsi="宋体" w:eastAsia="方正仿宋_GBK" w:cs="Times New Roman"/>
                <w:color w:val="000000" w:themeColor="text1"/>
                <w:sz w:val="24"/>
                <w:szCs w:val="24"/>
                <w:vertAlign w:val="baseline"/>
                <w:lang w:val="en-US" w:eastAsia="zh-CN"/>
                <w14:textFill>
                  <w14:solidFill>
                    <w14:schemeClr w14:val="tx1"/>
                  </w14:solidFill>
                </w14:textFill>
              </w:rPr>
              <w:t>10-100万元以下</w:t>
            </w:r>
          </w:p>
        </w:tc>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c>
          <w:tcPr>
            <w:tcW w:w="3210"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spacing w:line="360" w:lineRule="auto"/>
              <w:jc w:val="center"/>
              <w:rPr>
                <w:rFonts w:hint="default" w:ascii="方正仿宋_GBK" w:hAnsi="宋体" w:eastAsia="方正仿宋_GBK" w:cs="Times New Roman"/>
                <w:color w:val="000000" w:themeColor="text1"/>
                <w:sz w:val="24"/>
                <w:szCs w:val="24"/>
                <w:vertAlign w:val="baseline"/>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vertAlign w:val="baseline"/>
                <w:lang w:eastAsia="zh-CN"/>
                <w14:textFill>
                  <w14:solidFill>
                    <w14:schemeClr w14:val="tx1"/>
                  </w14:solidFill>
                </w14:textFill>
              </w:rPr>
              <w:t>标的额</w:t>
            </w:r>
            <w:r>
              <w:rPr>
                <w:rFonts w:hint="eastAsia" w:ascii="方正仿宋_GBK" w:hAnsi="宋体" w:eastAsia="方正仿宋_GBK" w:cs="Times New Roman"/>
                <w:color w:val="000000" w:themeColor="text1"/>
                <w:sz w:val="24"/>
                <w:szCs w:val="24"/>
                <w:vertAlign w:val="baseline"/>
                <w:lang w:val="en-US" w:eastAsia="zh-CN"/>
                <w14:textFill>
                  <w14:solidFill>
                    <w14:schemeClr w14:val="tx1"/>
                  </w14:solidFill>
                </w14:textFill>
              </w:rPr>
              <w:t>100万元以上</w:t>
            </w:r>
          </w:p>
        </w:tc>
        <w:tc>
          <w:tcPr>
            <w:tcW w:w="3209"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c>
          <w:tcPr>
            <w:tcW w:w="3210" w:type="dxa"/>
            <w:vAlign w:val="bottom"/>
          </w:tcPr>
          <w:p>
            <w:pPr>
              <w:spacing w:line="360" w:lineRule="auto"/>
              <w:jc w:val="center"/>
              <w:rPr>
                <w:rFonts w:hint="eastAsia" w:ascii="方正仿宋_GBK" w:hAnsi="宋体" w:eastAsia="方正仿宋_GBK" w:cs="Times New Roman"/>
                <w:color w:val="000000" w:themeColor="text1"/>
                <w:sz w:val="24"/>
                <w:szCs w:val="24"/>
                <w:vertAlign w:val="baseline"/>
                <w14:textFill>
                  <w14:solidFill>
                    <w14:schemeClr w14:val="tx1"/>
                  </w14:solidFill>
                </w14:textFill>
              </w:rPr>
            </w:pPr>
          </w:p>
        </w:tc>
      </w:tr>
    </w:tbl>
    <w:p>
      <w:pPr>
        <w:spacing w:line="360" w:lineRule="auto"/>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备注：投标报价为包干价，包含但不限于服务费、保险费、税费等各项费用。</w:t>
      </w:r>
    </w:p>
    <w:p>
      <w:pPr>
        <w:snapToGrid w:val="0"/>
        <w:spacing w:line="500" w:lineRule="exact"/>
        <w:rPr>
          <w:rFonts w:ascii="方正仿宋_GBK" w:hAnsi="宋体" w:eastAsia="方正仿宋_GBK" w:cs="Times New Roman"/>
          <w:color w:val="000000" w:themeColor="text1"/>
          <w:sz w:val="24"/>
          <w:szCs w:val="28"/>
          <w14:textFill>
            <w14:solidFill>
              <w14:schemeClr w14:val="tx1"/>
            </w14:solidFill>
          </w14:textFill>
        </w:rPr>
      </w:pPr>
    </w:p>
    <w:p>
      <w:pPr>
        <w:keepNext/>
        <w:keepLines/>
        <w:spacing w:before="260" w:after="260" w:line="413" w:lineRule="auto"/>
        <w:outlineLvl w:val="2"/>
        <w:rPr>
          <w:rFonts w:ascii="Times New Roman" w:hAnsi="Times New Roman" w:eastAsia="宋体" w:cs="Times New Roman"/>
          <w:b/>
          <w:color w:val="000000" w:themeColor="text1"/>
          <w:sz w:val="32"/>
          <w:szCs w:val="20"/>
          <w14:textFill>
            <w14:solidFill>
              <w14:schemeClr w14:val="tx1"/>
            </w14:solidFill>
          </w14:textFill>
        </w:rPr>
      </w:pPr>
    </w:p>
    <w:p>
      <w:pPr>
        <w:snapToGrid w:val="0"/>
        <w:spacing w:line="500" w:lineRule="exact"/>
        <w:ind w:firstLine="480" w:firstLineChars="20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注：1、请供应商完整填写本表。</w:t>
      </w:r>
    </w:p>
    <w:p>
      <w:pPr>
        <w:snapToGrid w:val="0"/>
        <w:spacing w:line="500" w:lineRule="exact"/>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 xml:space="preserve">        2、该表可扩展</w:t>
      </w:r>
      <w:bookmarkStart w:id="157" w:name="OLE_LINK1"/>
      <w:bookmarkStart w:id="158" w:name="OLE_LINK2"/>
      <w:r>
        <w:rPr>
          <w:rFonts w:hint="eastAsia" w:ascii="方正仿宋_GBK" w:hAnsi="宋体" w:eastAsia="方正仿宋_GBK" w:cs="Times New Roman"/>
          <w:color w:val="000000" w:themeColor="text1"/>
          <w:sz w:val="24"/>
          <w:szCs w:val="28"/>
          <w14:textFill>
            <w14:solidFill>
              <w14:schemeClr w14:val="tx1"/>
            </w14:solidFill>
          </w14:textFill>
        </w:rPr>
        <w:t>，并逐页签字或盖章。</w:t>
      </w:r>
      <w:bookmarkEnd w:id="157"/>
      <w:bookmarkEnd w:id="158"/>
    </w:p>
    <w:p>
      <w:pPr>
        <w:spacing w:line="360" w:lineRule="auto"/>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jc w:val="center"/>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            </w:t>
      </w:r>
    </w:p>
    <w:p>
      <w:pPr>
        <w:spacing w:line="360" w:lineRule="auto"/>
        <w:rPr>
          <w:rFonts w:ascii="Times New Roman" w:hAnsi="Times New Roman" w:eastAsia="宋体" w:cs="Times New Roman"/>
          <w:color w:val="000000" w:themeColor="text1"/>
          <w:sz w:val="28"/>
          <w:szCs w:val="20"/>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 xml:space="preserve">                                              供应商名称（公章）：</w:t>
      </w:r>
    </w:p>
    <w:p>
      <w:pPr>
        <w:spacing w:line="360" w:lineRule="auto"/>
        <w:ind w:right="480" w:firstLine="6480" w:firstLineChars="27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年     月    日</w:t>
      </w:r>
    </w:p>
    <w:p>
      <w:pPr>
        <w:snapToGrid w:val="0"/>
        <w:spacing w:line="360" w:lineRule="auto"/>
        <w:ind w:firstLine="480" w:firstLineChars="200"/>
        <w:rPr>
          <w:rFonts w:ascii="方正仿宋_GBK" w:hAnsi="宋体" w:eastAsia="方正仿宋_GBK" w:cs="Times New Roman"/>
          <w:color w:val="000000" w:themeColor="text1"/>
          <w:sz w:val="24"/>
          <w:szCs w:val="24"/>
          <w:bdr w:val="single" w:color="auto" w:sz="4" w:space="0"/>
          <w14:textFill>
            <w14:solidFill>
              <w14:schemeClr w14:val="tx1"/>
            </w14:solidFill>
          </w14:textFill>
        </w:rPr>
        <w:sectPr>
          <w:headerReference r:id="rId7" w:type="default"/>
          <w:pgSz w:w="11907" w:h="16840"/>
          <w:pgMar w:top="1134" w:right="1191" w:bottom="1134" w:left="1304" w:header="851" w:footer="992" w:gutter="0"/>
          <w:cols w:space="720" w:num="1"/>
          <w:docGrid w:linePitch="380" w:charSpace="-5735"/>
        </w:sectPr>
      </w:pPr>
    </w:p>
    <w:p>
      <w:pPr>
        <w:rPr>
          <w:b/>
          <w:color w:val="000000" w:themeColor="text1"/>
          <w14:textFill>
            <w14:solidFill>
              <w14:schemeClr w14:val="tx1"/>
            </w14:solidFill>
          </w14:textFill>
        </w:rPr>
      </w:pPr>
      <w:bookmarkStart w:id="159" w:name="_Toc313008357"/>
      <w:bookmarkStart w:id="160" w:name="_Toc480979019"/>
      <w:bookmarkStart w:id="161" w:name="_Toc485108797"/>
      <w:bookmarkStart w:id="162" w:name="_Toc313888361"/>
      <w:bookmarkStart w:id="163" w:name="_Toc342913420"/>
      <w:r>
        <w:rPr>
          <w:rFonts w:hint="eastAsia"/>
          <w:b/>
          <w:color w:val="000000" w:themeColor="text1"/>
          <w14:textFill>
            <w14:solidFill>
              <w14:schemeClr w14:val="tx1"/>
            </w14:solidFill>
          </w14:textFill>
        </w:rPr>
        <w:t>二、服务部分</w:t>
      </w:r>
      <w:bookmarkEnd w:id="159"/>
      <w:bookmarkEnd w:id="160"/>
      <w:bookmarkEnd w:id="161"/>
      <w:bookmarkEnd w:id="162"/>
      <w:bookmarkEnd w:id="163"/>
    </w:p>
    <w:p>
      <w:pPr>
        <w:snapToGrid w:val="0"/>
        <w:spacing w:line="360" w:lineRule="auto"/>
        <w:ind w:firstLine="560" w:firstLineChars="20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（一）</w:t>
      </w:r>
      <w:r>
        <w:rPr>
          <w:rFonts w:hint="eastAsia" w:ascii="微软雅黑" w:hAnsi="微软雅黑" w:eastAsia="微软雅黑" w:cs="微软雅黑"/>
          <w:color w:val="000000" w:themeColor="text1"/>
          <w:sz w:val="28"/>
          <w:szCs w:val="28"/>
          <w14:textFill>
            <w14:solidFill>
              <w14:schemeClr w14:val="tx1"/>
            </w14:solidFill>
          </w14:textFill>
        </w:rPr>
        <w:t>按照“第三篇  项目服务需求”提供相应资料</w:t>
      </w:r>
    </w:p>
    <w:p>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r>
        <w:rPr>
          <w:rFonts w:ascii="方正仿宋_GBK" w:hAnsi="宋体" w:eastAsia="方正仿宋_GBK" w:cs="Times New Roman"/>
          <w:color w:val="000000" w:themeColor="text1"/>
          <w:sz w:val="28"/>
          <w:szCs w:val="24"/>
          <w14:textFill>
            <w14:solidFill>
              <w14:schemeClr w14:val="tx1"/>
            </w14:solidFill>
          </w14:textFill>
        </w:rPr>
        <w:br w:type="page"/>
      </w:r>
      <w:r>
        <w:rPr>
          <w:rFonts w:hint="eastAsia" w:ascii="方正仿宋_GBK" w:hAnsi="宋体" w:eastAsia="方正仿宋_GBK" w:cs="Times New Roman"/>
          <w:color w:val="000000" w:themeColor="text1"/>
          <w:sz w:val="24"/>
          <w:szCs w:val="24"/>
          <w14:textFill>
            <w14:solidFill>
              <w14:schemeClr w14:val="tx1"/>
            </w14:solidFill>
          </w14:textFill>
        </w:rPr>
        <w:t>（二）服务响应偏离表</w:t>
      </w:r>
    </w:p>
    <w:p>
      <w:pPr>
        <w:tabs>
          <w:tab w:val="left" w:pos="6300"/>
        </w:tabs>
        <w:snapToGrid w:val="0"/>
        <w:spacing w:line="500" w:lineRule="exact"/>
        <w:ind w:firstLine="480" w:firstLineChars="200"/>
        <w:outlineLvl w:val="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序号</w:t>
            </w: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采购需求</w:t>
            </w: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响应情况</w:t>
            </w: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r>
              <w:rPr>
                <w:rFonts w:hint="eastAsia" w:ascii="方正仿宋_GBK" w:hAnsi="宋体" w:eastAsia="方正仿宋_GBK" w:cs="Times New Roman"/>
                <w:color w:val="000000" w:themeColor="text1"/>
                <w:szCs w:val="21"/>
                <w14:textFill>
                  <w14:solidFill>
                    <w14:schemeClr w14:val="tx1"/>
                  </w14:solidFill>
                </w14:textFill>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658"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759"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c>
          <w:tcPr>
            <w:tcW w:w="2067" w:type="dxa"/>
            <w:vAlign w:val="center"/>
          </w:tcPr>
          <w:p>
            <w:pPr>
              <w:tabs>
                <w:tab w:val="left" w:pos="6300"/>
              </w:tabs>
              <w:snapToGrid w:val="0"/>
              <w:spacing w:line="500" w:lineRule="exact"/>
              <w:jc w:val="center"/>
              <w:outlineLvl w:val="0"/>
              <w:rPr>
                <w:rFonts w:ascii="方正仿宋_GBK" w:hAnsi="宋体" w:eastAsia="方正仿宋_GBK" w:cs="Times New Roman"/>
                <w:color w:val="000000" w:themeColor="text1"/>
                <w:szCs w:val="21"/>
                <w14:textFill>
                  <w14:solidFill>
                    <w14:schemeClr w14:val="tx1"/>
                  </w14:solidFill>
                </w14:textFill>
              </w:rPr>
            </w:pPr>
          </w:p>
        </w:tc>
      </w:tr>
    </w:tbl>
    <w:p>
      <w:pPr>
        <w:spacing w:line="500" w:lineRule="exact"/>
        <w:ind w:firstLine="600" w:firstLineChars="25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供应商：                                      法定代表人授权代表：</w:t>
      </w:r>
    </w:p>
    <w:p>
      <w:pPr>
        <w:spacing w:line="500" w:lineRule="exact"/>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 xml:space="preserve">    </w:t>
      </w:r>
    </w:p>
    <w:p>
      <w:pPr>
        <w:spacing w:line="500" w:lineRule="exact"/>
        <w:ind w:firstLine="720" w:firstLineChars="30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（供应商公章）                               （签字或盖章）</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 xml:space="preserve">                                            年     月     日</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注：</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w:t>
      </w:r>
      <w:r>
        <w:rPr>
          <w:rFonts w:hint="eastAsia" w:ascii="方正仿宋_GBK" w:hAnsi="宋体" w:eastAsia="方正仿宋_GBK" w:cs="Times New Roman"/>
          <w:color w:val="000000" w:themeColor="text1"/>
          <w:sz w:val="24"/>
          <w:szCs w:val="20"/>
          <w14:textFill>
            <w14:solidFill>
              <w14:schemeClr w14:val="tx1"/>
            </w14:solidFill>
          </w14:textFill>
        </w:rPr>
        <w:t>.本表即为对本项目“第三篇  项目服务需求”中所列技术要求进行比较和响应；</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3.该表可扩展</w:t>
      </w:r>
      <w:r>
        <w:rPr>
          <w:rFonts w:hint="eastAsia" w:ascii="方正仿宋_GBK" w:hAnsi="宋体" w:eastAsia="方正仿宋_GBK" w:cs="Times New Roman"/>
          <w:color w:val="000000" w:themeColor="text1"/>
          <w:sz w:val="24"/>
          <w:szCs w:val="28"/>
          <w14:textFill>
            <w14:solidFill>
              <w14:schemeClr w14:val="tx1"/>
            </w14:solidFill>
          </w14:textFill>
        </w:rPr>
        <w:t>，并逐页签字或盖章</w:t>
      </w:r>
      <w:r>
        <w:rPr>
          <w:rFonts w:hint="eastAsia" w:ascii="方正仿宋_GBK" w:hAnsi="宋体" w:eastAsia="方正仿宋_GBK" w:cs="Times New Roman"/>
          <w:color w:val="000000" w:themeColor="text1"/>
          <w:sz w:val="24"/>
          <w:szCs w:val="20"/>
          <w14:textFill>
            <w14:solidFill>
              <w14:schemeClr w14:val="tx1"/>
            </w14:solidFill>
          </w14:textFill>
        </w:rPr>
        <w:t>；</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4.可附相关技术支撑材料。（格式自定）</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5.若“响应情况”栏中仅填写“无偏离”或“有偏离”等内容而未作实质性参数描述，该供应商将</w:t>
      </w:r>
      <w:r>
        <w:rPr>
          <w:rFonts w:hint="eastAsia" w:ascii="方正仿宋_GBK" w:hAnsi="宋体" w:eastAsia="方正仿宋_GBK" w:cs="Times New Roman"/>
          <w:color w:val="000000" w:themeColor="text1"/>
          <w:sz w:val="24"/>
          <w:szCs w:val="24"/>
          <w14:textFill>
            <w14:solidFill>
              <w14:schemeClr w14:val="tx1"/>
            </w14:solidFill>
          </w14:textFill>
        </w:rPr>
        <w:t>失去成为成交供应商的资格，仅保留其合格供应商的身份。</w:t>
      </w:r>
    </w:p>
    <w:p>
      <w:pPr>
        <w:rPr>
          <w:b/>
          <w:color w:val="000000" w:themeColor="text1"/>
          <w14:textFill>
            <w14:solidFill>
              <w14:schemeClr w14:val="tx1"/>
            </w14:solidFill>
          </w14:textFill>
        </w:rPr>
      </w:pPr>
      <w:r>
        <w:rPr>
          <w:rFonts w:hAnsi="Times New Roman"/>
          <w:color w:val="000000" w:themeColor="text1"/>
          <w:sz w:val="32"/>
          <w:szCs w:val="20"/>
          <w14:textFill>
            <w14:solidFill>
              <w14:schemeClr w14:val="tx1"/>
            </w14:solidFill>
          </w14:textFill>
        </w:rPr>
        <w:br w:type="page"/>
      </w:r>
      <w:bookmarkStart w:id="164" w:name="_Toc485108798"/>
      <w:bookmarkStart w:id="165" w:name="_Toc480979020"/>
      <w:bookmarkStart w:id="166" w:name="_Toc313888362"/>
      <w:bookmarkStart w:id="167" w:name="_Toc342913421"/>
      <w:bookmarkStart w:id="168" w:name="_Toc313008358"/>
      <w:r>
        <w:rPr>
          <w:rFonts w:hint="eastAsia"/>
          <w:b/>
          <w:color w:val="000000" w:themeColor="text1"/>
          <w14:textFill>
            <w14:solidFill>
              <w14:schemeClr w14:val="tx1"/>
            </w14:solidFill>
          </w14:textFill>
        </w:rPr>
        <w:t>三、商务部分</w:t>
      </w:r>
      <w:bookmarkEnd w:id="164"/>
      <w:bookmarkEnd w:id="165"/>
      <w:bookmarkEnd w:id="166"/>
      <w:bookmarkEnd w:id="167"/>
      <w:bookmarkEnd w:id="168"/>
    </w:p>
    <w:p>
      <w:pPr>
        <w:spacing w:line="360" w:lineRule="auto"/>
        <w:ind w:firstLine="480" w:firstLineChars="200"/>
        <w:rPr>
          <w:rFonts w:hint="eastAsia" w:ascii="微软雅黑" w:hAnsi="微软雅黑" w:eastAsia="微软雅黑" w:cs="微软雅黑"/>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（一）</w:t>
      </w:r>
      <w:r>
        <w:rPr>
          <w:rFonts w:hint="eastAsia" w:ascii="微软雅黑" w:hAnsi="微软雅黑" w:eastAsia="微软雅黑" w:cs="微软雅黑"/>
          <w:color w:val="000000" w:themeColor="text1"/>
          <w:sz w:val="28"/>
          <w:szCs w:val="28"/>
          <w14:textFill>
            <w14:solidFill>
              <w14:schemeClr w14:val="tx1"/>
            </w14:solidFill>
          </w14:textFill>
        </w:rPr>
        <w:t>按照“第四篇  项目商务需求”提供相应资料</w:t>
      </w:r>
    </w:p>
    <w:p>
      <w:pPr>
        <w:snapToGrid w:val="0"/>
        <w:spacing w:line="360" w:lineRule="auto"/>
        <w:ind w:firstLine="560" w:firstLineChars="200"/>
        <w:rPr>
          <w:rFonts w:ascii="方正仿宋_GBK" w:hAnsi="Times New Roman" w:eastAsia="方正仿宋_GBK" w:cs="Times New Roman"/>
          <w:b/>
          <w:color w:val="000000" w:themeColor="text1"/>
          <w:sz w:val="28"/>
          <w:szCs w:val="20"/>
          <w14:textFill>
            <w14:solidFill>
              <w14:schemeClr w14:val="tx1"/>
            </w14:solidFill>
          </w14:textFill>
        </w:rPr>
        <w:sectPr>
          <w:pgSz w:w="11907" w:h="16840"/>
          <w:pgMar w:top="1134" w:right="1191" w:bottom="1134" w:left="1304" w:header="851" w:footer="992" w:gutter="0"/>
          <w:cols w:space="720" w:num="1"/>
          <w:docGrid w:linePitch="380" w:charSpace="-5735"/>
        </w:sectPr>
      </w:pPr>
    </w:p>
    <w:p>
      <w:pPr>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bookmarkStart w:id="169" w:name="_Toc283382459"/>
      <w:r>
        <w:rPr>
          <w:rFonts w:hint="eastAsia" w:ascii="方正仿宋_GBK" w:hAnsi="宋体" w:eastAsia="方正仿宋_GBK" w:cs="Times New Roman"/>
          <w:color w:val="000000" w:themeColor="text1"/>
          <w:sz w:val="24"/>
          <w:szCs w:val="24"/>
          <w14:textFill>
            <w14:solidFill>
              <w14:schemeClr w14:val="tx1"/>
            </w14:solidFill>
          </w14:textFill>
        </w:rPr>
        <w:t>（二）商务响应偏离表</w:t>
      </w:r>
    </w:p>
    <w:p>
      <w:pPr>
        <w:snapToGrid w:val="0"/>
        <w:spacing w:line="360" w:lineRule="auto"/>
        <w:jc w:val="center"/>
        <w:rPr>
          <w:rFonts w:ascii="方正仿宋_GBK" w:hAnsi="宋体" w:eastAsia="方正仿宋_GBK" w:cs="Times New Roman"/>
          <w:b/>
          <w:color w:val="000000" w:themeColor="text1"/>
          <w:sz w:val="28"/>
          <w:szCs w:val="28"/>
          <w14:textFill>
            <w14:solidFill>
              <w14:schemeClr w14:val="tx1"/>
            </w14:solidFill>
          </w14:textFill>
        </w:rPr>
      </w:pPr>
      <w:r>
        <w:rPr>
          <w:rFonts w:hint="eastAsia" w:ascii="方正仿宋_GBK" w:hAnsi="宋体" w:eastAsia="方正仿宋_GBK" w:cs="Times New Roman"/>
          <w:b/>
          <w:color w:val="000000" w:themeColor="text1"/>
          <w:sz w:val="28"/>
          <w:szCs w:val="28"/>
          <w14:textFill>
            <w14:solidFill>
              <w14:schemeClr w14:val="tx1"/>
            </w14:solidFill>
          </w14:textFill>
        </w:rPr>
        <w:t>商务响应偏离表</w:t>
      </w:r>
    </w:p>
    <w:p>
      <w:pPr>
        <w:snapToGrid w:val="0"/>
        <w:spacing w:line="500" w:lineRule="exact"/>
        <w:ind w:firstLine="48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项目名称：</w:t>
      </w:r>
    </w:p>
    <w:p>
      <w:pPr>
        <w:snapToGrid w:val="0"/>
        <w:spacing w:line="360" w:lineRule="auto"/>
        <w:ind w:firstLine="465"/>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对于比选文件的商务要求，如有任何偏离请如实填写下表：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r>
              <w:rPr>
                <w:rFonts w:hint="eastAsia" w:ascii="方正仿宋_GBK" w:hAnsi="宋体" w:eastAsia="方正仿宋_GBK" w:cs="Times New Roman"/>
                <w:color w:val="000000" w:themeColor="text1"/>
                <w:szCs w:val="24"/>
                <w14:textFill>
                  <w14:solidFill>
                    <w14:schemeClr w14:val="tx1"/>
                  </w14:solidFill>
                </w14:textFill>
              </w:rPr>
              <w:t>序号</w:t>
            </w: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r>
              <w:rPr>
                <w:rFonts w:hint="eastAsia" w:ascii="方正仿宋_GBK" w:hAnsi="宋体" w:eastAsia="方正仿宋_GBK" w:cs="Times New Roman"/>
                <w:color w:val="000000" w:themeColor="text1"/>
                <w:szCs w:val="24"/>
                <w14:textFill>
                  <w14:solidFill>
                    <w14:schemeClr w14:val="tx1"/>
                  </w14:solidFill>
                </w14:textFill>
              </w:rPr>
              <w:t>比选项目需求</w:t>
            </w: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r>
              <w:rPr>
                <w:rFonts w:hint="eastAsia" w:ascii="方正仿宋_GBK" w:hAnsi="宋体" w:eastAsia="方正仿宋_GBK" w:cs="Times New Roman"/>
                <w:color w:val="000000" w:themeColor="text1"/>
                <w:szCs w:val="24"/>
                <w14:textFill>
                  <w14:solidFill>
                    <w14:schemeClr w14:val="tx1"/>
                  </w14:solidFill>
                </w14:textFill>
              </w:rPr>
              <w:t>响应情况</w:t>
            </w: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r>
              <w:rPr>
                <w:rFonts w:hint="eastAsia" w:ascii="方正仿宋_GBK" w:hAnsi="宋体" w:eastAsia="方正仿宋_GBK" w:cs="Times New Roman"/>
                <w:color w:val="000000" w:themeColor="text1"/>
                <w:szCs w:val="24"/>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3179"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434"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c>
          <w:tcPr>
            <w:tcW w:w="2355" w:type="dxa"/>
            <w:vAlign w:val="center"/>
          </w:tcPr>
          <w:p>
            <w:pPr>
              <w:tabs>
                <w:tab w:val="left" w:pos="6300"/>
              </w:tabs>
              <w:snapToGrid w:val="0"/>
              <w:spacing w:line="360" w:lineRule="auto"/>
              <w:jc w:val="center"/>
              <w:outlineLvl w:val="0"/>
              <w:rPr>
                <w:rFonts w:ascii="方正仿宋_GBK" w:hAnsi="宋体" w:eastAsia="方正仿宋_GBK" w:cs="Times New Roman"/>
                <w:color w:val="000000" w:themeColor="text1"/>
                <w:szCs w:val="24"/>
                <w14:textFill>
                  <w14:solidFill>
                    <w14:schemeClr w14:val="tx1"/>
                  </w14:solidFill>
                </w14:textFill>
              </w:rPr>
            </w:pPr>
          </w:p>
        </w:tc>
      </w:tr>
    </w:tbl>
    <w:p>
      <w:pPr>
        <w:snapToGrid w:val="0"/>
        <w:spacing w:line="360" w:lineRule="auto"/>
        <w:ind w:firstLine="465"/>
        <w:rPr>
          <w:rFonts w:ascii="方正仿宋_GBK" w:hAnsi="宋体" w:eastAsia="方正仿宋_GBK" w:cs="Times New Roman"/>
          <w:color w:val="000000" w:themeColor="text1"/>
          <w:sz w:val="24"/>
          <w:szCs w:val="24"/>
          <w14:textFill>
            <w14:solidFill>
              <w14:schemeClr w14:val="tx1"/>
            </w14:solidFill>
          </w14:textFill>
        </w:rPr>
      </w:pPr>
    </w:p>
    <w:p>
      <w:pPr>
        <w:spacing w:line="500" w:lineRule="exact"/>
        <w:ind w:firstLine="600" w:firstLineChars="25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供应商：                                      法定代表人授权代表：</w:t>
      </w:r>
    </w:p>
    <w:p>
      <w:pPr>
        <w:spacing w:line="500" w:lineRule="exact"/>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 xml:space="preserve">    </w:t>
      </w:r>
    </w:p>
    <w:p>
      <w:pPr>
        <w:spacing w:line="500" w:lineRule="exact"/>
        <w:ind w:firstLine="360" w:firstLineChars="15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（供应商公章）                                 （签字或盖章）</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 xml:space="preserve">                                            年     月     日</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注：</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1</w:t>
      </w:r>
      <w:r>
        <w:rPr>
          <w:rFonts w:hint="eastAsia" w:ascii="方正仿宋_GBK" w:hAnsi="宋体" w:eastAsia="方正仿宋_GBK" w:cs="Times New Roman"/>
          <w:color w:val="000000" w:themeColor="text1"/>
          <w:sz w:val="24"/>
          <w:szCs w:val="20"/>
          <w14:textFill>
            <w14:solidFill>
              <w14:schemeClr w14:val="tx1"/>
            </w14:solidFill>
          </w14:textFill>
        </w:rPr>
        <w:t>.本表即为对本项目“第四篇 项目商务需求”中所列服务要求进行比较和响应；</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2.该表必须按照比选要求逐条如实填写，根据响应情况在“差异说明”项填写正偏离或负偏离及原因，完全符合的填写“无差异”；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3.该表可扩展</w:t>
      </w:r>
      <w:r>
        <w:rPr>
          <w:rFonts w:hint="eastAsia" w:ascii="方正仿宋_GBK" w:hAnsi="宋体" w:eastAsia="方正仿宋_GBK" w:cs="Times New Roman"/>
          <w:color w:val="000000" w:themeColor="text1"/>
          <w:sz w:val="24"/>
          <w:szCs w:val="28"/>
          <w14:textFill>
            <w14:solidFill>
              <w14:schemeClr w14:val="tx1"/>
            </w14:solidFill>
          </w14:textFill>
        </w:rPr>
        <w:t>，并逐页签字或盖章</w:t>
      </w:r>
      <w:r>
        <w:rPr>
          <w:rFonts w:hint="eastAsia" w:ascii="方正仿宋_GBK" w:hAnsi="宋体" w:eastAsia="方正仿宋_GBK" w:cs="Times New Roman"/>
          <w:color w:val="000000" w:themeColor="text1"/>
          <w:sz w:val="24"/>
          <w:szCs w:val="20"/>
          <w14:textFill>
            <w14:solidFill>
              <w14:schemeClr w14:val="tx1"/>
            </w14:solidFill>
          </w14:textFill>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hint="eastAsia" w:ascii="微软雅黑" w:hAnsi="微软雅黑" w:eastAsia="微软雅黑" w:cs="微软雅黑"/>
          <w:color w:val="000000" w:themeColor="text1"/>
          <w:sz w:val="24"/>
          <w:szCs w:val="28"/>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4.</w:t>
      </w:r>
      <w:r>
        <w:rPr>
          <w:rFonts w:hint="eastAsia" w:ascii="微软雅黑" w:hAnsi="微软雅黑" w:eastAsia="微软雅黑" w:cs="微软雅黑"/>
          <w:color w:val="000000" w:themeColor="text1"/>
          <w:sz w:val="24"/>
          <w:szCs w:val="28"/>
          <w14:textFill>
            <w14:solidFill>
              <w14:schemeClr w14:val="tx1"/>
            </w14:solidFill>
          </w14:textFill>
        </w:rPr>
        <w:t xml:space="preserve"> 若“响应情况”栏中仅填写“无偏离”或“有偏离”等内容而未作实质性参数描述，该供应商将失去成为成交供应商的资格，仅保留其合格供应商的身份。</w:t>
      </w:r>
    </w:p>
    <w:p>
      <w:pPr>
        <w:spacing w:line="360" w:lineRule="auto"/>
        <w:ind w:firstLine="480" w:firstLineChars="200"/>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（三）其它优惠承诺（格式自定）</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p>
    <w:p>
      <w:pPr>
        <w:spacing w:line="360" w:lineRule="auto"/>
        <w:ind w:firstLine="560" w:firstLineChars="200"/>
        <w:rPr>
          <w:rFonts w:ascii="方正仿宋_GBK" w:hAnsi="宋体" w:eastAsia="方正仿宋_GBK"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8"/>
          <w:szCs w:val="20"/>
          <w14:textFill>
            <w14:solidFill>
              <w14:schemeClr w14:val="tx1"/>
            </w14:solidFill>
          </w14:textFill>
        </w:rPr>
        <w:br w:type="page"/>
      </w:r>
    </w:p>
    <w:p>
      <w:pPr>
        <w:rPr>
          <w:b/>
          <w:color w:val="000000" w:themeColor="text1"/>
          <w14:textFill>
            <w14:solidFill>
              <w14:schemeClr w14:val="tx1"/>
            </w14:solidFill>
          </w14:textFill>
        </w:rPr>
      </w:pPr>
      <w:r>
        <w:rPr>
          <w:rFonts w:hint="eastAsia"/>
          <w:b/>
          <w:color w:val="000000" w:themeColor="text1"/>
          <w14:textFill>
            <w14:solidFill>
              <w14:schemeClr w14:val="tx1"/>
            </w14:solidFill>
          </w14:textFill>
        </w:rPr>
        <w:t>四、资格条件及其他</w:t>
      </w:r>
    </w:p>
    <w:p>
      <w:pPr>
        <w:tabs>
          <w:tab w:val="left" w:pos="6300"/>
        </w:tabs>
        <w:snapToGrid w:val="0"/>
        <w:spacing w:line="500" w:lineRule="exact"/>
        <w:ind w:firstLine="570"/>
        <w:rPr>
          <w:rFonts w:ascii="方正仿宋_GBK" w:hAnsi="宋体" w:eastAsia="方正仿宋_GBK" w:cs="Times New Roman"/>
          <w:color w:val="000000" w:themeColor="text1"/>
          <w:sz w:val="28"/>
          <w:szCs w:val="20"/>
          <w14:textFill>
            <w14:solidFill>
              <w14:schemeClr w14:val="tx1"/>
            </w14:solidFill>
          </w14:textFill>
        </w:rPr>
      </w:pPr>
      <w:r>
        <w:rPr>
          <w:rFonts w:hint="eastAsia" w:ascii="方正仿宋_GBK" w:hAnsi="宋体" w:eastAsia="方正仿宋_GBK" w:cs="Times New Roman"/>
          <w:color w:val="000000" w:themeColor="text1"/>
          <w:sz w:val="28"/>
          <w:szCs w:val="20"/>
          <w14:textFill>
            <w14:solidFill>
              <w14:schemeClr w14:val="tx1"/>
            </w14:solidFill>
          </w14:textFill>
        </w:rPr>
        <w:t>（一）</w:t>
      </w:r>
      <w:r>
        <w:rPr>
          <w:rFonts w:hint="eastAsia" w:ascii="方正仿宋_GBK" w:hAnsi="宋体" w:eastAsia="方正仿宋_GBK" w:cs="Times New Roman"/>
          <w:color w:val="000000" w:themeColor="text1"/>
          <w:sz w:val="24"/>
          <w:szCs w:val="24"/>
          <w14:textFill>
            <w14:solidFill>
              <w14:schemeClr w14:val="tx1"/>
            </w14:solidFill>
          </w14:textFill>
        </w:rPr>
        <w:t>营业执照（</w:t>
      </w:r>
      <w:r>
        <w:rPr>
          <w:rFonts w:hint="eastAsia" w:ascii="微软雅黑" w:hAnsi="微软雅黑" w:eastAsia="微软雅黑" w:cs="微软雅黑"/>
          <w:color w:val="000000" w:themeColor="text1"/>
          <w:sz w:val="24"/>
          <w:szCs w:val="24"/>
          <w14:textFill>
            <w14:solidFill>
              <w14:schemeClr w14:val="tx1"/>
            </w14:solidFill>
          </w14:textFill>
        </w:rPr>
        <w:t>副本）或事业单位法人证书（副本）复印件或个体工商户营业执照或有效的自然人身份证明或社会团体法人登记证书复印件</w:t>
      </w:r>
    </w:p>
    <w:bookmarkEnd w:id="169"/>
    <w:p>
      <w:pPr>
        <w:keepNext/>
        <w:keepLines/>
        <w:spacing w:line="360" w:lineRule="auto"/>
        <w:outlineLvl w:val="2"/>
        <w:rPr>
          <w:rFonts w:ascii="方正仿宋_GBK" w:hAnsi="宋体" w:eastAsia="方正仿宋_GBK" w:cs="Times New Roman"/>
          <w:color w:val="000000" w:themeColor="text1"/>
          <w:sz w:val="28"/>
          <w:szCs w:val="20"/>
          <w14:textFill>
            <w14:solidFill>
              <w14:schemeClr w14:val="tx1"/>
            </w14:solidFill>
          </w14:textFill>
        </w:rPr>
      </w:pPr>
      <w:bookmarkStart w:id="170" w:name="_Toc313888363"/>
      <w:bookmarkStart w:id="171" w:name="_Toc342913422"/>
      <w:bookmarkStart w:id="172" w:name="_Toc313008359"/>
      <w:r>
        <w:rPr>
          <w:rFonts w:ascii="方正仿宋_GBK" w:hAnsi="宋体" w:eastAsia="方正仿宋_GBK" w:cs="Times New Roman"/>
          <w:color w:val="000000" w:themeColor="text1"/>
          <w:sz w:val="28"/>
          <w:szCs w:val="20"/>
          <w14:textFill>
            <w14:solidFill>
              <w14:schemeClr w14:val="tx1"/>
            </w14:solidFill>
          </w14:textFill>
        </w:rPr>
        <w:br w:type="page"/>
      </w:r>
      <w:bookmarkEnd w:id="170"/>
      <w:bookmarkEnd w:id="171"/>
      <w:bookmarkEnd w:id="172"/>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二</w:t>
      </w:r>
      <w:r>
        <w:rPr>
          <w:rFonts w:hint="eastAsia" w:ascii="方正仿宋_GBK" w:hAnsi="宋体" w:eastAsia="方正仿宋_GBK" w:cs="Times New Roman"/>
          <w:color w:val="000000" w:themeColor="text1"/>
          <w:sz w:val="28"/>
          <w:szCs w:val="20"/>
          <w14:textFill>
            <w14:solidFill>
              <w14:schemeClr w14:val="tx1"/>
            </w14:solidFill>
          </w14:textFill>
        </w:rPr>
        <w:t>）法定代表人身份证明书（格式）</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项目名称：</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致：</w:t>
      </w:r>
      <w:r>
        <w:rPr>
          <w:rFonts w:hint="eastAsia" w:ascii="方正仿宋_GBK" w:hAnsi="宋体" w:eastAsia="方正仿宋_GBK"/>
          <w:color w:val="000000" w:themeColor="text1"/>
          <w:sz w:val="24"/>
          <w:szCs w:val="24"/>
          <w:u w:val="single"/>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（法定代表人姓名）在</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（供应商名称）任</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（职务名称）职务，是（供应商名称）</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的法定代表人。</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特此证明。</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 xml:space="preserve">                                             （供应商公章）</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 xml:space="preserve">                                             年   月   日</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（附：法定代表人身份证正反面复印件）</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widowControl/>
        <w:ind w:firstLine="480" w:firstLineChars="200"/>
        <w:jc w:val="left"/>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8"/>
          <w:szCs w:val="20"/>
          <w14:textFill>
            <w14:solidFill>
              <w14:schemeClr w14:val="tx1"/>
            </w14:solidFill>
          </w14:textFill>
        </w:rPr>
      </w:pPr>
      <w:r>
        <w:rPr>
          <w:rFonts w:ascii="Times New Roman" w:hAnsi="Times New Roman" w:eastAsia="宋体" w:cs="Times New Roman"/>
          <w:color w:val="000000" w:themeColor="text1"/>
          <w:sz w:val="28"/>
          <w:szCs w:val="20"/>
          <w14:textFill>
            <w14:solidFill>
              <w14:schemeClr w14:val="tx1"/>
            </w14:solidFill>
          </w14:textFill>
        </w:rPr>
        <w:br w:type="column"/>
      </w: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三</w:t>
      </w:r>
      <w:r>
        <w:rPr>
          <w:rFonts w:hint="eastAsia" w:ascii="方正仿宋_GBK" w:hAnsi="宋体" w:eastAsia="方正仿宋_GBK" w:cs="Times New Roman"/>
          <w:color w:val="000000" w:themeColor="text1"/>
          <w:sz w:val="28"/>
          <w:szCs w:val="20"/>
          <w14:textFill>
            <w14:solidFill>
              <w14:schemeClr w14:val="tx1"/>
            </w14:solidFill>
          </w14:textFill>
        </w:rPr>
        <w:t>）法定代表人授权委托书（格式）</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 xml:space="preserve">    </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项目名称</w:t>
      </w:r>
      <w:r>
        <w:rPr>
          <w:rFonts w:hint="eastAsia" w:ascii="方正仿宋_GBK" w:hAnsi="宋体" w:eastAsia="方正仿宋_GBK" w:cs="Times New Roman"/>
          <w:color w:val="000000" w:themeColor="text1"/>
          <w:sz w:val="24"/>
          <w:szCs w:val="20"/>
          <w14:textFill>
            <w14:solidFill>
              <w14:schemeClr w14:val="tx1"/>
            </w14:solidFill>
          </w14:textFill>
        </w:rPr>
        <w:t>：</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致：</w:t>
      </w:r>
      <w:r>
        <w:rPr>
          <w:rFonts w:hint="eastAsia" w:ascii="方正仿宋_GBK" w:hAnsi="宋体" w:eastAsia="方正仿宋_GBK"/>
          <w:color w:val="000000" w:themeColor="text1"/>
          <w:sz w:val="24"/>
          <w:szCs w:val="24"/>
          <w:u w:val="single"/>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（供应商法定代表人名称）是</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（供应商名称）的法定代表人，特授权</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（被授权人姓名及身份证代码）代表我单位全权办理上述项目的比选、签约等具体工作，并签署全部有关文件、协议及合同。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我单位对被授权人的签字负全部责任。</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被授权人：                                 供应商法定代表人：</w:t>
      </w:r>
    </w:p>
    <w:p>
      <w:pPr>
        <w:tabs>
          <w:tab w:val="left" w:pos="6300"/>
        </w:tabs>
        <w:snapToGrid w:val="0"/>
        <w:spacing w:line="500" w:lineRule="exact"/>
        <w:ind w:firstLine="57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（签字或盖章）                                （签字或盖章）</w:t>
      </w:r>
    </w:p>
    <w:p>
      <w:pPr>
        <w:tabs>
          <w:tab w:val="left" w:pos="6300"/>
        </w:tabs>
        <w:snapToGrid w:val="0"/>
        <w:spacing w:line="500" w:lineRule="exact"/>
        <w:ind w:firstLine="570"/>
        <w:rPr>
          <w:rFonts w:ascii="方正仿宋_GBK" w:hAnsi="宋体" w:eastAsia="方正仿宋_GBK" w:cs="Times New Roman"/>
          <w:color w:val="000000" w:themeColor="text1"/>
          <w:sz w:val="24"/>
          <w:szCs w:val="28"/>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（附：被授权人身份证正反面复印件）</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right="480" w:firstLine="570"/>
        <w:jc w:val="right"/>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（供应商公章）</w:t>
      </w:r>
    </w:p>
    <w:p>
      <w:pPr>
        <w:tabs>
          <w:tab w:val="left" w:pos="6300"/>
        </w:tabs>
        <w:snapToGrid w:val="0"/>
        <w:spacing w:line="500" w:lineRule="exact"/>
        <w:ind w:right="480" w:firstLine="570"/>
        <w:jc w:val="right"/>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年   月   日</w:t>
      </w:r>
    </w:p>
    <w:p>
      <w:pPr>
        <w:tabs>
          <w:tab w:val="left" w:pos="6300"/>
        </w:tabs>
        <w:snapToGrid w:val="0"/>
        <w:spacing w:line="500" w:lineRule="exact"/>
        <w:ind w:firstLine="48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8"/>
          <w:szCs w:val="20"/>
          <w14:textFill>
            <w14:solidFill>
              <w14:schemeClr w14:val="tx1"/>
            </w14:solidFill>
          </w14:textFill>
        </w:rPr>
        <w:br w:type="column"/>
      </w: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四</w:t>
      </w: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2020或2021年度财务状况报告（表）或其基本开户银行出具的资信证明复印件，本年度新成立或成立不满一年的组织和自然人无法提供财务状况报告（表）的，可提供银行出具的资信证明复印件。</w:t>
      </w:r>
    </w:p>
    <w:p>
      <w:pPr>
        <w:tabs>
          <w:tab w:val="left" w:pos="6300"/>
        </w:tabs>
        <w:snapToGrid w:val="0"/>
        <w:spacing w:line="500" w:lineRule="exact"/>
        <w:ind w:firstLine="570"/>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70"/>
        <w:jc w:val="center"/>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3220" w:firstLineChars="1150"/>
        <w:rPr>
          <w:rFonts w:hint="eastAsia" w:ascii="方正仿宋_GBK" w:hAnsi="宋体" w:eastAsia="方正仿宋_GBK" w:cs="Times New Roman"/>
          <w:color w:val="000000" w:themeColor="text1"/>
          <w:sz w:val="28"/>
          <w:szCs w:val="20"/>
          <w14:textFill>
            <w14:solidFill>
              <w14:schemeClr w14:val="tx1"/>
            </w14:solidFill>
          </w14:textFill>
        </w:rPr>
        <w:sectPr>
          <w:headerReference r:id="rId8" w:type="default"/>
          <w:pgSz w:w="11907" w:h="16840"/>
          <w:pgMar w:top="1134" w:right="1191" w:bottom="1134" w:left="1304" w:header="851" w:footer="992" w:gutter="0"/>
          <w:cols w:space="720" w:num="1"/>
          <w:docGrid w:linePitch="380" w:charSpace="-5735"/>
        </w:sectPr>
      </w:pPr>
    </w:p>
    <w:p>
      <w:pPr>
        <w:tabs>
          <w:tab w:val="left" w:pos="6300"/>
        </w:tabs>
        <w:snapToGrid w:val="0"/>
        <w:spacing w:line="500" w:lineRule="exact"/>
        <w:ind w:firstLine="3220" w:firstLineChars="115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五</w:t>
      </w:r>
      <w:r>
        <w:rPr>
          <w:rFonts w:hint="eastAsia" w:ascii="方正仿宋_GBK" w:hAnsi="宋体" w:eastAsia="方正仿宋_GBK" w:cs="Times New Roman"/>
          <w:color w:val="000000" w:themeColor="text1"/>
          <w:sz w:val="28"/>
          <w:szCs w:val="20"/>
          <w14:textFill>
            <w14:solidFill>
              <w14:schemeClr w14:val="tx1"/>
            </w14:solidFill>
          </w14:textFill>
        </w:rPr>
        <w:t>）书面声明</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项目名称</w:t>
      </w:r>
      <w:r>
        <w:rPr>
          <w:rFonts w:hint="eastAsia" w:ascii="方正仿宋_GBK" w:hAnsi="宋体" w:eastAsia="方正仿宋_GBK" w:cs="Times New Roman"/>
          <w:color w:val="000000" w:themeColor="text1"/>
          <w:sz w:val="24"/>
          <w:szCs w:val="20"/>
          <w14:textFill>
            <w14:solidFill>
              <w14:schemeClr w14:val="tx1"/>
            </w14:solidFill>
          </w14:textFill>
        </w:rPr>
        <w:t>：</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p>
    <w:p>
      <w:pPr>
        <w:tabs>
          <w:tab w:val="left" w:pos="6300"/>
        </w:tabs>
        <w:snapToGrid w:val="0"/>
        <w:spacing w:line="500" w:lineRule="exact"/>
        <w:ind w:firstLine="570"/>
        <w:rPr>
          <w:rFonts w:ascii="方正仿宋_GBK" w:hAnsi="宋体" w:eastAsia="方正仿宋_GBK" w:cs="Times New Roman"/>
          <w:color w:val="000000" w:themeColor="text1"/>
          <w:sz w:val="24"/>
          <w:szCs w:val="20"/>
          <w14:textFill>
            <w14:solidFill>
              <w14:schemeClr w14:val="tx1"/>
            </w14:solidFill>
          </w14:textFill>
        </w:rPr>
      </w:pP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0"/>
          <w14:textFill>
            <w14:solidFill>
              <w14:schemeClr w14:val="tx1"/>
            </w14:solidFill>
          </w14:textFill>
        </w:rPr>
      </w:pPr>
      <w:r>
        <w:rPr>
          <w:rFonts w:hint="eastAsia" w:ascii="方正仿宋_GBK" w:hAnsi="宋体" w:eastAsia="方正仿宋_GBK" w:cs="Times New Roman"/>
          <w:color w:val="000000" w:themeColor="text1"/>
          <w:sz w:val="24"/>
          <w:szCs w:val="20"/>
          <w14:textFill>
            <w14:solidFill>
              <w14:schemeClr w14:val="tx1"/>
            </w14:solidFill>
          </w14:textFill>
        </w:rPr>
        <w:t>致：</w:t>
      </w:r>
      <w:r>
        <w:rPr>
          <w:rFonts w:hint="eastAsia" w:ascii="方正仿宋_GBK" w:hAnsi="宋体" w:eastAsia="方正仿宋_GBK"/>
          <w:color w:val="000000" w:themeColor="text1"/>
          <w:sz w:val="24"/>
          <w:szCs w:val="24"/>
          <w:u w:val="single"/>
          <w14:textFill>
            <w14:solidFill>
              <w14:schemeClr w14:val="tx1"/>
            </w14:solidFill>
          </w14:textFill>
        </w:rPr>
        <w:t>重庆医科大学附属永川医院</w:t>
      </w:r>
      <w:r>
        <w:rPr>
          <w:rFonts w:hint="eastAsia" w:ascii="方正仿宋_GBK" w:hAnsi="宋体" w:eastAsia="方正仿宋_GBK" w:cs="Times New Roman"/>
          <w:color w:val="000000" w:themeColor="text1"/>
          <w:sz w:val="24"/>
          <w:szCs w:val="20"/>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0"/>
          <w14:textFill>
            <w14:solidFill>
              <w14:schemeClr w14:val="tx1"/>
            </w14:solidFill>
          </w14:textFill>
        </w:rPr>
        <w:t>：</w:t>
      </w:r>
    </w:p>
    <w:p>
      <w:pPr>
        <w:spacing w:line="440" w:lineRule="exact"/>
        <w:ind w:firstLine="480" w:firstLineChars="20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u w:val="single"/>
          <w14:textFill>
            <w14:solidFill>
              <w14:schemeClr w14:val="tx1"/>
            </w14:solidFill>
          </w14:textFill>
        </w:rPr>
        <w:t xml:space="preserve">                       </w:t>
      </w:r>
      <w:r>
        <w:rPr>
          <w:rFonts w:hint="eastAsia" w:ascii="方正仿宋_GBK" w:hAnsi="宋体" w:eastAsia="方正仿宋_GBK" w:cs="Times New Roman"/>
          <w:color w:val="000000" w:themeColor="text1"/>
          <w:sz w:val="24"/>
          <w:szCs w:val="28"/>
          <w14:textFill>
            <w14:solidFill>
              <w14:schemeClr w14:val="tx1"/>
            </w14:solidFill>
          </w14:textFill>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我公司符合法律、行政法规规定的其他条件。我公司符合《政府采购法》规定的供应商资格条件，我公司对所投本采购项目的所有投标文件的真实性和合法性以及完整性负责。我方对以上声明负全部法律责任。</w:t>
      </w:r>
    </w:p>
    <w:p>
      <w:pPr>
        <w:tabs>
          <w:tab w:val="left" w:pos="6300"/>
        </w:tabs>
        <w:snapToGrid w:val="0"/>
        <w:spacing w:line="500" w:lineRule="exact"/>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特此声明。</w:t>
      </w:r>
    </w:p>
    <w:p>
      <w:pPr>
        <w:tabs>
          <w:tab w:val="left" w:pos="6300"/>
        </w:tabs>
        <w:snapToGrid w:val="0"/>
        <w:spacing w:line="500" w:lineRule="exact"/>
        <w:jc w:val="center"/>
        <w:rPr>
          <w:rFonts w:ascii="方正仿宋_GBK" w:hAnsi="宋体" w:eastAsia="方正仿宋_GBK" w:cs="Times New Roman"/>
          <w:color w:val="000000" w:themeColor="text1"/>
          <w:sz w:val="24"/>
          <w:szCs w:val="28"/>
          <w14:textFill>
            <w14:solidFill>
              <w14:schemeClr w14:val="tx1"/>
            </w14:solidFill>
          </w14:textFill>
        </w:rPr>
      </w:pPr>
    </w:p>
    <w:p>
      <w:pPr>
        <w:tabs>
          <w:tab w:val="left" w:pos="6300"/>
        </w:tabs>
        <w:snapToGrid w:val="0"/>
        <w:spacing w:line="500" w:lineRule="exact"/>
        <w:rPr>
          <w:rFonts w:ascii="方正仿宋_GBK" w:hAnsi="宋体" w:eastAsia="方正仿宋_GBK" w:cs="Times New Roman"/>
          <w:color w:val="000000" w:themeColor="text1"/>
          <w:sz w:val="24"/>
          <w:szCs w:val="28"/>
          <w14:textFill>
            <w14:solidFill>
              <w14:schemeClr w14:val="tx1"/>
            </w14:solidFill>
          </w14:textFill>
        </w:rPr>
      </w:pPr>
    </w:p>
    <w:p>
      <w:pPr>
        <w:tabs>
          <w:tab w:val="left" w:pos="6300"/>
        </w:tabs>
        <w:snapToGrid w:val="0"/>
        <w:spacing w:line="500" w:lineRule="exact"/>
        <w:ind w:firstLine="6480" w:firstLineChars="2700"/>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（供应商公章）</w:t>
      </w:r>
    </w:p>
    <w:p>
      <w:pPr>
        <w:tabs>
          <w:tab w:val="left" w:pos="6300"/>
        </w:tabs>
        <w:snapToGrid w:val="0"/>
        <w:spacing w:line="360" w:lineRule="auto"/>
        <w:ind w:right="360" w:firstLine="480" w:firstLineChars="200"/>
        <w:jc w:val="right"/>
        <w:rPr>
          <w:rFonts w:ascii="方正仿宋_GBK" w:hAnsi="宋体" w:eastAsia="方正仿宋_GBK" w:cs="Times New Roman"/>
          <w:color w:val="000000" w:themeColor="text1"/>
          <w:sz w:val="24"/>
          <w:szCs w:val="28"/>
          <w14:textFill>
            <w14:solidFill>
              <w14:schemeClr w14:val="tx1"/>
            </w14:solidFill>
          </w14:textFill>
        </w:rPr>
      </w:pPr>
    </w:p>
    <w:p>
      <w:pPr>
        <w:tabs>
          <w:tab w:val="left" w:pos="6300"/>
        </w:tabs>
        <w:snapToGrid w:val="0"/>
        <w:spacing w:line="360" w:lineRule="auto"/>
        <w:ind w:right="1320" w:firstLine="480" w:firstLineChars="200"/>
        <w:jc w:val="right"/>
        <w:rPr>
          <w:rFonts w:ascii="方正仿宋_GBK" w:hAnsi="宋体" w:eastAsia="方正仿宋_GBK" w:cs="Times New Roman"/>
          <w:color w:val="000000" w:themeColor="text1"/>
          <w:sz w:val="24"/>
          <w:szCs w:val="28"/>
          <w14:textFill>
            <w14:solidFill>
              <w14:schemeClr w14:val="tx1"/>
            </w14:solidFill>
          </w14:textFill>
        </w:rPr>
      </w:pPr>
      <w:r>
        <w:rPr>
          <w:rFonts w:hint="eastAsia" w:ascii="方正仿宋_GBK" w:hAnsi="宋体" w:eastAsia="方正仿宋_GBK" w:cs="Times New Roman"/>
          <w:color w:val="000000" w:themeColor="text1"/>
          <w:sz w:val="24"/>
          <w:szCs w:val="28"/>
          <w14:textFill>
            <w14:solidFill>
              <w14:schemeClr w14:val="tx1"/>
            </w14:solidFill>
          </w14:textFill>
        </w:rPr>
        <w:t>年   月   日</w:t>
      </w: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outlineLvl w:val="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bookmarkStart w:id="173" w:name="OLE_LINK7"/>
      <w:bookmarkStart w:id="174" w:name="OLE_LINK4"/>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六</w:t>
      </w: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微软雅黑" w:hAnsi="微软雅黑" w:eastAsia="微软雅黑" w:cs="微软雅黑"/>
          <w:color w:val="000000" w:themeColor="text1"/>
          <w:sz w:val="28"/>
          <w:szCs w:val="28"/>
          <w14:textFill>
            <w14:solidFill>
              <w14:schemeClr w14:val="tx1"/>
            </w14:solidFill>
          </w14:textFill>
        </w:rPr>
        <w:t>税务登记证（副本）复印件</w:t>
      </w:r>
    </w:p>
    <w:p>
      <w:pPr>
        <w:tabs>
          <w:tab w:val="left" w:pos="6300"/>
        </w:tabs>
        <w:snapToGrid w:val="0"/>
        <w:spacing w:line="500" w:lineRule="exact"/>
        <w:ind w:firstLine="560" w:firstLineChars="200"/>
        <w:rPr>
          <w:rFonts w:hint="eastAsia" w:ascii="微软雅黑" w:hAnsi="微软雅黑" w:eastAsia="微软雅黑" w:cs="微软雅黑"/>
          <w:color w:val="000000" w:themeColor="text1"/>
          <w:sz w:val="28"/>
          <w:szCs w:val="28"/>
          <w14:textFill>
            <w14:solidFill>
              <w14:schemeClr w14:val="tx1"/>
            </w14:solidFill>
          </w14:textFill>
        </w:rPr>
        <w:sectPr>
          <w:pgSz w:w="11907" w:h="16840"/>
          <w:pgMar w:top="1134" w:right="1191" w:bottom="1134" w:left="1304" w:header="851" w:footer="992" w:gutter="0"/>
          <w:cols w:space="720" w:num="1"/>
          <w:docGrid w:linePitch="380" w:charSpace="-5735"/>
        </w:sectPr>
      </w:pPr>
    </w:p>
    <w:p>
      <w:pPr>
        <w:tabs>
          <w:tab w:val="left" w:pos="6300"/>
        </w:tabs>
        <w:snapToGrid w:val="0"/>
        <w:spacing w:line="500" w:lineRule="exact"/>
        <w:ind w:firstLine="560" w:firstLineChars="200"/>
        <w:rPr>
          <w:rFonts w:ascii="方正仿宋_GBK" w:hAnsi="宋体" w:eastAsia="方正仿宋_GBK" w:cs="Times New Roman"/>
          <w:color w:val="000000" w:themeColor="text1"/>
          <w:sz w:val="28"/>
          <w:szCs w:val="20"/>
          <w14:textFill>
            <w14:solidFill>
              <w14:schemeClr w14:val="tx1"/>
            </w14:solidFill>
          </w14:textFill>
        </w:rPr>
      </w:pP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微软雅黑" w:hAnsi="微软雅黑" w:eastAsia="微软雅黑" w:cs="微软雅黑"/>
          <w:color w:val="000000" w:themeColor="text1"/>
          <w:sz w:val="28"/>
          <w:szCs w:val="28"/>
          <w:lang w:eastAsia="zh-CN"/>
          <w14:textFill>
            <w14:solidFill>
              <w14:schemeClr w14:val="tx1"/>
            </w14:solidFill>
          </w14:textFill>
        </w:rPr>
        <w:t>七</w:t>
      </w:r>
      <w:r>
        <w:rPr>
          <w:rFonts w:hint="eastAsia" w:ascii="微软雅黑" w:hAnsi="微软雅黑" w:eastAsia="微软雅黑" w:cs="微软雅黑"/>
          <w:color w:val="000000" w:themeColor="text1"/>
          <w:sz w:val="28"/>
          <w:szCs w:val="28"/>
          <w14:textFill>
            <w14:solidFill>
              <w14:schemeClr w14:val="tx1"/>
            </w14:solidFill>
          </w14:textFill>
        </w:rPr>
        <w:t>）</w:t>
      </w:r>
      <w:r>
        <w:rPr>
          <w:rFonts w:hint="eastAsia" w:ascii="方正仿宋_GBK" w:hAnsi="宋体" w:eastAsia="方正仿宋_GBK" w:cs="Times New Roman"/>
          <w:color w:val="000000" w:themeColor="text1"/>
          <w:sz w:val="28"/>
          <w:szCs w:val="20"/>
          <w14:textFill>
            <w14:solidFill>
              <w14:schemeClr w14:val="tx1"/>
            </w14:solidFill>
          </w14:textFill>
        </w:rPr>
        <w:t>社会保险缴纳证明材料</w:t>
      </w:r>
    </w:p>
    <w:p>
      <w:pPr>
        <w:widowControl/>
        <w:spacing w:line="400" w:lineRule="exact"/>
        <w:ind w:firstLine="480" w:firstLineChars="200"/>
        <w:jc w:val="left"/>
        <w:rPr>
          <w:rFonts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tabs>
          <w:tab w:val="left" w:pos="6300"/>
        </w:tabs>
        <w:snapToGrid w:val="0"/>
        <w:spacing w:line="500" w:lineRule="exact"/>
        <w:ind w:firstLine="560" w:firstLineChars="200"/>
        <w:rPr>
          <w:rFonts w:ascii="方正仿宋_GBK" w:hAnsi="宋体" w:eastAsia="方正仿宋_GBK" w:cs="Times New Roman"/>
          <w:color w:val="000000" w:themeColor="text1"/>
          <w:sz w:val="28"/>
          <w:szCs w:val="20"/>
          <w14:textFill>
            <w14:solidFill>
              <w14:schemeClr w14:val="tx1"/>
            </w14:solidFill>
          </w14:textFill>
        </w:rPr>
      </w:pPr>
    </w:p>
    <w:p>
      <w:pPr>
        <w:tabs>
          <w:tab w:val="left" w:pos="6300"/>
        </w:tabs>
        <w:snapToGrid w:val="0"/>
        <w:spacing w:line="500" w:lineRule="exact"/>
        <w:ind w:firstLine="560" w:firstLineChars="200"/>
        <w:rPr>
          <w:rFonts w:ascii="方正仿宋_GBK" w:hAnsi="宋体" w:eastAsia="方正仿宋_GBK" w:cs="Times New Roman"/>
          <w:color w:val="000000" w:themeColor="text1"/>
          <w:sz w:val="28"/>
          <w:szCs w:val="20"/>
          <w14:textFill>
            <w14:solidFill>
              <w14:schemeClr w14:val="tx1"/>
            </w14:solidFill>
          </w14:textFill>
        </w:rPr>
      </w:pPr>
      <w:r>
        <w:rPr>
          <w:rFonts w:hint="eastAsia" w:ascii="方正仿宋_GBK" w:hAnsi="宋体" w:eastAsia="方正仿宋_GBK" w:cs="Times New Roman"/>
          <w:color w:val="000000" w:themeColor="text1"/>
          <w:sz w:val="28"/>
          <w:szCs w:val="20"/>
          <w14:textFill>
            <w14:solidFill>
              <w14:schemeClr w14:val="tx1"/>
            </w14:solidFill>
          </w14:textFill>
        </w:rPr>
        <w:t>说明：供应商按“三证合一”登记制度办理营业执照的，组织机构代码证和税务登记证以供应商所提供的营业执照（副本）复印件为准。</w:t>
      </w:r>
    </w:p>
    <w:p>
      <w:pPr>
        <w:tabs>
          <w:tab w:val="left" w:pos="6300"/>
        </w:tabs>
        <w:snapToGrid w:val="0"/>
        <w:spacing w:line="360" w:lineRule="auto"/>
        <w:ind w:firstLine="560" w:firstLineChars="200"/>
        <w:rPr>
          <w:rFonts w:ascii="方正仿宋_GBK" w:hAnsi="宋体" w:eastAsia="方正仿宋_GBK" w:cs="Times New Roman"/>
          <w:color w:val="000000" w:themeColor="text1"/>
          <w:sz w:val="28"/>
          <w:szCs w:val="20"/>
          <w14:textFill>
            <w14:solidFill>
              <w14:schemeClr w14:val="tx1"/>
            </w14:solidFill>
          </w14:textFill>
        </w:rPr>
      </w:pPr>
    </w:p>
    <w:bookmarkEnd w:id="173"/>
    <w:bookmarkEnd w:id="174"/>
    <w:p>
      <w:pPr>
        <w:widowControl/>
        <w:ind w:firstLine="560" w:firstLineChars="200"/>
        <w:jc w:val="left"/>
        <w:rPr>
          <w:rFonts w:hint="eastAsia" w:ascii="方正仿宋_GBK" w:hAnsi="宋体" w:eastAsia="方正仿宋_GBK" w:cs="Times New Roman"/>
          <w:color w:val="000000" w:themeColor="text1"/>
          <w:sz w:val="28"/>
          <w:szCs w:val="20"/>
          <w14:textFill>
            <w14:solidFill>
              <w14:schemeClr w14:val="tx1"/>
            </w14:solidFill>
          </w14:textFill>
        </w:rPr>
        <w:sectPr>
          <w:pgSz w:w="11907" w:h="16840"/>
          <w:pgMar w:top="1134" w:right="1191" w:bottom="1134" w:left="1304" w:header="851" w:footer="992" w:gutter="0"/>
          <w:cols w:space="720" w:num="1"/>
          <w:docGrid w:linePitch="380" w:charSpace="-5735"/>
        </w:sectPr>
      </w:pPr>
    </w:p>
    <w:p>
      <w:pPr>
        <w:widowControl/>
        <w:ind w:firstLine="560" w:firstLineChars="200"/>
        <w:jc w:val="left"/>
        <w:rPr>
          <w:rFonts w:ascii="方正仿宋_GBK" w:hAnsi="宋体" w:eastAsia="方正仿宋_GBK" w:cs="Times New Roman"/>
          <w:color w:val="000000" w:themeColor="text1"/>
          <w:sz w:val="28"/>
          <w:szCs w:val="20"/>
          <w14:textFill>
            <w14:solidFill>
              <w14:schemeClr w14:val="tx1"/>
            </w14:solidFill>
          </w14:textFill>
        </w:rPr>
      </w:pPr>
      <w:r>
        <w:rPr>
          <w:rFonts w:hint="eastAsia" w:ascii="方正仿宋_GBK" w:hAnsi="宋体" w:eastAsia="方正仿宋_GBK" w:cs="Times New Roman"/>
          <w:color w:val="000000" w:themeColor="text1"/>
          <w:sz w:val="28"/>
          <w:szCs w:val="20"/>
          <w14:textFill>
            <w14:solidFill>
              <w14:schemeClr w14:val="tx1"/>
            </w14:solidFill>
          </w14:textFill>
        </w:rPr>
        <w:t>（</w:t>
      </w:r>
      <w:r>
        <w:rPr>
          <w:rFonts w:hint="eastAsia" w:ascii="方正仿宋_GBK" w:hAnsi="宋体" w:eastAsia="方正仿宋_GBK" w:cs="Times New Roman"/>
          <w:color w:val="000000" w:themeColor="text1"/>
          <w:sz w:val="28"/>
          <w:szCs w:val="20"/>
          <w:lang w:eastAsia="zh-CN"/>
          <w14:textFill>
            <w14:solidFill>
              <w14:schemeClr w14:val="tx1"/>
            </w14:solidFill>
          </w14:textFill>
        </w:rPr>
        <w:t>八</w:t>
      </w:r>
      <w:r>
        <w:rPr>
          <w:rFonts w:hint="eastAsia" w:ascii="方正仿宋_GBK" w:hAnsi="宋体" w:eastAsia="方正仿宋_GBK" w:cs="Times New Roman"/>
          <w:color w:val="000000" w:themeColor="text1"/>
          <w:sz w:val="28"/>
          <w:szCs w:val="20"/>
          <w14:textFill>
            <w14:solidFill>
              <w14:schemeClr w14:val="tx1"/>
            </w14:solidFill>
          </w14:textFill>
        </w:rPr>
        <w:t>）特定资格条件证书或证明文件</w:t>
      </w:r>
      <w:r>
        <w:rPr>
          <w:rFonts w:hint="eastAsia" w:ascii="微软雅黑" w:hAnsi="微软雅黑" w:eastAsia="微软雅黑" w:cs="微软雅黑"/>
          <w:color w:val="000000" w:themeColor="text1"/>
          <w:szCs w:val="28"/>
          <w14:textFill>
            <w14:solidFill>
              <w14:schemeClr w14:val="tx1"/>
            </w14:solidFill>
          </w14:textFill>
        </w:rPr>
        <w:t>（如果有）</w:t>
      </w:r>
    </w:p>
    <w:p>
      <w:pPr>
        <w:tabs>
          <w:tab w:val="left" w:pos="6300"/>
        </w:tabs>
        <w:snapToGrid w:val="0"/>
        <w:spacing w:line="500" w:lineRule="exact"/>
        <w:ind w:firstLine="560" w:firstLineChars="200"/>
        <w:rPr>
          <w:rFonts w:ascii="方正仿宋_GBK" w:hAnsi="宋体" w:eastAsia="方正仿宋_GBK" w:cs="Times New Roman"/>
          <w:color w:val="000000" w:themeColor="text1"/>
          <w:sz w:val="28"/>
          <w:szCs w:val="20"/>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jc w:val="both"/>
        <w:rPr>
          <w:rFonts w:ascii="方正仿宋_GBK" w:hAnsi="宋体" w:eastAsia="方正仿宋_GBK" w:cs="Times New Roman"/>
          <w:color w:val="000000" w:themeColor="text1"/>
          <w:sz w:val="24"/>
          <w:szCs w:val="24"/>
          <w14:textFill>
            <w14:solidFill>
              <w14:schemeClr w14:val="tx1"/>
            </w14:solidFill>
          </w14:textFill>
        </w:rPr>
      </w:pPr>
    </w:p>
    <w:p>
      <w:pPr>
        <w:spacing w:line="360" w:lineRule="auto"/>
        <w:ind w:firstLine="480" w:firstLineChars="200"/>
        <w:jc w:val="center"/>
        <w:rPr>
          <w:rFonts w:ascii="方正仿宋_GBK" w:hAnsi="宋体" w:eastAsia="方正仿宋_GBK" w:cs="Times New Roman"/>
          <w:color w:val="000000" w:themeColor="text1"/>
          <w:sz w:val="24"/>
          <w:szCs w:val="24"/>
          <w14:textFill>
            <w14:solidFill>
              <w14:schemeClr w14:val="tx1"/>
            </w14:solidFill>
          </w14:textFill>
        </w:rPr>
      </w:pPr>
    </w:p>
    <w:p>
      <w:pPr>
        <w:jc w:val="left"/>
        <w:rPr>
          <w:rFonts w:hint="eastAsia" w:ascii="方正仿宋_GBK" w:hAnsi="宋体" w:eastAsia="方正仿宋_GBK" w:cs="Times New Roman"/>
          <w:color w:val="000000" w:themeColor="text1"/>
          <w:sz w:val="28"/>
          <w:szCs w:val="28"/>
          <w14:textFill>
            <w14:solidFill>
              <w14:schemeClr w14:val="tx1"/>
            </w14:solidFill>
          </w14:textFill>
        </w:rPr>
        <w:sectPr>
          <w:pgSz w:w="11907" w:h="16840"/>
          <w:pgMar w:top="1134" w:right="1191" w:bottom="1134" w:left="1304" w:header="851" w:footer="992" w:gutter="0"/>
          <w:cols w:space="720" w:num="1"/>
          <w:docGrid w:linePitch="380" w:charSpace="-5735"/>
        </w:sectPr>
      </w:pPr>
    </w:p>
    <w:p>
      <w:pPr>
        <w:jc w:val="left"/>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信用中国--</w:t>
      </w:r>
      <w:r>
        <w:rPr>
          <w:rFonts w:hint="eastAsia" w:ascii="方正仿宋_GBK" w:hAnsi="宋体" w:eastAsia="方正仿宋_GBK" w:cs="Times New Roman"/>
          <w:color w:val="000000" w:themeColor="text1"/>
          <w:sz w:val="28"/>
          <w:szCs w:val="28"/>
          <w:lang w:eastAsia="zh-CN"/>
          <w14:textFill>
            <w14:solidFill>
              <w14:schemeClr w14:val="tx1"/>
            </w14:solidFill>
          </w14:textFill>
        </w:rPr>
        <w:t>信用服务</w:t>
      </w:r>
      <w:r>
        <w:rPr>
          <w:rFonts w:hint="eastAsia" w:ascii="方正仿宋_GBK" w:hAnsi="宋体" w:eastAsia="方正仿宋_GBK" w:cs="Times New Roman"/>
          <w:color w:val="000000" w:themeColor="text1"/>
          <w:sz w:val="28"/>
          <w:szCs w:val="28"/>
          <w:lang w:val="en-US" w:eastAsia="zh-CN"/>
          <w14:textFill>
            <w14:solidFill>
              <w14:schemeClr w14:val="tx1"/>
            </w14:solidFill>
          </w14:textFill>
        </w:rPr>
        <w:t>--严重失信主体名单查询</w:t>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r>
        <w:rPr>
          <w:color w:val="000000" w:themeColor="text1"/>
          <w14:textFill>
            <w14:solidFill>
              <w14:schemeClr w14:val="tx1"/>
            </w14:solidFill>
          </w14:textFill>
        </w:rPr>
        <w:drawing>
          <wp:inline distT="0" distB="0" distL="114300" distR="114300">
            <wp:extent cx="5962015" cy="3254375"/>
            <wp:effectExtent l="0" t="0" r="12065" b="698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sectPr>
          <w:pgSz w:w="11907" w:h="16840"/>
          <w:pgMar w:top="1134" w:right="1191" w:bottom="1134" w:left="1304" w:header="851" w:footer="992" w:gutter="0"/>
          <w:cols w:space="720" w:num="1"/>
          <w:docGrid w:linePitch="380" w:charSpace="-5735"/>
        </w:sectPr>
      </w:pPr>
    </w:p>
    <w:p>
      <w:pPr>
        <w:jc w:val="left"/>
        <w:rPr>
          <w:rFonts w:ascii="方正仿宋_GBK" w:hAnsi="宋体" w:eastAsia="方正仿宋_GBK" w:cs="Times New Roman"/>
          <w:color w:val="000000" w:themeColor="text1"/>
          <w:sz w:val="28"/>
          <w:szCs w:val="28"/>
          <w14:textFill>
            <w14:solidFill>
              <w14:schemeClr w14:val="tx1"/>
            </w14:solidFill>
          </w14:textFill>
        </w:rPr>
      </w:pPr>
    </w:p>
    <w:p>
      <w:pPr>
        <w:jc w:val="left"/>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信用中国--</w:t>
      </w:r>
      <w:r>
        <w:rPr>
          <w:rFonts w:hint="eastAsia" w:ascii="方正仿宋_GBK" w:hAnsi="宋体" w:eastAsia="方正仿宋_GBK" w:cs="Times New Roman"/>
          <w:color w:val="000000" w:themeColor="text1"/>
          <w:sz w:val="28"/>
          <w:szCs w:val="28"/>
          <w:lang w:eastAsia="zh-CN"/>
          <w14:textFill>
            <w14:solidFill>
              <w14:schemeClr w14:val="tx1"/>
            </w14:solidFill>
          </w14:textFill>
        </w:rPr>
        <w:t>信用服务</w:t>
      </w:r>
      <w:r>
        <w:rPr>
          <w:rFonts w:hint="eastAsia" w:ascii="方正仿宋_GBK" w:hAnsi="宋体" w:eastAsia="方正仿宋_GBK" w:cs="Times New Roman"/>
          <w:color w:val="000000" w:themeColor="text1"/>
          <w:sz w:val="28"/>
          <w:szCs w:val="28"/>
          <w:lang w:val="en-US" w:eastAsia="zh-CN"/>
          <w14:textFill>
            <w14:solidFill>
              <w14:schemeClr w14:val="tx1"/>
            </w14:solidFill>
          </w14:textFill>
        </w:rPr>
        <w:t>--政府采购严重违法失信行为记录名单</w:t>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r>
        <w:rPr>
          <w:color w:val="000000" w:themeColor="text1"/>
          <w14:textFill>
            <w14:solidFill>
              <w14:schemeClr w14:val="tx1"/>
            </w14:solidFill>
          </w14:textFill>
        </w:rPr>
        <w:drawing>
          <wp:inline distT="0" distB="0" distL="114300" distR="114300">
            <wp:extent cx="5962015" cy="3254375"/>
            <wp:effectExtent l="0" t="0" r="12065" b="698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sectPr>
          <w:pgSz w:w="11907" w:h="16840"/>
          <w:pgMar w:top="1134" w:right="1191" w:bottom="1134" w:left="1304" w:header="851" w:footer="992" w:gutter="0"/>
          <w:cols w:space="720" w:num="1"/>
          <w:docGrid w:linePitch="380" w:charSpace="-5735"/>
        </w:sectPr>
      </w:pPr>
    </w:p>
    <w:p>
      <w:pPr>
        <w:jc w:val="left"/>
        <w:rPr>
          <w:rFonts w:hint="default" w:ascii="Times New Roman" w:hAnsi="Times New Roman" w:eastAsia="方正仿宋_GBK" w:cs="Times New Roman"/>
          <w:color w:val="000000" w:themeColor="text1"/>
          <w:sz w:val="28"/>
          <w:szCs w:val="20"/>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信用中国--</w:t>
      </w:r>
      <w:r>
        <w:rPr>
          <w:rFonts w:hint="eastAsia" w:ascii="方正仿宋_GBK" w:hAnsi="宋体" w:eastAsia="方正仿宋_GBK" w:cs="Times New Roman"/>
          <w:color w:val="000000" w:themeColor="text1"/>
          <w:sz w:val="28"/>
          <w:szCs w:val="28"/>
          <w:lang w:eastAsia="zh-CN"/>
          <w14:textFill>
            <w14:solidFill>
              <w14:schemeClr w14:val="tx1"/>
            </w14:solidFill>
          </w14:textFill>
        </w:rPr>
        <w:t>信用服务</w:t>
      </w:r>
      <w:r>
        <w:rPr>
          <w:rFonts w:hint="eastAsia" w:ascii="方正仿宋_GBK" w:hAnsi="宋体" w:eastAsia="方正仿宋_GBK" w:cs="Times New Roman"/>
          <w:color w:val="000000" w:themeColor="text1"/>
          <w:sz w:val="28"/>
          <w:szCs w:val="28"/>
          <w:lang w:val="en-US" w:eastAsia="zh-CN"/>
          <w14:textFill>
            <w14:solidFill>
              <w14:schemeClr w14:val="tx1"/>
            </w14:solidFill>
          </w14:textFill>
        </w:rPr>
        <w:t>--税收违法黑名单</w:t>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r>
        <w:rPr>
          <w:color w:val="000000" w:themeColor="text1"/>
          <w14:textFill>
            <w14:solidFill>
              <w14:schemeClr w14:val="tx1"/>
            </w14:solidFill>
          </w14:textFill>
        </w:rPr>
        <w:drawing>
          <wp:inline distT="0" distB="0" distL="114300" distR="114300">
            <wp:extent cx="5962015" cy="3254375"/>
            <wp:effectExtent l="0" t="0" r="12065" b="698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sectPr>
          <w:pgSz w:w="11907" w:h="16840"/>
          <w:pgMar w:top="1134" w:right="1191" w:bottom="1134" w:left="1304" w:header="851" w:footer="992" w:gutter="0"/>
          <w:cols w:space="720" w:num="1"/>
          <w:docGrid w:linePitch="380" w:charSpace="-5735"/>
        </w:sectPr>
      </w:pPr>
    </w:p>
    <w:p>
      <w:pPr>
        <w:jc w:val="left"/>
        <w:rPr>
          <w:rFonts w:hint="eastAsia" w:ascii="方正仿宋_GBK" w:hAnsi="宋体" w:eastAsia="方正仿宋_GBK" w:cs="Times New Roman"/>
          <w:color w:val="000000" w:themeColor="text1"/>
          <w:sz w:val="28"/>
          <w:szCs w:val="28"/>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信用中国--</w:t>
      </w:r>
      <w:r>
        <w:rPr>
          <w:rFonts w:hint="eastAsia" w:ascii="方正仿宋_GBK" w:hAnsi="宋体" w:eastAsia="方正仿宋_GBK" w:cs="Times New Roman"/>
          <w:color w:val="000000" w:themeColor="text1"/>
          <w:sz w:val="28"/>
          <w:szCs w:val="28"/>
          <w:lang w:eastAsia="zh-CN"/>
          <w14:textFill>
            <w14:solidFill>
              <w14:schemeClr w14:val="tx1"/>
            </w14:solidFill>
          </w14:textFill>
        </w:rPr>
        <w:t>信用服务</w:t>
      </w:r>
      <w:r>
        <w:rPr>
          <w:rFonts w:hint="eastAsia" w:ascii="方正仿宋_GBK" w:hAnsi="宋体" w:eastAsia="方正仿宋_GBK" w:cs="Times New Roman"/>
          <w:color w:val="000000" w:themeColor="text1"/>
          <w:sz w:val="28"/>
          <w:szCs w:val="28"/>
          <w:lang w:val="en-US" w:eastAsia="zh-CN"/>
          <w14:textFill>
            <w14:solidFill>
              <w14:schemeClr w14:val="tx1"/>
            </w14:solidFill>
          </w14:textFill>
        </w:rPr>
        <w:t>--失信被执行人</w:t>
      </w:r>
    </w:p>
    <w:p>
      <w:pPr>
        <w:jc w:val="left"/>
        <w:rPr>
          <w:rFonts w:hint="eastAsia" w:ascii="方正仿宋_GBK" w:hAnsi="宋体" w:eastAsia="方正仿宋_GBK" w:cs="Times New Roman"/>
          <w:color w:val="000000" w:themeColor="text1"/>
          <w:sz w:val="28"/>
          <w:szCs w:val="28"/>
          <w:lang w:val="en-US" w:eastAsia="zh-CN"/>
          <w14:textFill>
            <w14:solidFill>
              <w14:schemeClr w14:val="tx1"/>
            </w14:solidFill>
          </w14:textFill>
        </w:rPr>
      </w:pPr>
    </w:p>
    <w:p>
      <w:pPr>
        <w:jc w:val="left"/>
        <w:rPr>
          <w:rFonts w:hint="eastAsia" w:ascii="方正仿宋_GBK" w:hAnsi="宋体" w:eastAsia="方正仿宋_GBK" w:cs="Times New Roman"/>
          <w:color w:val="000000" w:themeColor="text1"/>
          <w:sz w:val="28"/>
          <w:szCs w:val="28"/>
          <w:lang w:val="en-US" w:eastAsia="zh-CN"/>
          <w14:textFill>
            <w14:solidFill>
              <w14:schemeClr w14:val="tx1"/>
            </w14:solidFill>
          </w14:textFill>
        </w:rPr>
      </w:pPr>
    </w:p>
    <w:p>
      <w:pPr>
        <w:jc w:val="left"/>
        <w:rPr>
          <w:rFonts w:hint="eastAsia" w:ascii="方正仿宋_GBK" w:hAnsi="宋体" w:eastAsia="方正仿宋_GBK" w:cs="Times New Roman"/>
          <w:color w:val="000000" w:themeColor="text1"/>
          <w:sz w:val="28"/>
          <w:szCs w:val="28"/>
          <w:lang w:val="en-US" w:eastAsia="zh-CN"/>
          <w14:textFill>
            <w14:solidFill>
              <w14:schemeClr w14:val="tx1"/>
            </w14:solidFill>
          </w14:textFill>
        </w:rPr>
      </w:pPr>
    </w:p>
    <w:p>
      <w:pPr>
        <w:jc w:val="left"/>
        <w:rPr>
          <w:rFonts w:hint="eastAsia" w:ascii="方正仿宋_GBK" w:hAnsi="宋体" w:eastAsia="方正仿宋_GBK" w:cs="Times New Roman"/>
          <w:color w:val="000000" w:themeColor="text1"/>
          <w:sz w:val="28"/>
          <w:szCs w:val="28"/>
          <w:lang w:val="en-US" w:eastAsia="zh-CN"/>
          <w14:textFill>
            <w14:solidFill>
              <w14:schemeClr w14:val="tx1"/>
            </w14:solidFill>
          </w14:textFill>
        </w:rPr>
      </w:pPr>
    </w:p>
    <w:p>
      <w:pPr>
        <w:jc w:val="left"/>
        <w:rPr>
          <w:rFonts w:hint="default" w:ascii="方正仿宋_GBK" w:hAnsi="宋体" w:eastAsia="方正仿宋_GBK" w:cs="Times New Roman"/>
          <w:color w:val="000000" w:themeColor="text1"/>
          <w:sz w:val="28"/>
          <w:szCs w:val="28"/>
          <w:lang w:val="en-US" w:eastAsia="zh-CN"/>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r>
        <w:rPr>
          <w:color w:val="000000" w:themeColor="text1"/>
          <w14:textFill>
            <w14:solidFill>
              <w14:schemeClr w14:val="tx1"/>
            </w14:solidFill>
          </w14:textFill>
        </w:rPr>
        <w:drawing>
          <wp:inline distT="0" distB="0" distL="114300" distR="114300">
            <wp:extent cx="5962015" cy="3254375"/>
            <wp:effectExtent l="0" t="0" r="12065" b="698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5962015" cy="3254375"/>
                    </a:xfrm>
                    <a:prstGeom prst="rect">
                      <a:avLst/>
                    </a:prstGeom>
                    <a:noFill/>
                    <a:ln>
                      <a:noFill/>
                    </a:ln>
                  </pic:spPr>
                </pic:pic>
              </a:graphicData>
            </a:graphic>
          </wp:inline>
        </w:drawing>
      </w: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8"/>
          <w14:textFill>
            <w14:solidFill>
              <w14:schemeClr w14:val="tx1"/>
            </w14:solidFill>
          </w14:textFill>
        </w:rPr>
      </w:pPr>
    </w:p>
    <w:p>
      <w:pPr>
        <w:jc w:val="left"/>
        <w:rPr>
          <w:rFonts w:ascii="Times New Roman" w:hAnsi="Times New Roman" w:eastAsia="宋体" w:cs="Times New Roman"/>
          <w:color w:val="000000" w:themeColor="text1"/>
          <w:sz w:val="28"/>
          <w:szCs w:val="28"/>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jc w:val="left"/>
        <w:rPr>
          <w:rFonts w:ascii="Times New Roman" w:hAnsi="Times New Roman" w:eastAsia="宋体" w:cs="Times New Roman"/>
          <w:color w:val="000000" w:themeColor="text1"/>
          <w:sz w:val="28"/>
          <w:szCs w:val="20"/>
          <w14:textFill>
            <w14:solidFill>
              <w14:schemeClr w14:val="tx1"/>
            </w14:solidFill>
          </w14:textFill>
        </w:rPr>
      </w:pPr>
    </w:p>
    <w:p>
      <w:pPr>
        <w:tabs>
          <w:tab w:val="left" w:pos="6300"/>
        </w:tabs>
        <w:snapToGrid w:val="0"/>
        <w:spacing w:line="360" w:lineRule="auto"/>
        <w:rPr>
          <w:rFonts w:ascii="方正仿宋_GBK" w:hAnsi="宋体" w:eastAsia="方正仿宋_GBK" w:cs="Times New Roman"/>
          <w:color w:val="000000" w:themeColor="text1"/>
          <w:sz w:val="28"/>
          <w:szCs w:val="20"/>
          <w14:textFill>
            <w14:solidFill>
              <w14:schemeClr w14:val="tx1"/>
            </w14:solidFill>
          </w14:textFill>
        </w:rPr>
      </w:pPr>
    </w:p>
    <w:p>
      <w:pPr>
        <w:pStyle w:val="2"/>
        <w:bidi w:val="0"/>
        <w:jc w:val="center"/>
        <w:rPr>
          <w:rFonts w:hint="eastAsia" w:ascii="微软雅黑" w:hAnsi="微软雅黑" w:eastAsia="微软雅黑" w:cs="微软雅黑"/>
          <w:color w:val="000000" w:themeColor="text1"/>
          <w:sz w:val="36"/>
          <w:szCs w:val="36"/>
          <w:lang w:val="en-US" w:eastAsia="zh-CN"/>
          <w14:textFill>
            <w14:solidFill>
              <w14:schemeClr w14:val="tx1"/>
            </w14:solidFill>
          </w14:textFill>
        </w:rPr>
      </w:pPr>
      <w:bookmarkStart w:id="175" w:name="_Toc27256"/>
      <w:bookmarkStart w:id="176" w:name="_Toc20625"/>
      <w:r>
        <w:rPr>
          <w:rFonts w:hint="eastAsia" w:ascii="微软雅黑" w:hAnsi="微软雅黑" w:eastAsia="微软雅黑" w:cs="微软雅黑"/>
          <w:color w:val="000000" w:themeColor="text1"/>
          <w:sz w:val="36"/>
          <w:szCs w:val="36"/>
          <w:lang w:val="en-US" w:eastAsia="zh-CN"/>
          <w14:textFill>
            <w14:solidFill>
              <w14:schemeClr w14:val="tx1"/>
            </w14:solidFill>
          </w14:textFill>
        </w:rPr>
        <w:t>重庆医科大学附属永川医院</w:t>
      </w:r>
    </w:p>
    <w:p>
      <w:pPr>
        <w:pStyle w:val="2"/>
        <w:bidi w:val="0"/>
        <w:jc w:val="center"/>
        <w:rPr>
          <w:rFonts w:hint="eastAsia" w:ascii="微软雅黑" w:hAnsi="微软雅黑" w:eastAsia="微软雅黑" w:cs="微软雅黑"/>
          <w:color w:val="000000" w:themeColor="text1"/>
          <w:sz w:val="36"/>
          <w:szCs w:val="36"/>
          <w:lang w:val="en-US" w:eastAsia="zh-CN"/>
          <w14:textFill>
            <w14:solidFill>
              <w14:schemeClr w14:val="tx1"/>
            </w14:solidFill>
          </w14:textFill>
        </w:rPr>
      </w:pPr>
      <w:r>
        <w:rPr>
          <w:rFonts w:hint="eastAsia" w:ascii="微软雅黑" w:hAnsi="微软雅黑" w:eastAsia="微软雅黑" w:cs="微软雅黑"/>
          <w:color w:val="000000" w:themeColor="text1"/>
          <w:sz w:val="36"/>
          <w:szCs w:val="36"/>
          <w:lang w:val="en-US" w:eastAsia="zh-CN"/>
          <w14:textFill>
            <w14:solidFill>
              <w14:schemeClr w14:val="tx1"/>
            </w14:solidFill>
          </w14:textFill>
        </w:rPr>
        <w:t>参加医院院内采购活动来院人员</w:t>
      </w:r>
    </w:p>
    <w:p>
      <w:pPr>
        <w:pStyle w:val="2"/>
        <w:bidi w:val="0"/>
        <w:jc w:val="center"/>
        <w:rPr>
          <w:rFonts w:hint="eastAsia" w:ascii="微软雅黑" w:hAnsi="微软雅黑" w:eastAsia="微软雅黑" w:cs="微软雅黑"/>
          <w:color w:val="000000" w:themeColor="text1"/>
          <w:sz w:val="36"/>
          <w:szCs w:val="36"/>
          <w:lang w:eastAsia="zh-CN"/>
          <w14:textFill>
            <w14:solidFill>
              <w14:schemeClr w14:val="tx1"/>
            </w14:solidFill>
          </w14:textFill>
        </w:rPr>
      </w:pPr>
      <w:r>
        <w:rPr>
          <w:rFonts w:hint="eastAsia" w:ascii="微软雅黑" w:hAnsi="微软雅黑" w:eastAsia="微软雅黑" w:cs="微软雅黑"/>
          <w:color w:val="000000" w:themeColor="text1"/>
          <w:sz w:val="36"/>
          <w:szCs w:val="36"/>
          <w14:textFill>
            <w14:solidFill>
              <w14:schemeClr w14:val="tx1"/>
            </w14:solidFill>
          </w14:textFill>
        </w:rPr>
        <w:t>新冠肺炎疫情防控工作</w:t>
      </w:r>
      <w:r>
        <w:rPr>
          <w:rFonts w:hint="eastAsia" w:ascii="微软雅黑" w:hAnsi="微软雅黑" w:eastAsia="微软雅黑" w:cs="微软雅黑"/>
          <w:color w:val="000000" w:themeColor="text1"/>
          <w:sz w:val="36"/>
          <w:szCs w:val="36"/>
          <w:lang w:eastAsia="zh-CN"/>
          <w14:textFill>
            <w14:solidFill>
              <w14:schemeClr w14:val="tx1"/>
            </w14:solidFill>
          </w14:textFill>
        </w:rPr>
        <w:t>告知书</w:t>
      </w:r>
      <w:bookmarkEnd w:id="175"/>
      <w:bookmarkEnd w:id="176"/>
    </w:p>
    <w:p>
      <w:pPr>
        <w:pStyle w:val="35"/>
        <w:rPr>
          <w:rFonts w:hint="eastAsia"/>
          <w:color w:val="000000" w:themeColor="text1"/>
          <w:lang w:eastAsia="zh-CN"/>
          <w14:textFill>
            <w14:solidFill>
              <w14:schemeClr w14:val="tx1"/>
            </w14:solidFill>
          </w14:textFill>
        </w:rPr>
      </w:pPr>
    </w:p>
    <w:p>
      <w:pPr>
        <w:pStyle w:val="35"/>
        <w:rPr>
          <w:rFonts w:hint="eastAsia"/>
          <w:color w:val="000000" w:themeColor="text1"/>
          <w14:textFill>
            <w14:solidFill>
              <w14:schemeClr w14:val="tx1"/>
            </w14:solidFill>
          </w14:textFill>
        </w:rPr>
      </w:pPr>
    </w:p>
    <w:p>
      <w:pPr>
        <w:widowControl/>
        <w:spacing w:line="400" w:lineRule="exact"/>
        <w:ind w:firstLine="480" w:firstLineChars="200"/>
        <w:jc w:val="left"/>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14:textFill>
            <w14:solidFill>
              <w14:schemeClr w14:val="tx1"/>
            </w14:solidFill>
          </w14:textFill>
        </w:rPr>
        <w:t>为切实保障</w:t>
      </w:r>
      <w:r>
        <w:rPr>
          <w:rFonts w:hint="eastAsia" w:ascii="方正仿宋_GBK" w:hAnsi="宋体" w:eastAsia="方正仿宋_GBK" w:cs="Times New Roman"/>
          <w:color w:val="000000" w:themeColor="text1"/>
          <w:sz w:val="24"/>
          <w:szCs w:val="24"/>
          <w:lang w:eastAsia="zh-CN"/>
          <w14:textFill>
            <w14:solidFill>
              <w14:schemeClr w14:val="tx1"/>
            </w14:solidFill>
          </w14:textFill>
        </w:rPr>
        <w:t>本院疫情防控安全，维持正常工作</w:t>
      </w:r>
      <w:r>
        <w:rPr>
          <w:rFonts w:hint="eastAsia" w:ascii="方正仿宋_GBK" w:hAnsi="宋体" w:eastAsia="方正仿宋_GBK" w:cs="Times New Roman"/>
          <w:color w:val="000000" w:themeColor="text1"/>
          <w:sz w:val="24"/>
          <w:szCs w:val="24"/>
          <w14:textFill>
            <w14:solidFill>
              <w14:schemeClr w14:val="tx1"/>
            </w14:solidFill>
          </w14:textFill>
        </w:rPr>
        <w:t>秩序，根据《</w:t>
      </w:r>
      <w:r>
        <w:rPr>
          <w:rFonts w:hint="default" w:ascii="方正仿宋_GBK" w:hAnsi="宋体" w:eastAsia="方正仿宋_GBK" w:cs="Times New Roman"/>
          <w:color w:val="000000" w:themeColor="text1"/>
          <w:sz w:val="24"/>
          <w:szCs w:val="24"/>
          <w:lang w:val="en-US" w:eastAsia="zh-CN"/>
          <w14:textFill>
            <w14:solidFill>
              <w14:schemeClr w14:val="tx1"/>
            </w14:solidFill>
          </w14:textFill>
        </w:rPr>
        <w:t>关于做好</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当前国内重点地区</w:t>
      </w:r>
      <w:r>
        <w:rPr>
          <w:rFonts w:hint="default" w:ascii="方正仿宋_GBK" w:hAnsi="宋体" w:eastAsia="方正仿宋_GBK" w:cs="Times New Roman"/>
          <w:color w:val="000000" w:themeColor="text1"/>
          <w:sz w:val="24"/>
          <w:szCs w:val="24"/>
          <w:lang w:eastAsia="zh-CN"/>
          <w14:textFill>
            <w14:solidFill>
              <w14:schemeClr w14:val="tx1"/>
            </w14:solidFill>
          </w14:textFill>
        </w:rPr>
        <w:t>来渝返渝人员</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健康管理</w:t>
      </w:r>
      <w:r>
        <w:rPr>
          <w:rFonts w:hint="default" w:ascii="方正仿宋_GBK" w:hAnsi="宋体" w:eastAsia="方正仿宋_GBK" w:cs="Times New Roman"/>
          <w:color w:val="000000" w:themeColor="text1"/>
          <w:sz w:val="24"/>
          <w:szCs w:val="24"/>
          <w:lang w:eastAsia="zh-CN"/>
          <w14:textFill>
            <w14:solidFill>
              <w14:schemeClr w14:val="tx1"/>
            </w14:solidFill>
          </w14:textFill>
        </w:rPr>
        <w:t>的通知</w:t>
      </w:r>
      <w:r>
        <w:rPr>
          <w:rFonts w:hint="eastAsia" w:ascii="方正仿宋_GBK" w:hAnsi="宋体" w:eastAsia="方正仿宋_GBK" w:cs="Times New Roman"/>
          <w:color w:val="000000" w:themeColor="text1"/>
          <w:sz w:val="24"/>
          <w:szCs w:val="24"/>
          <w14:textFill>
            <w14:solidFill>
              <w14:schemeClr w14:val="tx1"/>
            </w14:solidFill>
          </w14:textFill>
        </w:rPr>
        <w:t>》（</w:t>
      </w:r>
      <w:r>
        <w:rPr>
          <w:rFonts w:hint="default" w:ascii="方正仿宋_GBK" w:hAnsi="宋体" w:eastAsia="方正仿宋_GBK" w:cs="Times New Roman"/>
          <w:color w:val="000000" w:themeColor="text1"/>
          <w:sz w:val="24"/>
          <w:szCs w:val="24"/>
          <w:lang w:eastAsia="zh-CN"/>
          <w14:textFill>
            <w14:solidFill>
              <w14:schemeClr w14:val="tx1"/>
            </w14:solidFill>
          </w14:textFill>
        </w:rPr>
        <w:t>渝肺炎组疫发〔202</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default"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3</w:t>
      </w:r>
      <w:r>
        <w:rPr>
          <w:rFonts w:hint="default" w:ascii="方正仿宋_GBK" w:hAnsi="宋体" w:eastAsia="方正仿宋_GBK" w:cs="Times New Roman"/>
          <w:color w:val="000000" w:themeColor="text1"/>
          <w:sz w:val="24"/>
          <w:szCs w:val="24"/>
          <w:lang w:eastAsia="zh-CN"/>
          <w14:textFill>
            <w14:solidFill>
              <w14:schemeClr w14:val="tx1"/>
            </w14:solidFill>
          </w14:textFill>
        </w:rPr>
        <w:t>号</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《疫情期间工作人员离永返永返岗管理制度的通知》</w:t>
      </w:r>
      <w:r>
        <w:rPr>
          <w:rFonts w:hint="eastAsia" w:ascii="方正仿宋_GBK" w:hAnsi="宋体" w:eastAsia="方正仿宋_GBK" w:cs="Times New Roman"/>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重医永川医院肺炎组〔2021〕13号），结</w:t>
      </w:r>
      <w:r>
        <w:rPr>
          <w:rFonts w:hint="eastAsia" w:ascii="方正仿宋_GBK" w:hAnsi="宋体" w:eastAsia="方正仿宋_GBK" w:cs="Times New Roman"/>
          <w:color w:val="000000" w:themeColor="text1"/>
          <w:sz w:val="24"/>
          <w:szCs w:val="24"/>
          <w:lang w:eastAsia="zh-CN"/>
          <w14:textFill>
            <w14:solidFill>
              <w14:schemeClr w14:val="tx1"/>
            </w14:solidFill>
          </w14:textFill>
        </w:rPr>
        <w:t>合本院实际，</w:t>
      </w:r>
      <w:r>
        <w:rPr>
          <w:rFonts w:hint="eastAsia" w:ascii="方正仿宋_GBK" w:hAnsi="宋体" w:eastAsia="方正仿宋_GBK" w:cs="Times New Roman"/>
          <w:color w:val="000000" w:themeColor="text1"/>
          <w:sz w:val="24"/>
          <w:szCs w:val="24"/>
          <w14:textFill>
            <w14:solidFill>
              <w14:schemeClr w14:val="tx1"/>
            </w14:solidFill>
          </w14:textFill>
        </w:rPr>
        <w:t>现就持续统筹做好疫情防控工作</w:t>
      </w:r>
      <w:r>
        <w:rPr>
          <w:rFonts w:hint="eastAsia" w:ascii="方正仿宋_GBK" w:hAnsi="宋体" w:eastAsia="方正仿宋_GBK" w:cs="Times New Roman"/>
          <w:color w:val="000000" w:themeColor="text1"/>
          <w:sz w:val="24"/>
          <w:szCs w:val="24"/>
          <w:lang w:eastAsia="zh-CN"/>
          <w14:textFill>
            <w14:solidFill>
              <w14:schemeClr w14:val="tx1"/>
            </w14:solidFill>
          </w14:textFill>
        </w:rPr>
        <w:t>告知</w:t>
      </w:r>
      <w:r>
        <w:rPr>
          <w:rFonts w:hint="eastAsia" w:ascii="方正仿宋_GBK" w:hAnsi="宋体" w:eastAsia="方正仿宋_GBK" w:cs="Times New Roman"/>
          <w:color w:val="000000" w:themeColor="text1"/>
          <w:sz w:val="24"/>
          <w:szCs w:val="24"/>
          <w14:textFill>
            <w14:solidFill>
              <w14:schemeClr w14:val="tx1"/>
            </w14:solidFill>
          </w14:textFill>
        </w:rPr>
        <w:t>如下</w:t>
      </w:r>
      <w:r>
        <w:rPr>
          <w:rFonts w:hint="eastAsia" w:ascii="方正仿宋_GBK" w:hAnsi="宋体" w:eastAsia="方正仿宋_GBK" w:cs="Times New Roman"/>
          <w:color w:val="000000" w:themeColor="text1"/>
          <w:sz w:val="24"/>
          <w:szCs w:val="24"/>
          <w:lang w:eastAsia="zh-CN"/>
          <w14:textFill>
            <w14:solidFill>
              <w14:schemeClr w14:val="tx1"/>
            </w14:solidFill>
          </w14:textFill>
        </w:rPr>
        <w:t>，请配合完成。</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lang w:val="en-US" w:eastAsia="zh-CN"/>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1、所有到重庆医科大学附属永川医院参加采购相关活动的人员，均参照本医院职工疫情管理规定执行。</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境内重点地区来渝返渝人员</w:t>
      </w:r>
      <w:r>
        <w:rPr>
          <w:rFonts w:hint="eastAsia" w:ascii="方正仿宋_GBK" w:hAnsi="宋体" w:eastAsia="方正仿宋_GBK" w:cs="Times New Roman"/>
          <w:color w:val="000000" w:themeColor="text1"/>
          <w:sz w:val="24"/>
          <w:szCs w:val="24"/>
          <w:lang w:eastAsia="zh-CN"/>
          <w14:textFill>
            <w14:solidFill>
              <w14:schemeClr w14:val="tx1"/>
            </w14:solidFill>
          </w14:textFill>
        </w:rPr>
        <w:t>实行</w:t>
      </w:r>
      <w:r>
        <w:rPr>
          <w:rFonts w:hint="eastAsia" w:ascii="方正仿宋_GBK" w:hAnsi="宋体" w:eastAsia="方正仿宋_GBK" w:cs="Times New Roman"/>
          <w:color w:val="000000" w:themeColor="text1"/>
          <w:sz w:val="24"/>
          <w:szCs w:val="24"/>
          <w14:textFill>
            <w14:solidFill>
              <w14:schemeClr w14:val="tx1"/>
            </w14:solidFill>
          </w14:textFill>
        </w:rPr>
        <w:t>分类管理</w:t>
      </w:r>
      <w:r>
        <w:rPr>
          <w:rFonts w:hint="eastAsia" w:ascii="方正仿宋_GBK" w:hAnsi="宋体" w:eastAsia="方正仿宋_GBK" w:cs="Times New Roman"/>
          <w:color w:val="000000" w:themeColor="text1"/>
          <w:sz w:val="24"/>
          <w:szCs w:val="24"/>
          <w:lang w:eastAsia="zh-CN"/>
          <w14:textFill>
            <w14:solidFill>
              <w14:schemeClr w14:val="tx1"/>
            </w14:solidFill>
          </w14:textFill>
        </w:rPr>
        <w:t>，具体如下：</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lang w:eastAsia="zh-CN"/>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1</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对高、中风险区来渝返渝人员和外省（区、市）确定的特定时段、特定空间高风险人群，施行集中隔离医学观察，第1、4、7、10、14天各做1次核酸检测。</w:t>
      </w:r>
      <w:r>
        <w:rPr>
          <w:rFonts w:hint="eastAsia" w:ascii="方正仿宋_GBK" w:hAnsi="宋体" w:eastAsia="方正仿宋_GBK" w:cs="Times New Roman"/>
          <w:color w:val="000000" w:themeColor="text1"/>
          <w:sz w:val="24"/>
          <w:szCs w:val="24"/>
          <w:lang w:eastAsia="zh-CN"/>
          <w14:textFill>
            <w14:solidFill>
              <w14:schemeClr w14:val="tx1"/>
            </w14:solidFill>
          </w14:textFill>
        </w:rPr>
        <w:t>到本院办事须持集中医学观察期间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5次核酸阴性证明+</w:t>
      </w:r>
      <w:r>
        <w:rPr>
          <w:rFonts w:hint="eastAsia" w:ascii="方正仿宋_GBK" w:hAnsi="宋体" w:eastAsia="方正仿宋_GBK" w:cs="Times New Roman"/>
          <w:color w:val="000000" w:themeColor="text1"/>
          <w:sz w:val="24"/>
          <w:szCs w:val="24"/>
          <w:lang w:eastAsia="zh-CN"/>
          <w14:textFill>
            <w14:solidFill>
              <w14:schemeClr w14:val="tx1"/>
            </w14:solidFill>
          </w14:textFill>
        </w:rPr>
        <w:t>解除隔离证明</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+健康绿码+行程码，</w:t>
      </w:r>
      <w:r>
        <w:rPr>
          <w:rFonts w:hint="eastAsia" w:ascii="方正仿宋_GBK" w:hAnsi="宋体" w:eastAsia="方正仿宋_GBK" w:cs="Times New Roman"/>
          <w:color w:val="000000" w:themeColor="text1"/>
          <w:sz w:val="24"/>
          <w:szCs w:val="24"/>
          <w:lang w:eastAsia="zh-CN"/>
          <w14:textFill>
            <w14:solidFill>
              <w14:schemeClr w14:val="tx1"/>
            </w14:solidFill>
          </w14:textFill>
        </w:rPr>
        <w:t>无法提供者严禁到本院办事。</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对高风险区所在县（市、区）的其他低风险地区来渝返渝人员，施行7天居家隔离+7天健康监测（第1、7、10、14天各做1次核酸检测）。</w:t>
      </w:r>
      <w:r>
        <w:rPr>
          <w:rFonts w:hint="eastAsia" w:ascii="方正仿宋_GBK" w:hAnsi="宋体" w:eastAsia="方正仿宋_GBK" w:cs="Times New Roman"/>
          <w:color w:val="000000" w:themeColor="text1"/>
          <w:sz w:val="24"/>
          <w:szCs w:val="24"/>
          <w:lang w:eastAsia="zh-CN"/>
          <w14:textFill>
            <w14:solidFill>
              <w14:schemeClr w14:val="tx1"/>
            </w14:solidFill>
          </w14:textFill>
        </w:rPr>
        <w:t>到本院办事须持居家隔离和健康监测期间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4次核酸阴性证明</w:t>
      </w:r>
      <w:r>
        <w:rPr>
          <w:rFonts w:hint="eastAsia" w:ascii="方正仿宋_GBK" w:hAnsi="宋体" w:eastAsia="方正仿宋_GBK" w:cs="Times New Roman"/>
          <w:color w:val="000000" w:themeColor="text1"/>
          <w:sz w:val="24"/>
          <w:szCs w:val="24"/>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健康绿码+行程码，</w:t>
      </w:r>
      <w:r>
        <w:rPr>
          <w:rFonts w:hint="eastAsia" w:ascii="方正仿宋_GBK" w:hAnsi="宋体" w:eastAsia="方正仿宋_GBK" w:cs="Times New Roman"/>
          <w:color w:val="000000" w:themeColor="text1"/>
          <w:sz w:val="24"/>
          <w:szCs w:val="24"/>
          <w:lang w:eastAsia="zh-CN"/>
          <w14:textFill>
            <w14:solidFill>
              <w14:schemeClr w14:val="tx1"/>
            </w14:solidFill>
          </w14:textFill>
        </w:rPr>
        <w:t>特殊情况需另行申请。</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3</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对中风险区所在县（市、区）的其他低风险区来渝返渝人员和外省（区、市）高风险岗位的来渝返渝人员（自行申报），实施14天自我健康监测（第1、7、10、14天各做1次核酸检测，前</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w:t>
      </w:r>
      <w:r>
        <w:rPr>
          <w:rFonts w:hint="eastAsia" w:ascii="方正仿宋_GBK" w:hAnsi="宋体" w:eastAsia="方正仿宋_GBK" w:cs="Times New Roman"/>
          <w:color w:val="000000" w:themeColor="text1"/>
          <w:sz w:val="24"/>
          <w:szCs w:val="24"/>
          <w14:textFill>
            <w14:solidFill>
              <w14:schemeClr w14:val="tx1"/>
            </w14:solidFill>
          </w14:textFill>
        </w:rPr>
        <w:t>次检测结果出来之前原则上居家观察）。</w:t>
      </w:r>
      <w:r>
        <w:rPr>
          <w:rFonts w:hint="eastAsia" w:ascii="方正仿宋_GBK" w:hAnsi="宋体" w:eastAsia="方正仿宋_GBK" w:cs="Times New Roman"/>
          <w:color w:val="000000" w:themeColor="text1"/>
          <w:sz w:val="24"/>
          <w:szCs w:val="24"/>
          <w:lang w:eastAsia="zh-CN"/>
          <w14:textFill>
            <w14:solidFill>
              <w14:schemeClr w14:val="tx1"/>
            </w14:solidFill>
          </w14:textFill>
        </w:rPr>
        <w:t>到本院办事须持</w:t>
      </w:r>
      <w:r>
        <w:rPr>
          <w:rFonts w:hint="eastAsia" w:ascii="方正仿宋_GBK" w:hAnsi="宋体" w:eastAsia="方正仿宋_GBK" w:cs="Times New Roman"/>
          <w:color w:val="000000" w:themeColor="text1"/>
          <w:sz w:val="24"/>
          <w:szCs w:val="24"/>
          <w14:textFill>
            <w14:solidFill>
              <w14:schemeClr w14:val="tx1"/>
            </w14:solidFill>
          </w14:textFill>
        </w:rPr>
        <w:t>健康监测</w:t>
      </w:r>
      <w:r>
        <w:rPr>
          <w:rFonts w:hint="eastAsia" w:ascii="方正仿宋_GBK" w:hAnsi="宋体" w:eastAsia="方正仿宋_GBK" w:cs="Times New Roman"/>
          <w:color w:val="000000" w:themeColor="text1"/>
          <w:sz w:val="24"/>
          <w:szCs w:val="24"/>
          <w:lang w:eastAsia="zh-CN"/>
          <w14:textFill>
            <w14:solidFill>
              <w14:schemeClr w14:val="tx1"/>
            </w14:solidFill>
          </w14:textFill>
        </w:rPr>
        <w:t>期间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前2次核酸阴性证明+健康绿码+行程码</w:t>
      </w:r>
      <w:r>
        <w:rPr>
          <w:rFonts w:hint="eastAsia" w:ascii="方正仿宋_GBK" w:hAnsi="宋体" w:eastAsia="方正仿宋_GBK" w:cs="Times New Roman"/>
          <w:color w:val="000000" w:themeColor="text1"/>
          <w:sz w:val="24"/>
          <w:szCs w:val="24"/>
          <w:lang w:eastAsia="zh-CN"/>
          <w14:textFill>
            <w14:solidFill>
              <w14:schemeClr w14:val="tx1"/>
            </w14:solidFill>
          </w14:textFill>
        </w:rPr>
        <w:t>，特殊情况需另行申请。</w:t>
      </w:r>
    </w:p>
    <w:p>
      <w:pPr>
        <w:widowControl/>
        <w:spacing w:line="400" w:lineRule="exact"/>
        <w:ind w:firstLine="480" w:firstLineChars="200"/>
        <w:jc w:val="left"/>
        <w:rPr>
          <w:rFonts w:hint="eastAsia" w:ascii="方正仿宋_GBK" w:hAnsi="宋体" w:eastAsia="方正仿宋_GBK" w:cs="Times New Roman"/>
          <w:color w:val="000000" w:themeColor="text1"/>
          <w:sz w:val="24"/>
          <w:szCs w:val="24"/>
          <w14:textFill>
            <w14:solidFill>
              <w14:schemeClr w14:val="tx1"/>
            </w14:solidFill>
          </w14:textFill>
        </w:rPr>
      </w:pP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4</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对高、中风险区所在地市的其他县（市、区）来渝返渝人员和未划定高、中风险区但出现本土病例的所在地市来渝返渝人员，实施7天自我健康监测（在</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4</w:t>
      </w:r>
      <w:r>
        <w:rPr>
          <w:rFonts w:hint="eastAsia" w:ascii="方正仿宋_GBK" w:hAnsi="宋体" w:eastAsia="方正仿宋_GBK" w:cs="Times New Roman"/>
          <w:color w:val="000000" w:themeColor="text1"/>
          <w:sz w:val="24"/>
          <w:szCs w:val="24"/>
          <w14:textFill>
            <w14:solidFill>
              <w14:schemeClr w14:val="tx1"/>
            </w14:solidFill>
          </w14:textFill>
        </w:rPr>
        <w:t>天内完成2次核酸检测，2次采样间隔至少</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72</w:t>
      </w:r>
      <w:r>
        <w:rPr>
          <w:rFonts w:hint="eastAsia" w:ascii="方正仿宋_GBK" w:hAnsi="宋体" w:eastAsia="方正仿宋_GBK" w:cs="Times New Roman"/>
          <w:color w:val="000000" w:themeColor="text1"/>
          <w:sz w:val="24"/>
          <w:szCs w:val="24"/>
          <w14:textFill>
            <w14:solidFill>
              <w14:schemeClr w14:val="tx1"/>
            </w14:solidFill>
          </w14:textFill>
        </w:rPr>
        <w:t>小时，2次检测结果出来前原则上居家观察）。</w:t>
      </w:r>
      <w:r>
        <w:rPr>
          <w:rFonts w:hint="eastAsia" w:ascii="方正仿宋_GBK" w:hAnsi="宋体" w:eastAsia="方正仿宋_GBK" w:cs="Times New Roman"/>
          <w:color w:val="000000" w:themeColor="text1"/>
          <w:sz w:val="24"/>
          <w:szCs w:val="24"/>
          <w:lang w:eastAsia="zh-CN"/>
          <w14:textFill>
            <w14:solidFill>
              <w14:schemeClr w14:val="tx1"/>
            </w14:solidFill>
          </w14:textFill>
        </w:rPr>
        <w:t>到本院办事须持</w:t>
      </w:r>
      <w:r>
        <w:rPr>
          <w:rFonts w:hint="eastAsia" w:ascii="方正仿宋_GBK" w:hAnsi="宋体" w:eastAsia="方正仿宋_GBK" w:cs="Times New Roman"/>
          <w:color w:val="000000" w:themeColor="text1"/>
          <w:sz w:val="24"/>
          <w:szCs w:val="24"/>
          <w14:textFill>
            <w14:solidFill>
              <w14:schemeClr w14:val="tx1"/>
            </w14:solidFill>
          </w14:textFill>
        </w:rPr>
        <w:t>健康监测</w:t>
      </w:r>
      <w:r>
        <w:rPr>
          <w:rFonts w:hint="eastAsia" w:ascii="方正仿宋_GBK" w:hAnsi="宋体" w:eastAsia="方正仿宋_GBK" w:cs="Times New Roman"/>
          <w:color w:val="000000" w:themeColor="text1"/>
          <w:sz w:val="24"/>
          <w:szCs w:val="24"/>
          <w:lang w:eastAsia="zh-CN"/>
          <w14:textFill>
            <w14:solidFill>
              <w14:schemeClr w14:val="tx1"/>
            </w14:solidFill>
          </w14:textFill>
        </w:rPr>
        <w:t>期间</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2次核酸（</w:t>
      </w:r>
      <w:r>
        <w:rPr>
          <w:rFonts w:hint="eastAsia" w:ascii="方正仿宋_GBK" w:hAnsi="宋体" w:eastAsia="方正仿宋_GBK" w:cs="Times New Roman"/>
          <w:color w:val="000000" w:themeColor="text1"/>
          <w:sz w:val="24"/>
          <w:szCs w:val="24"/>
          <w14:textFill>
            <w14:solidFill>
              <w14:schemeClr w14:val="tx1"/>
            </w14:solidFill>
          </w14:textFill>
        </w:rPr>
        <w:t>间隔至少</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72</w:t>
      </w:r>
      <w:r>
        <w:rPr>
          <w:rFonts w:hint="eastAsia" w:ascii="方正仿宋_GBK" w:hAnsi="宋体" w:eastAsia="方正仿宋_GBK" w:cs="Times New Roman"/>
          <w:color w:val="000000" w:themeColor="text1"/>
          <w:sz w:val="24"/>
          <w:szCs w:val="24"/>
          <w14:textFill>
            <w14:solidFill>
              <w14:schemeClr w14:val="tx1"/>
            </w14:solidFill>
          </w14:textFill>
        </w:rPr>
        <w:t>小时</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）阴性证明+健康绿码+行程码</w:t>
      </w:r>
      <w:r>
        <w:rPr>
          <w:rFonts w:hint="eastAsia" w:ascii="方正仿宋_GBK" w:hAnsi="宋体" w:eastAsia="方正仿宋_GBK" w:cs="Times New Roman"/>
          <w:color w:val="000000" w:themeColor="text1"/>
          <w:sz w:val="24"/>
          <w:szCs w:val="24"/>
          <w:lang w:eastAsia="zh-CN"/>
          <w14:textFill>
            <w14:solidFill>
              <w14:schemeClr w14:val="tx1"/>
            </w14:solidFill>
          </w14:textFill>
        </w:rPr>
        <w:t>，特殊情况需另行申请。</w:t>
      </w:r>
    </w:p>
    <w:p>
      <w:pPr>
        <w:widowControl/>
        <w:spacing w:line="400" w:lineRule="exact"/>
        <w:ind w:firstLine="480" w:firstLineChars="200"/>
        <w:jc w:val="left"/>
        <w:rPr>
          <w:rFonts w:hint="default" w:ascii="方正仿宋_GBK" w:hAnsi="宋体" w:eastAsia="方正仿宋_GBK" w:cs="Times New Roman"/>
          <w:color w:val="000000" w:themeColor="text1"/>
          <w:sz w:val="24"/>
          <w:szCs w:val="24"/>
          <w:lang w:val="en-US" w:eastAsia="zh-CN"/>
          <w14:textFill>
            <w14:solidFill>
              <w14:schemeClr w14:val="tx1"/>
            </w14:solidFill>
          </w14:textFill>
        </w:rPr>
      </w:pPr>
      <w:r>
        <w:rPr>
          <w:rFonts w:hint="default" w:ascii="方正仿宋_GBK" w:hAnsi="宋体" w:eastAsia="方正仿宋_GBK" w:cs="Times New Roman"/>
          <w:color w:val="000000" w:themeColor="text1"/>
          <w:sz w:val="24"/>
          <w:szCs w:val="24"/>
          <w14:textFill>
            <w14:solidFill>
              <w14:schemeClr w14:val="tx1"/>
            </w14:solidFill>
          </w14:textFill>
        </w:rPr>
        <w:t>（5）除外上述情形的市外低风险区来渝返渝人员，参照第（4）条执行</w:t>
      </w:r>
      <w:r>
        <w:rPr>
          <w:rFonts w:hint="eastAsia" w:ascii="方正仿宋_GBK" w:hAnsi="宋体" w:eastAsia="方正仿宋_GBK" w:cs="Times New Roman"/>
          <w:color w:val="000000" w:themeColor="text1"/>
          <w:sz w:val="24"/>
          <w:szCs w:val="24"/>
          <w:lang w:eastAsia="zh-CN"/>
          <w14:textFill>
            <w14:solidFill>
              <w14:schemeClr w14:val="tx1"/>
            </w14:solidFill>
          </w14:textFill>
        </w:rPr>
        <w:t>，原则上需</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进行</w:t>
      </w:r>
      <w:r>
        <w:rPr>
          <w:rFonts w:hint="eastAsia" w:ascii="方正仿宋_GBK" w:hAnsi="宋体" w:eastAsia="方正仿宋_GBK" w:cs="Times New Roman"/>
          <w:color w:val="000000" w:themeColor="text1"/>
          <w:sz w:val="24"/>
          <w:szCs w:val="24"/>
          <w14:textFill>
            <w14:solidFill>
              <w14:schemeClr w14:val="tx1"/>
            </w14:solidFill>
          </w14:textFill>
        </w:rPr>
        <w:t>2次</w:t>
      </w:r>
      <w:r>
        <w:rPr>
          <w:rFonts w:hint="eastAsia" w:ascii="方正仿宋_GBK" w:hAnsi="宋体" w:eastAsia="方正仿宋_GBK" w:cs="Times New Roman"/>
          <w:color w:val="000000" w:themeColor="text1"/>
          <w:sz w:val="24"/>
          <w:szCs w:val="24"/>
          <w:lang w:eastAsia="zh-CN"/>
          <w14:textFill>
            <w14:solidFill>
              <w14:schemeClr w14:val="tx1"/>
            </w14:solidFill>
          </w14:textFill>
        </w:rPr>
        <w:t>核酸</w:t>
      </w:r>
      <w:r>
        <w:rPr>
          <w:rFonts w:hint="eastAsia" w:ascii="方正仿宋_GBK" w:hAnsi="宋体" w:eastAsia="方正仿宋_GBK" w:cs="Times New Roman"/>
          <w:color w:val="000000" w:themeColor="text1"/>
          <w:sz w:val="24"/>
          <w:szCs w:val="24"/>
          <w14:textFill>
            <w14:solidFill>
              <w14:schemeClr w14:val="tx1"/>
            </w14:solidFill>
          </w14:textFill>
        </w:rPr>
        <w:t>检测</w:t>
      </w:r>
      <w:r>
        <w:rPr>
          <w:rFonts w:hint="eastAsia" w:ascii="方正仿宋_GBK" w:hAnsi="宋体" w:eastAsia="方正仿宋_GBK" w:cs="Times New Roman"/>
          <w:color w:val="000000" w:themeColor="text1"/>
          <w:sz w:val="24"/>
          <w:szCs w:val="24"/>
          <w:lang w:eastAsia="zh-CN"/>
          <w14:textFill>
            <w14:solidFill>
              <w14:schemeClr w14:val="tx1"/>
            </w14:solidFill>
          </w14:textFill>
        </w:rPr>
        <w:t>（</w:t>
      </w:r>
      <w:r>
        <w:rPr>
          <w:rFonts w:hint="eastAsia" w:ascii="方正仿宋_GBK" w:hAnsi="宋体" w:eastAsia="方正仿宋_GBK" w:cs="Times New Roman"/>
          <w:color w:val="000000" w:themeColor="text1"/>
          <w:sz w:val="24"/>
          <w:szCs w:val="24"/>
          <w14:textFill>
            <w14:solidFill>
              <w14:schemeClr w14:val="tx1"/>
            </w14:solidFill>
          </w14:textFill>
        </w:rPr>
        <w:t>间隔至少</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72</w:t>
      </w:r>
      <w:r>
        <w:rPr>
          <w:rFonts w:hint="eastAsia" w:ascii="方正仿宋_GBK" w:hAnsi="宋体" w:eastAsia="方正仿宋_GBK" w:cs="Times New Roman"/>
          <w:color w:val="000000" w:themeColor="text1"/>
          <w:sz w:val="24"/>
          <w:szCs w:val="24"/>
          <w14:textFill>
            <w14:solidFill>
              <w14:schemeClr w14:val="tx1"/>
            </w14:solidFill>
          </w14:textFill>
        </w:rPr>
        <w:t>小时</w:t>
      </w:r>
      <w:r>
        <w:rPr>
          <w:rFonts w:hint="eastAsia" w:ascii="方正仿宋_GBK" w:hAnsi="宋体" w:eastAsia="方正仿宋_GBK" w:cs="Times New Roman"/>
          <w:color w:val="000000" w:themeColor="text1"/>
          <w:sz w:val="24"/>
          <w:szCs w:val="24"/>
          <w:lang w:eastAsia="zh-CN"/>
          <w14:textFill>
            <w14:solidFill>
              <w14:schemeClr w14:val="tx1"/>
            </w14:solidFill>
          </w14:textFill>
        </w:rPr>
        <w:t>）且</w:t>
      </w:r>
      <w:r>
        <w:rPr>
          <w:rFonts w:hint="eastAsia" w:ascii="方正仿宋_GBK" w:hAnsi="宋体" w:eastAsia="方正仿宋_GBK" w:cs="Times New Roman"/>
          <w:color w:val="000000" w:themeColor="text1"/>
          <w:sz w:val="24"/>
          <w:szCs w:val="24"/>
          <w14:textFill>
            <w14:solidFill>
              <w14:schemeClr w14:val="tx1"/>
            </w14:solidFill>
          </w14:textFill>
        </w:rPr>
        <w:t>结果</w:t>
      </w:r>
      <w:r>
        <w:rPr>
          <w:rFonts w:hint="eastAsia" w:ascii="方正仿宋_GBK" w:hAnsi="宋体" w:eastAsia="方正仿宋_GBK" w:cs="Times New Roman"/>
          <w:color w:val="000000" w:themeColor="text1"/>
          <w:sz w:val="24"/>
          <w:szCs w:val="24"/>
          <w:lang w:eastAsia="zh-CN"/>
          <w14:textFill>
            <w14:solidFill>
              <w14:schemeClr w14:val="tx1"/>
            </w14:solidFill>
          </w14:textFill>
        </w:rPr>
        <w:t>阴性方可来本院办事，到本院办事须持</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2次核酸（</w:t>
      </w:r>
      <w:r>
        <w:rPr>
          <w:rFonts w:hint="eastAsia" w:ascii="方正仿宋_GBK" w:hAnsi="宋体" w:eastAsia="方正仿宋_GBK" w:cs="Times New Roman"/>
          <w:color w:val="000000" w:themeColor="text1"/>
          <w:sz w:val="24"/>
          <w:szCs w:val="24"/>
          <w14:textFill>
            <w14:solidFill>
              <w14:schemeClr w14:val="tx1"/>
            </w14:solidFill>
          </w14:textFill>
        </w:rPr>
        <w:t>间隔至少</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72</w:t>
      </w:r>
      <w:r>
        <w:rPr>
          <w:rFonts w:hint="eastAsia" w:ascii="方正仿宋_GBK" w:hAnsi="宋体" w:eastAsia="方正仿宋_GBK" w:cs="Times New Roman"/>
          <w:color w:val="000000" w:themeColor="text1"/>
          <w:sz w:val="24"/>
          <w:szCs w:val="24"/>
          <w14:textFill>
            <w14:solidFill>
              <w14:schemeClr w14:val="tx1"/>
            </w14:solidFill>
          </w14:textFill>
        </w:rPr>
        <w:t>小时</w:t>
      </w: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）阴性证明+健康绿码+行程码，</w:t>
      </w:r>
      <w:r>
        <w:rPr>
          <w:rFonts w:hint="eastAsia" w:ascii="方正仿宋_GBK" w:hAnsi="宋体" w:eastAsia="方正仿宋_GBK" w:cs="Times New Roman"/>
          <w:color w:val="000000" w:themeColor="text1"/>
          <w:sz w:val="24"/>
          <w:szCs w:val="24"/>
          <w:lang w:eastAsia="zh-CN"/>
          <w14:textFill>
            <w14:solidFill>
              <w14:schemeClr w14:val="tx1"/>
            </w14:solidFill>
          </w14:textFill>
        </w:rPr>
        <w:t>特殊情况需另行申请。</w:t>
      </w:r>
    </w:p>
    <w:p>
      <w:pPr>
        <w:widowControl/>
        <w:spacing w:line="400" w:lineRule="exact"/>
        <w:ind w:firstLine="480" w:firstLineChars="200"/>
        <w:jc w:val="left"/>
        <w:rPr>
          <w:color w:val="000000" w:themeColor="text1"/>
          <w14:textFill>
            <w14:solidFill>
              <w14:schemeClr w14:val="tx1"/>
            </w14:solidFill>
          </w14:textFill>
        </w:rPr>
      </w:pPr>
      <w:r>
        <w:rPr>
          <w:rFonts w:hint="eastAsia" w:ascii="方正仿宋_GBK" w:hAnsi="宋体" w:eastAsia="方正仿宋_GBK" w:cs="Times New Roman"/>
          <w:color w:val="000000" w:themeColor="text1"/>
          <w:sz w:val="24"/>
          <w:szCs w:val="24"/>
          <w:lang w:val="en-US" w:eastAsia="zh-CN"/>
          <w14:textFill>
            <w14:solidFill>
              <w14:schemeClr w14:val="tx1"/>
            </w14:solidFill>
          </w14:textFill>
        </w:rPr>
        <w:t>3、重庆市内人员持48小时内核酸检测阴性证明+健康绿码+行程码。如重庆市发现本土疫情，则严格按照上级要求执行相关管理规定。</w:t>
      </w:r>
    </w:p>
    <w:p>
      <w:pPr>
        <w:rPr>
          <w:color w:val="000000" w:themeColor="text1"/>
          <w14:textFill>
            <w14:solidFill>
              <w14:schemeClr w14:val="tx1"/>
            </w14:solidFill>
          </w14:textFill>
        </w:rPr>
      </w:pP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480"/>
      <w:jc w:val="right"/>
    </w:pPr>
    <w:r>
      <w:fldChar w:fldCharType="begin"/>
    </w:r>
    <w:r>
      <w:instrText xml:space="preserve"> PAGE   \* MERGEFORMAT </w:instrText>
    </w:r>
    <w:r>
      <w:fldChar w:fldCharType="separate"/>
    </w:r>
    <w:r>
      <w:rPr>
        <w:lang w:val="zh-CN"/>
      </w:rPr>
      <w:t>1</w:t>
    </w:r>
    <w:r>
      <w:fldChar w:fldCharType="end"/>
    </w:r>
  </w:p>
  <w:p>
    <w:pPr>
      <w:pStyle w:val="35"/>
      <w:jc w:val="right"/>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重庆医科大学附属永川医院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180" w:firstLineChars="100"/>
      <w:jc w:val="both"/>
    </w:pPr>
    <w:r>
      <w:rPr>
        <w:rFonts w:hint="eastAsia"/>
      </w:rPr>
      <w:t>重庆医科大学附属永川医院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r>
      <w:rPr>
        <w:rFonts w:hint="eastAsia"/>
      </w:rPr>
      <w:t>重庆医科大学附属永川医院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eastAsia="zh-CN"/>
      </w:rPr>
      <w:t>医科大学附属永川医院</w:t>
    </w:r>
    <w:r>
      <w:rPr>
        <w:rFonts w:hint="eastAsia" w:ascii="方正仿宋_GBK" w:eastAsia="方正仿宋_GBK"/>
        <w:sz w:val="21"/>
        <w:szCs w:val="21"/>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rFonts w:ascii="方正仿宋_GBK" w:eastAsia="方正仿宋_GBK"/>
        <w:sz w:val="21"/>
        <w:szCs w:val="21"/>
      </w:rPr>
    </w:pPr>
    <w:r>
      <w:rPr>
        <w:rFonts w:hint="eastAsia" w:ascii="方正仿宋_GBK" w:eastAsia="方正仿宋_GBK"/>
        <w:sz w:val="21"/>
        <w:szCs w:val="21"/>
      </w:rPr>
      <w:t>重庆</w:t>
    </w:r>
    <w:r>
      <w:rPr>
        <w:rFonts w:hint="eastAsia" w:ascii="方正仿宋_GBK" w:eastAsia="方正仿宋_GBK"/>
        <w:sz w:val="21"/>
        <w:szCs w:val="21"/>
        <w:lang w:eastAsia="zh-CN"/>
      </w:rPr>
      <w:t>医科大学附属永川医院</w:t>
    </w:r>
    <w:r>
      <w:rPr>
        <w:rFonts w:hint="eastAsia" w:ascii="方正仿宋_GBK" w:eastAsia="方正仿宋_GBK"/>
        <w:sz w:val="21"/>
        <w:szCs w:val="21"/>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205"/>
      <w:suff w:val="nothing"/>
      <w:lvlText w:val="附　录　%1"/>
      <w:lvlJc w:val="left"/>
      <w:pPr>
        <w:ind w:left="0" w:firstLine="0"/>
      </w:pPr>
      <w:rPr>
        <w:rFonts w:hint="eastAsia" w:ascii="黑体" w:hAnsi="Times New Roman" w:eastAsia="黑体"/>
        <w:b w:val="0"/>
        <w:i w:val="0"/>
        <w:sz w:val="21"/>
      </w:rPr>
    </w:lvl>
    <w:lvl w:ilvl="1" w:tentative="0">
      <w:start w:val="1"/>
      <w:numFmt w:val="decimal"/>
      <w:pStyle w:val="20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9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53"/>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BB03E73"/>
    <w:multiLevelType w:val="multilevel"/>
    <w:tmpl w:val="5BB03E73"/>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9"/>
  </w:num>
  <w:num w:numId="4">
    <w:abstractNumId w:val="6"/>
  </w:num>
  <w:num w:numId="5">
    <w:abstractNumId w:val="5"/>
  </w:num>
  <w:num w:numId="6">
    <w:abstractNumId w:val="1"/>
  </w:num>
  <w:num w:numId="7">
    <w:abstractNumId w:val="7"/>
  </w:num>
  <w:num w:numId="8">
    <w:abstractNumId w:val="0"/>
  </w:num>
  <w:num w:numId="9">
    <w:abstractNumId w:val="2"/>
  </w:num>
  <w:num w:numId="10">
    <w:abstractNumId w:val="11"/>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zZjNmZmI1ZDIwN2IxYTgxYjUxMDNmMWU4NGI5MjcifQ=="/>
  </w:docVars>
  <w:rsids>
    <w:rsidRoot w:val="003047B5"/>
    <w:rsid w:val="0000131A"/>
    <w:rsid w:val="000049BF"/>
    <w:rsid w:val="0001592C"/>
    <w:rsid w:val="0004316E"/>
    <w:rsid w:val="000A1EDB"/>
    <w:rsid w:val="000B157C"/>
    <w:rsid w:val="000C4C90"/>
    <w:rsid w:val="000F3226"/>
    <w:rsid w:val="00101F64"/>
    <w:rsid w:val="0011653F"/>
    <w:rsid w:val="0012388F"/>
    <w:rsid w:val="001325D1"/>
    <w:rsid w:val="00136F22"/>
    <w:rsid w:val="00137D97"/>
    <w:rsid w:val="001C478E"/>
    <w:rsid w:val="001F51D9"/>
    <w:rsid w:val="00203221"/>
    <w:rsid w:val="002152E3"/>
    <w:rsid w:val="002217C6"/>
    <w:rsid w:val="002349FE"/>
    <w:rsid w:val="00246DBB"/>
    <w:rsid w:val="00252BC5"/>
    <w:rsid w:val="00263B75"/>
    <w:rsid w:val="002758F3"/>
    <w:rsid w:val="0028423A"/>
    <w:rsid w:val="00291EA8"/>
    <w:rsid w:val="002A4590"/>
    <w:rsid w:val="002C03D4"/>
    <w:rsid w:val="002E7245"/>
    <w:rsid w:val="002F2191"/>
    <w:rsid w:val="003047B5"/>
    <w:rsid w:val="0031675C"/>
    <w:rsid w:val="00395055"/>
    <w:rsid w:val="003B5B3E"/>
    <w:rsid w:val="003C571A"/>
    <w:rsid w:val="003C65D5"/>
    <w:rsid w:val="00446003"/>
    <w:rsid w:val="004B1ACC"/>
    <w:rsid w:val="004C688B"/>
    <w:rsid w:val="005062BD"/>
    <w:rsid w:val="00550797"/>
    <w:rsid w:val="005A706A"/>
    <w:rsid w:val="0060181A"/>
    <w:rsid w:val="006129B4"/>
    <w:rsid w:val="0062398E"/>
    <w:rsid w:val="00632A55"/>
    <w:rsid w:val="00663874"/>
    <w:rsid w:val="006708C4"/>
    <w:rsid w:val="00675447"/>
    <w:rsid w:val="006A19E0"/>
    <w:rsid w:val="00711CC8"/>
    <w:rsid w:val="007476D5"/>
    <w:rsid w:val="007740C0"/>
    <w:rsid w:val="0077748F"/>
    <w:rsid w:val="00786C77"/>
    <w:rsid w:val="007A4946"/>
    <w:rsid w:val="007A7105"/>
    <w:rsid w:val="00801F2B"/>
    <w:rsid w:val="0080534D"/>
    <w:rsid w:val="00830EE2"/>
    <w:rsid w:val="0093238E"/>
    <w:rsid w:val="00974BAF"/>
    <w:rsid w:val="009A3FA1"/>
    <w:rsid w:val="009D223F"/>
    <w:rsid w:val="009D688D"/>
    <w:rsid w:val="009E67FB"/>
    <w:rsid w:val="00A312D1"/>
    <w:rsid w:val="00AA6209"/>
    <w:rsid w:val="00AD3532"/>
    <w:rsid w:val="00AE01C3"/>
    <w:rsid w:val="00B02C14"/>
    <w:rsid w:val="00B36ACA"/>
    <w:rsid w:val="00B606F1"/>
    <w:rsid w:val="00B75496"/>
    <w:rsid w:val="00B82D5A"/>
    <w:rsid w:val="00B969B3"/>
    <w:rsid w:val="00BA00E2"/>
    <w:rsid w:val="00BA68CC"/>
    <w:rsid w:val="00BE6913"/>
    <w:rsid w:val="00BF0190"/>
    <w:rsid w:val="00C15B20"/>
    <w:rsid w:val="00C433D3"/>
    <w:rsid w:val="00C9185F"/>
    <w:rsid w:val="00CD41FD"/>
    <w:rsid w:val="00CE24A8"/>
    <w:rsid w:val="00D01E0B"/>
    <w:rsid w:val="00D022CA"/>
    <w:rsid w:val="00D07298"/>
    <w:rsid w:val="00D12C24"/>
    <w:rsid w:val="00D21D42"/>
    <w:rsid w:val="00D30970"/>
    <w:rsid w:val="00D3370B"/>
    <w:rsid w:val="00D37A28"/>
    <w:rsid w:val="00D55502"/>
    <w:rsid w:val="00D87928"/>
    <w:rsid w:val="00D97401"/>
    <w:rsid w:val="00DB2402"/>
    <w:rsid w:val="00DC60E4"/>
    <w:rsid w:val="00DE67EA"/>
    <w:rsid w:val="00E119AC"/>
    <w:rsid w:val="00E16919"/>
    <w:rsid w:val="00E22995"/>
    <w:rsid w:val="00E237E9"/>
    <w:rsid w:val="00E23AAF"/>
    <w:rsid w:val="00E44895"/>
    <w:rsid w:val="00E60CF8"/>
    <w:rsid w:val="00E67FBE"/>
    <w:rsid w:val="00E803B2"/>
    <w:rsid w:val="00E94A27"/>
    <w:rsid w:val="00EC1980"/>
    <w:rsid w:val="00EF5DF7"/>
    <w:rsid w:val="00F2492A"/>
    <w:rsid w:val="00F42D01"/>
    <w:rsid w:val="00F46D9E"/>
    <w:rsid w:val="00F612D7"/>
    <w:rsid w:val="00F77324"/>
    <w:rsid w:val="00FA72A1"/>
    <w:rsid w:val="00FF1BDE"/>
    <w:rsid w:val="020A2568"/>
    <w:rsid w:val="03C07382"/>
    <w:rsid w:val="04FA0CCE"/>
    <w:rsid w:val="05790857"/>
    <w:rsid w:val="07F26429"/>
    <w:rsid w:val="08EF09F9"/>
    <w:rsid w:val="0E4D3D6E"/>
    <w:rsid w:val="0E5A796A"/>
    <w:rsid w:val="106317C1"/>
    <w:rsid w:val="10720D23"/>
    <w:rsid w:val="12DE6CFD"/>
    <w:rsid w:val="134E0964"/>
    <w:rsid w:val="16294BEA"/>
    <w:rsid w:val="1A493A8B"/>
    <w:rsid w:val="1A494CA3"/>
    <w:rsid w:val="1D271DC8"/>
    <w:rsid w:val="1F6D6E4A"/>
    <w:rsid w:val="2079749D"/>
    <w:rsid w:val="217952E8"/>
    <w:rsid w:val="24DB0068"/>
    <w:rsid w:val="25B7688A"/>
    <w:rsid w:val="285223EF"/>
    <w:rsid w:val="28DB1C90"/>
    <w:rsid w:val="2D6E3D7A"/>
    <w:rsid w:val="2EE35F25"/>
    <w:rsid w:val="2F2348BD"/>
    <w:rsid w:val="2F6F1AD9"/>
    <w:rsid w:val="316C03CB"/>
    <w:rsid w:val="334F638C"/>
    <w:rsid w:val="3361798A"/>
    <w:rsid w:val="336B51FF"/>
    <w:rsid w:val="338D4C23"/>
    <w:rsid w:val="344B018F"/>
    <w:rsid w:val="35E87A5C"/>
    <w:rsid w:val="369E4A52"/>
    <w:rsid w:val="373504BB"/>
    <w:rsid w:val="381161CC"/>
    <w:rsid w:val="3CC91976"/>
    <w:rsid w:val="3F0A35CC"/>
    <w:rsid w:val="405D597D"/>
    <w:rsid w:val="409E0DFA"/>
    <w:rsid w:val="42030507"/>
    <w:rsid w:val="43BF2BD7"/>
    <w:rsid w:val="452151CC"/>
    <w:rsid w:val="46194743"/>
    <w:rsid w:val="492C6FBB"/>
    <w:rsid w:val="4A1025A8"/>
    <w:rsid w:val="4BCE3403"/>
    <w:rsid w:val="4C4E289A"/>
    <w:rsid w:val="4D803D3C"/>
    <w:rsid w:val="4DFA480C"/>
    <w:rsid w:val="50081462"/>
    <w:rsid w:val="51A056CA"/>
    <w:rsid w:val="51D77CAA"/>
    <w:rsid w:val="55297C80"/>
    <w:rsid w:val="5552317F"/>
    <w:rsid w:val="56503B63"/>
    <w:rsid w:val="56FF2E93"/>
    <w:rsid w:val="58CA7BFC"/>
    <w:rsid w:val="5B3E21DC"/>
    <w:rsid w:val="5D610403"/>
    <w:rsid w:val="5DAA1BE1"/>
    <w:rsid w:val="5FB85ADB"/>
    <w:rsid w:val="619C43F3"/>
    <w:rsid w:val="6269072D"/>
    <w:rsid w:val="64BC23C3"/>
    <w:rsid w:val="64E9779D"/>
    <w:rsid w:val="64FF09BB"/>
    <w:rsid w:val="6B28360F"/>
    <w:rsid w:val="71CC633B"/>
    <w:rsid w:val="74EC45FF"/>
    <w:rsid w:val="768F2D65"/>
    <w:rsid w:val="77860F23"/>
    <w:rsid w:val="77B17C1C"/>
    <w:rsid w:val="77ED0DBA"/>
    <w:rsid w:val="78044C6A"/>
    <w:rsid w:val="783A1618"/>
    <w:rsid w:val="787814E2"/>
    <w:rsid w:val="7908485F"/>
    <w:rsid w:val="7AA716F4"/>
    <w:rsid w:val="7B306E47"/>
    <w:rsid w:val="7CBD0742"/>
    <w:rsid w:val="7DDA1DE0"/>
    <w:rsid w:val="7E3C60AD"/>
    <w:rsid w:val="7E7474E0"/>
    <w:rsid w:val="7E802674"/>
    <w:rsid w:val="7F733838"/>
    <w:rsid w:val="7F9C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snapToGrid w:val="0"/>
      <w:spacing w:line="360" w:lineRule="atLeast"/>
      <w:outlineLvl w:val="0"/>
    </w:pPr>
    <w:rPr>
      <w:rFonts w:ascii="宋体" w:hAnsi="Times New Roman" w:eastAsia="宋体" w:cs="Times New Roman"/>
      <w:sz w:val="28"/>
      <w:szCs w:val="20"/>
    </w:rPr>
  </w:style>
  <w:style w:type="paragraph" w:styleId="3">
    <w:name w:val="heading 2"/>
    <w:basedOn w:val="1"/>
    <w:next w:val="1"/>
    <w:link w:val="6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70"/>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5">
    <w:name w:val="heading 4"/>
    <w:basedOn w:val="1"/>
    <w:next w:val="1"/>
    <w:link w:val="71"/>
    <w:qFormat/>
    <w:uiPriority w:val="0"/>
    <w:pPr>
      <w:keepNext/>
      <w:keepLines/>
      <w:spacing w:before="280" w:after="290" w:line="372" w:lineRule="auto"/>
      <w:outlineLvl w:val="3"/>
    </w:pPr>
    <w:rPr>
      <w:rFonts w:ascii="Arial" w:hAnsi="Arial" w:eastAsia="黑体" w:cs="Times New Roman"/>
      <w:b/>
      <w:sz w:val="28"/>
      <w:szCs w:val="20"/>
    </w:rPr>
  </w:style>
  <w:style w:type="paragraph" w:styleId="6">
    <w:name w:val="heading 5"/>
    <w:basedOn w:val="1"/>
    <w:next w:val="1"/>
    <w:link w:val="72"/>
    <w:qFormat/>
    <w:uiPriority w:val="0"/>
    <w:pPr>
      <w:keepNext/>
      <w:keepLines/>
      <w:tabs>
        <w:tab w:val="left" w:pos="2551"/>
      </w:tabs>
      <w:spacing w:before="280" w:after="290" w:line="372" w:lineRule="auto"/>
      <w:ind w:left="2551" w:hanging="850"/>
      <w:outlineLvl w:val="4"/>
    </w:pPr>
    <w:rPr>
      <w:rFonts w:ascii="Times New Roman" w:hAnsi="Times New Roman" w:eastAsia="宋体" w:cs="Times New Roman"/>
      <w:b/>
      <w:sz w:val="28"/>
      <w:szCs w:val="20"/>
    </w:rPr>
  </w:style>
  <w:style w:type="paragraph" w:styleId="7">
    <w:name w:val="heading 6"/>
    <w:basedOn w:val="1"/>
    <w:next w:val="1"/>
    <w:link w:val="73"/>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cs="Times New Roman"/>
      <w:b/>
      <w:sz w:val="24"/>
      <w:szCs w:val="20"/>
    </w:rPr>
  </w:style>
  <w:style w:type="paragraph" w:styleId="8">
    <w:name w:val="heading 7"/>
    <w:basedOn w:val="1"/>
    <w:next w:val="1"/>
    <w:link w:val="7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cs="Times New Roman"/>
      <w:b/>
      <w:sz w:val="24"/>
      <w:szCs w:val="20"/>
    </w:rPr>
  </w:style>
  <w:style w:type="paragraph" w:styleId="9">
    <w:name w:val="heading 8"/>
    <w:basedOn w:val="1"/>
    <w:next w:val="1"/>
    <w:link w:val="75"/>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cs="Times New Roman"/>
      <w:b/>
      <w:sz w:val="24"/>
      <w:szCs w:val="20"/>
    </w:rPr>
  </w:style>
  <w:style w:type="paragraph" w:styleId="10">
    <w:name w:val="heading 9"/>
    <w:basedOn w:val="1"/>
    <w:next w:val="1"/>
    <w:link w:val="76"/>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cs="Times New Roman"/>
      <w:b/>
      <w:sz w:val="24"/>
      <w:szCs w:val="20"/>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rFonts w:ascii="Times New Roman" w:hAnsi="Times New Roman" w:eastAsia="宋体" w:cs="Times New Roman"/>
      <w:sz w:val="24"/>
      <w:szCs w:val="20"/>
    </w:rPr>
  </w:style>
  <w:style w:type="paragraph" w:styleId="12">
    <w:name w:val="toc 7"/>
    <w:basedOn w:val="1"/>
    <w:next w:val="1"/>
    <w:qFormat/>
    <w:uiPriority w:val="0"/>
    <w:pPr>
      <w:ind w:left="2520" w:leftChars="1200"/>
    </w:pPr>
    <w:rPr>
      <w:rFonts w:ascii="Times New Roman" w:hAnsi="Times New Roman" w:eastAsia="宋体" w:cs="Times New Roman"/>
      <w:sz w:val="28"/>
      <w:szCs w:val="20"/>
    </w:rPr>
  </w:style>
  <w:style w:type="paragraph" w:styleId="13">
    <w:name w:val="List Number 2"/>
    <w:basedOn w:val="1"/>
    <w:qFormat/>
    <w:uiPriority w:val="0"/>
    <w:pPr>
      <w:numPr>
        <w:ilvl w:val="0"/>
        <w:numId w:val="1"/>
      </w:numPr>
      <w:tabs>
        <w:tab w:val="left" w:pos="780"/>
        <w:tab w:val="clear" w:pos="425"/>
      </w:tabs>
      <w:spacing w:line="360" w:lineRule="auto"/>
    </w:pPr>
    <w:rPr>
      <w:rFonts w:ascii="Times New Roman" w:hAnsi="Times New Roman" w:eastAsia="宋体" w:cs="Times New Roman"/>
      <w:sz w:val="24"/>
      <w:szCs w:val="20"/>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hAnsi="Times New Roman" w:eastAsia="宋体" w:cs="Times New Roman"/>
      <w:kern w:val="0"/>
      <w:sz w:val="22"/>
      <w:szCs w:val="20"/>
    </w:rPr>
  </w:style>
  <w:style w:type="paragraph" w:styleId="15">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16">
    <w:name w:val="caption"/>
    <w:basedOn w:val="1"/>
    <w:next w:val="1"/>
    <w:qFormat/>
    <w:uiPriority w:val="0"/>
    <w:pPr>
      <w:widowControl/>
      <w:tabs>
        <w:tab w:val="left" w:pos="1134"/>
      </w:tabs>
      <w:adjustRightInd w:val="0"/>
      <w:snapToGrid w:val="0"/>
      <w:spacing w:line="280" w:lineRule="atLeast"/>
      <w:jc w:val="left"/>
    </w:pPr>
    <w:rPr>
      <w:rFonts w:ascii="Times New Roman" w:hAnsi="Times New Roman" w:eastAsia="PMingLiU" w:cs="Times New Roman"/>
      <w:b/>
      <w:kern w:val="0"/>
      <w:sz w:val="24"/>
      <w:szCs w:val="20"/>
      <w:lang w:eastAsia="zh-TW"/>
    </w:rPr>
  </w:style>
  <w:style w:type="paragraph" w:styleId="17">
    <w:name w:val="Document Map"/>
    <w:basedOn w:val="1"/>
    <w:link w:val="118"/>
    <w:qFormat/>
    <w:uiPriority w:val="0"/>
    <w:pPr>
      <w:shd w:val="clear" w:color="auto" w:fill="000080"/>
    </w:pPr>
    <w:rPr>
      <w:rFonts w:ascii="Times New Roman" w:hAnsi="Times New Roman" w:eastAsia="宋体" w:cs="Times New Roman"/>
      <w:sz w:val="28"/>
      <w:szCs w:val="20"/>
    </w:rPr>
  </w:style>
  <w:style w:type="paragraph" w:styleId="18">
    <w:name w:val="toa heading"/>
    <w:basedOn w:val="1"/>
    <w:next w:val="1"/>
    <w:qFormat/>
    <w:uiPriority w:val="0"/>
    <w:pPr>
      <w:spacing w:before="120"/>
    </w:pPr>
    <w:rPr>
      <w:rFonts w:ascii="Arial" w:hAnsi="Arial" w:eastAsia="宋体" w:cs="Times New Roman"/>
      <w:sz w:val="24"/>
      <w:szCs w:val="20"/>
    </w:rPr>
  </w:style>
  <w:style w:type="paragraph" w:styleId="19">
    <w:name w:val="annotation text"/>
    <w:basedOn w:val="1"/>
    <w:link w:val="130"/>
    <w:unhideWhenUsed/>
    <w:qFormat/>
    <w:uiPriority w:val="0"/>
    <w:pPr>
      <w:jc w:val="left"/>
    </w:pPr>
  </w:style>
  <w:style w:type="paragraph" w:styleId="20">
    <w:name w:val="Body Text 3"/>
    <w:basedOn w:val="1"/>
    <w:link w:val="121"/>
    <w:qFormat/>
    <w:uiPriority w:val="0"/>
    <w:pPr>
      <w:adjustRightInd w:val="0"/>
      <w:snapToGrid w:val="0"/>
      <w:spacing w:after="120" w:line="360" w:lineRule="auto"/>
    </w:pPr>
    <w:rPr>
      <w:rFonts w:ascii="Times New Roman" w:hAnsi="Times New Roman" w:eastAsia="宋体" w:cs="Times New Roman"/>
      <w:sz w:val="16"/>
      <w:szCs w:val="20"/>
    </w:rPr>
  </w:style>
  <w:style w:type="paragraph" w:styleId="21">
    <w:name w:val="List Bullet 3"/>
    <w:basedOn w:val="1"/>
    <w:qFormat/>
    <w:uiPriority w:val="0"/>
    <w:pPr>
      <w:numPr>
        <w:ilvl w:val="0"/>
        <w:numId w:val="2"/>
      </w:numPr>
      <w:adjustRightInd w:val="0"/>
      <w:snapToGrid w:val="0"/>
      <w:spacing w:line="360" w:lineRule="auto"/>
    </w:pPr>
    <w:rPr>
      <w:rFonts w:ascii="Times New Roman" w:hAnsi="Times New Roman" w:eastAsia="宋体" w:cs="Times New Roman"/>
      <w:sz w:val="24"/>
      <w:szCs w:val="20"/>
    </w:rPr>
  </w:style>
  <w:style w:type="paragraph" w:styleId="22">
    <w:name w:val="Body Text"/>
    <w:basedOn w:val="1"/>
    <w:link w:val="123"/>
    <w:qFormat/>
    <w:uiPriority w:val="0"/>
    <w:rPr>
      <w:rFonts w:ascii="仿宋_GB2312" w:hAnsi="Times New Roman" w:eastAsia="仿宋_GB2312" w:cs="Times New Roman"/>
      <w:sz w:val="32"/>
      <w:szCs w:val="20"/>
    </w:rPr>
  </w:style>
  <w:style w:type="paragraph" w:styleId="23">
    <w:name w:val="Body Text Indent"/>
    <w:basedOn w:val="1"/>
    <w:link w:val="10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rFonts w:ascii="Times New Roman" w:hAnsi="Times New Roman" w:eastAsia="宋体" w:cs="Times New Roman"/>
      <w:sz w:val="24"/>
      <w:szCs w:val="20"/>
    </w:rPr>
  </w:style>
  <w:style w:type="paragraph" w:styleId="25">
    <w:name w:val="List 2"/>
    <w:basedOn w:val="1"/>
    <w:qFormat/>
    <w:uiPriority w:val="0"/>
    <w:pPr>
      <w:adjustRightInd w:val="0"/>
      <w:snapToGrid w:val="0"/>
      <w:spacing w:line="360" w:lineRule="auto"/>
      <w:ind w:left="100" w:leftChars="200" w:hanging="200" w:hangingChars="200"/>
    </w:pPr>
    <w:rPr>
      <w:rFonts w:ascii="Times New Roman" w:hAnsi="Times New Roman" w:eastAsia="宋体" w:cs="Times New Roman"/>
      <w:sz w:val="24"/>
      <w:szCs w:val="20"/>
    </w:rPr>
  </w:style>
  <w:style w:type="paragraph" w:styleId="26">
    <w:name w:val="List Continue"/>
    <w:basedOn w:val="1"/>
    <w:qFormat/>
    <w:uiPriority w:val="0"/>
    <w:pPr>
      <w:adjustRightInd w:val="0"/>
      <w:snapToGrid w:val="0"/>
      <w:spacing w:after="120" w:line="360" w:lineRule="auto"/>
      <w:ind w:left="420" w:leftChars="200"/>
    </w:pPr>
    <w:rPr>
      <w:rFonts w:ascii="Times New Roman" w:hAnsi="Times New Roman" w:eastAsia="宋体" w:cs="Times New Roman"/>
      <w:sz w:val="24"/>
      <w:szCs w:val="20"/>
    </w:rPr>
  </w:style>
  <w:style w:type="paragraph" w:styleId="27">
    <w:name w:val="List Bullet 2"/>
    <w:basedOn w:val="1"/>
    <w:qFormat/>
    <w:uiPriority w:val="0"/>
    <w:pPr>
      <w:numPr>
        <w:ilvl w:val="0"/>
        <w:numId w:val="3"/>
      </w:numPr>
      <w:adjustRightInd w:val="0"/>
      <w:snapToGrid w:val="0"/>
      <w:spacing w:line="360" w:lineRule="auto"/>
    </w:pPr>
    <w:rPr>
      <w:rFonts w:ascii="Times New Roman" w:hAnsi="Times New Roman" w:eastAsia="宋体" w:cs="Times New Roman"/>
      <w:sz w:val="24"/>
      <w:szCs w:val="20"/>
    </w:rPr>
  </w:style>
  <w:style w:type="paragraph" w:styleId="28">
    <w:name w:val="toc 5"/>
    <w:basedOn w:val="1"/>
    <w:next w:val="1"/>
    <w:qFormat/>
    <w:uiPriority w:val="0"/>
    <w:pPr>
      <w:ind w:left="1680" w:leftChars="800"/>
    </w:pPr>
    <w:rPr>
      <w:rFonts w:ascii="Times New Roman" w:hAnsi="Times New Roman" w:eastAsia="宋体" w:cs="Times New Roman"/>
      <w:sz w:val="28"/>
      <w:szCs w:val="20"/>
    </w:rPr>
  </w:style>
  <w:style w:type="paragraph" w:styleId="29">
    <w:name w:val="toc 3"/>
    <w:basedOn w:val="1"/>
    <w:next w:val="1"/>
    <w:qFormat/>
    <w:uiPriority w:val="39"/>
    <w:pPr>
      <w:ind w:left="840" w:leftChars="400"/>
    </w:pPr>
    <w:rPr>
      <w:rFonts w:ascii="Times New Roman" w:hAnsi="Times New Roman" w:eastAsia="宋体" w:cs="Times New Roman"/>
      <w:sz w:val="28"/>
      <w:szCs w:val="20"/>
    </w:rPr>
  </w:style>
  <w:style w:type="paragraph" w:styleId="30">
    <w:name w:val="Plain Text"/>
    <w:basedOn w:val="1"/>
    <w:link w:val="91"/>
    <w:qFormat/>
    <w:uiPriority w:val="0"/>
    <w:rPr>
      <w:rFonts w:ascii="宋体" w:hAnsi="Courier New"/>
    </w:rPr>
  </w:style>
  <w:style w:type="paragraph" w:styleId="31">
    <w:name w:val="toc 8"/>
    <w:basedOn w:val="1"/>
    <w:next w:val="1"/>
    <w:qFormat/>
    <w:uiPriority w:val="0"/>
    <w:pPr>
      <w:ind w:left="2940" w:leftChars="1400"/>
    </w:pPr>
    <w:rPr>
      <w:rFonts w:ascii="Times New Roman" w:hAnsi="Times New Roman" w:eastAsia="宋体" w:cs="Times New Roman"/>
      <w:sz w:val="28"/>
      <w:szCs w:val="20"/>
    </w:rPr>
  </w:style>
  <w:style w:type="paragraph" w:styleId="32">
    <w:name w:val="Date"/>
    <w:basedOn w:val="1"/>
    <w:next w:val="1"/>
    <w:link w:val="107"/>
    <w:qFormat/>
    <w:uiPriority w:val="0"/>
    <w:rPr>
      <w:sz w:val="28"/>
    </w:rPr>
  </w:style>
  <w:style w:type="paragraph" w:styleId="33">
    <w:name w:val="Body Text Indent 2"/>
    <w:basedOn w:val="1"/>
    <w:link w:val="77"/>
    <w:qFormat/>
    <w:uiPriority w:val="0"/>
    <w:pPr>
      <w:snapToGrid w:val="0"/>
      <w:spacing w:line="560" w:lineRule="atLeast"/>
      <w:ind w:firstLine="540"/>
    </w:pPr>
    <w:rPr>
      <w:sz w:val="28"/>
    </w:rPr>
  </w:style>
  <w:style w:type="paragraph" w:styleId="34">
    <w:name w:val="Balloon Text"/>
    <w:basedOn w:val="1"/>
    <w:link w:val="132"/>
    <w:qFormat/>
    <w:uiPriority w:val="0"/>
    <w:rPr>
      <w:rFonts w:ascii="Times New Roman" w:hAnsi="Times New Roman" w:eastAsia="宋体" w:cs="Times New Roman"/>
      <w:sz w:val="18"/>
      <w:szCs w:val="20"/>
    </w:rPr>
  </w:style>
  <w:style w:type="paragraph" w:styleId="35">
    <w:name w:val="footer"/>
    <w:basedOn w:val="1"/>
    <w:link w:val="105"/>
    <w:qFormat/>
    <w:uiPriority w:val="99"/>
    <w:pPr>
      <w:tabs>
        <w:tab w:val="center" w:pos="4153"/>
        <w:tab w:val="right" w:pos="8306"/>
      </w:tabs>
      <w:snapToGrid w:val="0"/>
      <w:jc w:val="left"/>
    </w:pPr>
    <w:rPr>
      <w:sz w:val="18"/>
    </w:rPr>
  </w:style>
  <w:style w:type="paragraph" w:styleId="36">
    <w:name w:val="header"/>
    <w:basedOn w:val="1"/>
    <w:link w:val="11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37">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38">
    <w:name w:val="List Continue 4"/>
    <w:basedOn w:val="1"/>
    <w:qFormat/>
    <w:uiPriority w:val="0"/>
    <w:pPr>
      <w:adjustRightInd w:val="0"/>
      <w:snapToGrid w:val="0"/>
      <w:spacing w:after="120" w:line="360" w:lineRule="auto"/>
      <w:ind w:left="1680" w:leftChars="800"/>
    </w:pPr>
    <w:rPr>
      <w:rFonts w:ascii="Times New Roman" w:hAnsi="Times New Roman" w:eastAsia="宋体" w:cs="Times New Roman"/>
      <w:sz w:val="24"/>
      <w:szCs w:val="20"/>
    </w:rPr>
  </w:style>
  <w:style w:type="paragraph" w:styleId="39">
    <w:name w:val="toc 4"/>
    <w:basedOn w:val="1"/>
    <w:next w:val="1"/>
    <w:qFormat/>
    <w:uiPriority w:val="0"/>
    <w:pPr>
      <w:ind w:left="1260" w:leftChars="600"/>
    </w:pPr>
    <w:rPr>
      <w:rFonts w:ascii="Times New Roman" w:hAnsi="Times New Roman" w:eastAsia="宋体" w:cs="Times New Roman"/>
      <w:sz w:val="28"/>
      <w:szCs w:val="20"/>
    </w:r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rPr>
      <w:rFonts w:ascii="Times New Roman" w:hAnsi="Times New Roman" w:eastAsia="宋体" w:cs="Times New Roman"/>
      <w:sz w:val="28"/>
      <w:szCs w:val="20"/>
    </w:rPr>
  </w:style>
  <w:style w:type="paragraph" w:styleId="42">
    <w:name w:val="List 5"/>
    <w:basedOn w:val="1"/>
    <w:qFormat/>
    <w:uiPriority w:val="0"/>
    <w:pPr>
      <w:adjustRightInd w:val="0"/>
      <w:snapToGrid w:val="0"/>
      <w:spacing w:line="360" w:lineRule="auto"/>
      <w:ind w:left="100" w:leftChars="800" w:hanging="200" w:hangingChars="200"/>
    </w:pPr>
    <w:rPr>
      <w:rFonts w:ascii="Times New Roman" w:hAnsi="Times New Roman" w:eastAsia="宋体" w:cs="Times New Roman"/>
      <w:sz w:val="24"/>
      <w:szCs w:val="20"/>
    </w:rPr>
  </w:style>
  <w:style w:type="paragraph" w:styleId="43">
    <w:name w:val="Body Text Indent 3"/>
    <w:basedOn w:val="1"/>
    <w:link w:val="120"/>
    <w:qFormat/>
    <w:uiPriority w:val="0"/>
    <w:pPr>
      <w:spacing w:line="360" w:lineRule="auto"/>
      <w:ind w:firstLine="632"/>
    </w:pPr>
    <w:rPr>
      <w:rFonts w:ascii="黑体" w:hAnsi="Times New Roman" w:eastAsia="黑体" w:cs="Times New Roman"/>
      <w:sz w:val="28"/>
      <w:szCs w:val="20"/>
    </w:rPr>
  </w:style>
  <w:style w:type="paragraph" w:styleId="44">
    <w:name w:val="table of figures"/>
    <w:basedOn w:val="1"/>
    <w:next w:val="1"/>
    <w:qFormat/>
    <w:uiPriority w:val="0"/>
    <w:pPr>
      <w:tabs>
        <w:tab w:val="right" w:leader="dot" w:pos="8640"/>
      </w:tabs>
      <w:spacing w:line="360" w:lineRule="auto"/>
      <w:ind w:left="400" w:hanging="400"/>
    </w:pPr>
    <w:rPr>
      <w:rFonts w:ascii="Times New Roman" w:hAnsi="Times New Roman" w:eastAsia="宋体" w:cs="Times New Roman"/>
      <w:sz w:val="24"/>
      <w:szCs w:val="20"/>
    </w:rPr>
  </w:style>
  <w:style w:type="paragraph" w:styleId="45">
    <w:name w:val="toc 2"/>
    <w:basedOn w:val="1"/>
    <w:next w:val="1"/>
    <w:qFormat/>
    <w:uiPriority w:val="39"/>
    <w:pPr>
      <w:ind w:left="420" w:leftChars="200"/>
    </w:pPr>
    <w:rPr>
      <w:rFonts w:ascii="Times New Roman" w:hAnsi="Times New Roman" w:eastAsia="宋体" w:cs="Times New Roman"/>
      <w:sz w:val="28"/>
      <w:szCs w:val="20"/>
    </w:rPr>
  </w:style>
  <w:style w:type="paragraph" w:styleId="46">
    <w:name w:val="toc 9"/>
    <w:basedOn w:val="1"/>
    <w:next w:val="1"/>
    <w:qFormat/>
    <w:uiPriority w:val="0"/>
    <w:pPr>
      <w:ind w:left="3360" w:leftChars="1600"/>
    </w:pPr>
    <w:rPr>
      <w:rFonts w:ascii="Times New Roman" w:hAnsi="Times New Roman" w:eastAsia="宋体" w:cs="Times New Roman"/>
      <w:sz w:val="28"/>
      <w:szCs w:val="20"/>
    </w:rPr>
  </w:style>
  <w:style w:type="paragraph" w:styleId="47">
    <w:name w:val="Body Text 2"/>
    <w:basedOn w:val="1"/>
    <w:link w:val="122"/>
    <w:qFormat/>
    <w:uiPriority w:val="0"/>
    <w:pPr>
      <w:adjustRightInd w:val="0"/>
      <w:snapToGrid w:val="0"/>
      <w:spacing w:after="120" w:line="480" w:lineRule="auto"/>
    </w:pPr>
    <w:rPr>
      <w:rFonts w:ascii="Times New Roman" w:hAnsi="Times New Roman" w:eastAsia="宋体" w:cs="Times New Roman"/>
      <w:sz w:val="24"/>
      <w:szCs w:val="20"/>
    </w:rPr>
  </w:style>
  <w:style w:type="paragraph" w:styleId="48">
    <w:name w:val="List 4"/>
    <w:basedOn w:val="1"/>
    <w:qFormat/>
    <w:uiPriority w:val="0"/>
    <w:pPr>
      <w:adjustRightInd w:val="0"/>
      <w:snapToGrid w:val="0"/>
      <w:spacing w:line="360" w:lineRule="auto"/>
      <w:ind w:left="100" w:leftChars="600" w:hanging="200" w:hangingChars="200"/>
    </w:pPr>
    <w:rPr>
      <w:rFonts w:ascii="Times New Roman" w:hAnsi="Times New Roman" w:eastAsia="宋体" w:cs="Times New Roman"/>
      <w:sz w:val="24"/>
      <w:szCs w:val="20"/>
    </w:rPr>
  </w:style>
  <w:style w:type="paragraph" w:styleId="49">
    <w:name w:val="List Continue 2"/>
    <w:basedOn w:val="1"/>
    <w:qFormat/>
    <w:uiPriority w:val="0"/>
    <w:pPr>
      <w:adjustRightInd w:val="0"/>
      <w:snapToGrid w:val="0"/>
      <w:spacing w:after="120" w:line="360" w:lineRule="auto"/>
      <w:ind w:left="840" w:leftChars="400"/>
    </w:pPr>
    <w:rPr>
      <w:rFonts w:ascii="Times New Roman" w:hAnsi="Times New Roman" w:eastAsia="宋体" w:cs="Times New Roman"/>
      <w:sz w:val="24"/>
      <w:szCs w:val="20"/>
    </w:rPr>
  </w:style>
  <w:style w:type="paragraph" w:styleId="5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51">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52">
    <w:name w:val="List Continue 3"/>
    <w:basedOn w:val="1"/>
    <w:qFormat/>
    <w:uiPriority w:val="0"/>
    <w:pPr>
      <w:adjustRightInd w:val="0"/>
      <w:snapToGrid w:val="0"/>
      <w:spacing w:after="120" w:line="360" w:lineRule="auto"/>
      <w:ind w:left="1260" w:leftChars="600"/>
    </w:pPr>
    <w:rPr>
      <w:rFonts w:ascii="Times New Roman" w:hAnsi="Times New Roman" w:eastAsia="宋体" w:cs="Times New Roman"/>
      <w:sz w:val="24"/>
      <w:szCs w:val="20"/>
    </w:rPr>
  </w:style>
  <w:style w:type="paragraph" w:styleId="53">
    <w:name w:val="index 1"/>
    <w:basedOn w:val="1"/>
    <w:next w:val="1"/>
    <w:qFormat/>
    <w:uiPriority w:val="0"/>
    <w:pPr>
      <w:adjustRightInd w:val="0"/>
      <w:spacing w:line="240" w:lineRule="atLeast"/>
      <w:textAlignment w:val="baseline"/>
    </w:pPr>
    <w:rPr>
      <w:rFonts w:ascii="宋体" w:hAnsi="Times New Roman" w:eastAsia="宋体" w:cs="Times New Roman"/>
      <w:kern w:val="0"/>
      <w:szCs w:val="20"/>
    </w:rPr>
  </w:style>
  <w:style w:type="paragraph" w:styleId="54">
    <w:name w:val="Title"/>
    <w:basedOn w:val="1"/>
    <w:link w:val="126"/>
    <w:qFormat/>
    <w:uiPriority w:val="0"/>
    <w:pPr>
      <w:widowControl/>
      <w:spacing w:after="240" w:line="360" w:lineRule="auto"/>
      <w:jc w:val="center"/>
    </w:pPr>
    <w:rPr>
      <w:rFonts w:ascii="Arial" w:hAnsi="Arial" w:eastAsia="宋体" w:cs="Times New Roman"/>
      <w:b/>
      <w:smallCaps/>
      <w:kern w:val="28"/>
      <w:sz w:val="36"/>
      <w:szCs w:val="20"/>
      <w:lang w:eastAsia="en-US"/>
    </w:rPr>
  </w:style>
  <w:style w:type="paragraph" w:styleId="55">
    <w:name w:val="annotation subject"/>
    <w:basedOn w:val="19"/>
    <w:next w:val="19"/>
    <w:link w:val="79"/>
    <w:qFormat/>
    <w:uiPriority w:val="0"/>
    <w:rPr>
      <w:sz w:val="24"/>
    </w:rPr>
  </w:style>
  <w:style w:type="paragraph" w:styleId="56">
    <w:name w:val="Body Text First Indent"/>
    <w:basedOn w:val="1"/>
    <w:link w:val="133"/>
    <w:qFormat/>
    <w:uiPriority w:val="0"/>
    <w:pPr>
      <w:spacing w:line="360" w:lineRule="auto"/>
      <w:ind w:firstLine="420"/>
    </w:pPr>
    <w:rPr>
      <w:rFonts w:ascii="宋体" w:hAnsi="宋体" w:eastAsia="宋体" w:cs="Times New Roman"/>
      <w:sz w:val="24"/>
      <w:szCs w:val="20"/>
    </w:rPr>
  </w:style>
  <w:style w:type="paragraph" w:styleId="57">
    <w:name w:val="Body Text First Indent 2"/>
    <w:basedOn w:val="23"/>
    <w:link w:val="103"/>
    <w:qFormat/>
    <w:uiPriority w:val="0"/>
    <w:pPr>
      <w:spacing w:after="120" w:line="240" w:lineRule="auto"/>
      <w:ind w:left="420" w:leftChars="200" w:firstLine="420" w:firstLineChars="200"/>
    </w:pPr>
  </w:style>
  <w:style w:type="table" w:styleId="59">
    <w:name w:val="Table Grid"/>
    <w:basedOn w:val="5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1 Char"/>
    <w:basedOn w:val="60"/>
    <w:link w:val="2"/>
    <w:qFormat/>
    <w:uiPriority w:val="0"/>
    <w:rPr>
      <w:rFonts w:ascii="宋体" w:hAnsi="Times New Roman" w:eastAsia="宋体" w:cs="Times New Roman"/>
      <w:sz w:val="28"/>
      <w:szCs w:val="20"/>
    </w:rPr>
  </w:style>
  <w:style w:type="character" w:customStyle="1" w:styleId="69">
    <w:name w:val="标题 2 Char"/>
    <w:basedOn w:val="60"/>
    <w:link w:val="3"/>
    <w:qFormat/>
    <w:uiPriority w:val="0"/>
    <w:rPr>
      <w:rFonts w:ascii="Arial" w:hAnsi="Arial" w:eastAsia="黑体" w:cs="Times New Roman"/>
      <w:b/>
      <w:sz w:val="32"/>
      <w:szCs w:val="20"/>
    </w:rPr>
  </w:style>
  <w:style w:type="character" w:customStyle="1" w:styleId="70">
    <w:name w:val="标题 3 Char"/>
    <w:basedOn w:val="60"/>
    <w:link w:val="4"/>
    <w:qFormat/>
    <w:uiPriority w:val="0"/>
    <w:rPr>
      <w:rFonts w:ascii="Times New Roman" w:hAnsi="Times New Roman" w:eastAsia="宋体" w:cs="Times New Roman"/>
      <w:b/>
      <w:sz w:val="32"/>
      <w:szCs w:val="20"/>
    </w:rPr>
  </w:style>
  <w:style w:type="character" w:customStyle="1" w:styleId="71">
    <w:name w:val="标题 4 Char"/>
    <w:basedOn w:val="60"/>
    <w:link w:val="5"/>
    <w:qFormat/>
    <w:uiPriority w:val="0"/>
    <w:rPr>
      <w:rFonts w:ascii="Arial" w:hAnsi="Arial" w:eastAsia="黑体" w:cs="Times New Roman"/>
      <w:b/>
      <w:sz w:val="28"/>
      <w:szCs w:val="20"/>
    </w:rPr>
  </w:style>
  <w:style w:type="character" w:customStyle="1" w:styleId="72">
    <w:name w:val="标题 5 Char"/>
    <w:basedOn w:val="60"/>
    <w:link w:val="6"/>
    <w:qFormat/>
    <w:uiPriority w:val="0"/>
    <w:rPr>
      <w:rFonts w:ascii="Times New Roman" w:hAnsi="Times New Roman" w:eastAsia="宋体" w:cs="Times New Roman"/>
      <w:b/>
      <w:sz w:val="28"/>
      <w:szCs w:val="20"/>
    </w:rPr>
  </w:style>
  <w:style w:type="character" w:customStyle="1" w:styleId="73">
    <w:name w:val="标题 6 Char"/>
    <w:basedOn w:val="60"/>
    <w:link w:val="7"/>
    <w:qFormat/>
    <w:uiPriority w:val="0"/>
    <w:rPr>
      <w:rFonts w:ascii="Arial" w:hAnsi="Arial" w:eastAsia="黑体" w:cs="Times New Roman"/>
      <w:b/>
      <w:sz w:val="24"/>
      <w:szCs w:val="20"/>
    </w:rPr>
  </w:style>
  <w:style w:type="character" w:customStyle="1" w:styleId="74">
    <w:name w:val="标题 7 Char"/>
    <w:basedOn w:val="60"/>
    <w:link w:val="8"/>
    <w:qFormat/>
    <w:uiPriority w:val="0"/>
    <w:rPr>
      <w:rFonts w:ascii="Arial" w:hAnsi="Arial" w:eastAsia="黑体" w:cs="Times New Roman"/>
      <w:b/>
      <w:sz w:val="24"/>
      <w:szCs w:val="20"/>
    </w:rPr>
  </w:style>
  <w:style w:type="character" w:customStyle="1" w:styleId="75">
    <w:name w:val="标题 8 Char"/>
    <w:basedOn w:val="60"/>
    <w:link w:val="9"/>
    <w:qFormat/>
    <w:uiPriority w:val="0"/>
    <w:rPr>
      <w:rFonts w:ascii="Arial" w:hAnsi="Arial" w:eastAsia="黑体" w:cs="Times New Roman"/>
      <w:b/>
      <w:sz w:val="24"/>
      <w:szCs w:val="20"/>
    </w:rPr>
  </w:style>
  <w:style w:type="character" w:customStyle="1" w:styleId="76">
    <w:name w:val="标题 9 Char"/>
    <w:basedOn w:val="60"/>
    <w:link w:val="10"/>
    <w:qFormat/>
    <w:uiPriority w:val="0"/>
    <w:rPr>
      <w:rFonts w:ascii="Arial" w:hAnsi="Arial" w:eastAsia="黑体" w:cs="Times New Roman"/>
      <w:b/>
      <w:sz w:val="24"/>
      <w:szCs w:val="20"/>
    </w:rPr>
  </w:style>
  <w:style w:type="character" w:customStyle="1" w:styleId="77">
    <w:name w:val="正文文本缩进 2 Char"/>
    <w:link w:val="33"/>
    <w:qFormat/>
    <w:uiPriority w:val="0"/>
    <w:rPr>
      <w:sz w:val="28"/>
    </w:rPr>
  </w:style>
  <w:style w:type="character" w:customStyle="1" w:styleId="78">
    <w:name w:val="脚注文本 Char"/>
    <w:link w:val="40"/>
    <w:qFormat/>
    <w:uiPriority w:val="0"/>
    <w:rPr>
      <w:sz w:val="18"/>
    </w:rPr>
  </w:style>
  <w:style w:type="character" w:customStyle="1" w:styleId="79">
    <w:name w:val="批注主题 Char"/>
    <w:basedOn w:val="80"/>
    <w:link w:val="55"/>
    <w:qFormat/>
    <w:uiPriority w:val="0"/>
    <w:rPr>
      <w:sz w:val="24"/>
    </w:rPr>
  </w:style>
  <w:style w:type="character" w:customStyle="1" w:styleId="80">
    <w:name w:val="批注文字 Char"/>
    <w:qFormat/>
    <w:uiPriority w:val="0"/>
    <w:rPr>
      <w:sz w:val="24"/>
    </w:rPr>
  </w:style>
  <w:style w:type="character" w:customStyle="1" w:styleId="81">
    <w:name w:val="Char Char4"/>
    <w:qFormat/>
    <w:uiPriority w:val="0"/>
    <w:rPr>
      <w:rFonts w:eastAsia="宋体"/>
      <w:b/>
      <w:kern w:val="2"/>
      <w:sz w:val="21"/>
      <w:lang w:val="en-US" w:eastAsia="zh-CN"/>
    </w:rPr>
  </w:style>
  <w:style w:type="character" w:customStyle="1" w:styleId="82">
    <w:name w:val="文字 Char"/>
    <w:link w:val="83"/>
    <w:qFormat/>
    <w:uiPriority w:val="0"/>
    <w:rPr>
      <w:rFonts w:ascii="宋体"/>
      <w:sz w:val="28"/>
    </w:rPr>
  </w:style>
  <w:style w:type="paragraph" w:customStyle="1" w:styleId="83">
    <w:name w:val="文字"/>
    <w:basedOn w:val="1"/>
    <w:link w:val="82"/>
    <w:qFormat/>
    <w:uiPriority w:val="0"/>
    <w:pPr>
      <w:tabs>
        <w:tab w:val="left" w:pos="8520"/>
      </w:tabs>
      <w:spacing w:line="312" w:lineRule="auto"/>
      <w:ind w:right="-210" w:firstLine="556"/>
    </w:pPr>
    <w:rPr>
      <w:rFonts w:ascii="宋体"/>
      <w:sz w:val="28"/>
    </w:rPr>
  </w:style>
  <w:style w:type="character" w:customStyle="1" w:styleId="84">
    <w:name w:val="content-white1"/>
    <w:qFormat/>
    <w:uiPriority w:val="0"/>
    <w:rPr>
      <w:color w:val="auto"/>
      <w:sz w:val="18"/>
      <w:u w:val="none"/>
    </w:rPr>
  </w:style>
  <w:style w:type="character" w:customStyle="1" w:styleId="85">
    <w:name w:val="top-det1"/>
    <w:qFormat/>
    <w:uiPriority w:val="0"/>
    <w:rPr>
      <w:b/>
      <w:color w:val="000000"/>
    </w:rPr>
  </w:style>
  <w:style w:type="character" w:customStyle="1" w:styleId="86">
    <w:name w:val="正文 + 三号 Char"/>
    <w:qFormat/>
    <w:uiPriority w:val="0"/>
    <w:rPr>
      <w:rFonts w:eastAsia="宋体"/>
      <w:kern w:val="2"/>
      <w:sz w:val="21"/>
      <w:lang w:val="en-US" w:eastAsia="zh-CN"/>
    </w:rPr>
  </w:style>
  <w:style w:type="character" w:customStyle="1" w:styleId="87">
    <w:name w:val="Char Char11"/>
    <w:qFormat/>
    <w:uiPriority w:val="0"/>
    <w:rPr>
      <w:rFonts w:ascii="宋体"/>
      <w:kern w:val="2"/>
      <w:sz w:val="28"/>
    </w:rPr>
  </w:style>
  <w:style w:type="character" w:customStyle="1" w:styleId="88">
    <w:name w:val="Char Char6"/>
    <w:qFormat/>
    <w:uiPriority w:val="0"/>
    <w:rPr>
      <w:rFonts w:ascii="仿宋_GB2312" w:eastAsia="仿宋_GB2312"/>
      <w:kern w:val="2"/>
      <w:sz w:val="32"/>
    </w:rPr>
  </w:style>
  <w:style w:type="character" w:customStyle="1" w:styleId="89">
    <w:name w:val="Char Char5"/>
    <w:qFormat/>
    <w:uiPriority w:val="0"/>
    <w:rPr>
      <w:rFonts w:ascii="Arial" w:hAnsi="Arial" w:eastAsia="宋体"/>
      <w:b/>
      <w:smallCaps/>
      <w:kern w:val="28"/>
      <w:sz w:val="36"/>
      <w:lang w:val="en-US" w:eastAsia="en-US"/>
    </w:rPr>
  </w:style>
  <w:style w:type="character" w:customStyle="1" w:styleId="90">
    <w:name w:val="标书正文:  0.74 厘米 Char1"/>
    <w:qFormat/>
    <w:uiPriority w:val="0"/>
    <w:rPr>
      <w:rFonts w:eastAsia="宋体"/>
      <w:kern w:val="2"/>
      <w:sz w:val="24"/>
      <w:lang w:val="en-US" w:eastAsia="zh-CN"/>
    </w:rPr>
  </w:style>
  <w:style w:type="character" w:customStyle="1" w:styleId="91">
    <w:name w:val="纯文本 Char"/>
    <w:link w:val="30"/>
    <w:qFormat/>
    <w:uiPriority w:val="0"/>
    <w:rPr>
      <w:rFonts w:ascii="宋体" w:hAnsi="Courier New"/>
    </w:rPr>
  </w:style>
  <w:style w:type="character" w:customStyle="1" w:styleId="92">
    <w:name w:val="crowed11"/>
    <w:qFormat/>
    <w:uiPriority w:val="0"/>
    <w:rPr>
      <w:rFonts w:hint="default"/>
      <w:sz w:val="24"/>
    </w:rPr>
  </w:style>
  <w:style w:type="character" w:customStyle="1" w:styleId="93">
    <w:name w:val="Table Text Char Char Char Char"/>
    <w:link w:val="94"/>
    <w:qFormat/>
    <w:uiPriority w:val="0"/>
    <w:rPr>
      <w:rFonts w:ascii="Arial" w:hAnsi="Arial"/>
      <w:sz w:val="18"/>
    </w:rPr>
  </w:style>
  <w:style w:type="paragraph" w:customStyle="1" w:styleId="94">
    <w:name w:val="Table Text Char Char Char"/>
    <w:link w:val="9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95">
    <w:name w:val="Char Char7"/>
    <w:qFormat/>
    <w:uiPriority w:val="0"/>
    <w:rPr>
      <w:rFonts w:ascii="宋体" w:hAnsi="宋体" w:eastAsia="宋体"/>
      <w:kern w:val="2"/>
      <w:sz w:val="28"/>
    </w:rPr>
  </w:style>
  <w:style w:type="character" w:customStyle="1" w:styleId="96">
    <w:name w:val="未命名11"/>
    <w:qFormat/>
    <w:uiPriority w:val="0"/>
    <w:rPr>
      <w:color w:val="77FFFF"/>
      <w:sz w:val="24"/>
    </w:rPr>
  </w:style>
  <w:style w:type="character" w:customStyle="1" w:styleId="97">
    <w:name w:val="小 Char"/>
    <w:qFormat/>
    <w:uiPriority w:val="0"/>
    <w:rPr>
      <w:rFonts w:ascii="宋体" w:hAnsi="Courier New" w:eastAsia="宋体"/>
      <w:kern w:val="2"/>
      <w:sz w:val="21"/>
      <w:lang w:val="en-US" w:eastAsia="zh-CN" w:bidi="ar-SA"/>
    </w:rPr>
  </w:style>
  <w:style w:type="character" w:customStyle="1" w:styleId="98">
    <w:name w:val="Char Char3"/>
    <w:qFormat/>
    <w:uiPriority w:val="0"/>
    <w:rPr>
      <w:rFonts w:eastAsia="宋体"/>
      <w:kern w:val="2"/>
      <w:sz w:val="18"/>
      <w:lang w:val="en-US" w:eastAsia="zh-CN"/>
    </w:rPr>
  </w:style>
  <w:style w:type="character" w:customStyle="1" w:styleId="99">
    <w:name w:val="title_emph1"/>
    <w:qFormat/>
    <w:uiPriority w:val="0"/>
    <w:rPr>
      <w:rFonts w:hint="default" w:ascii="Arial" w:hAnsi="Arial"/>
      <w:b/>
      <w:sz w:val="20"/>
    </w:rPr>
  </w:style>
  <w:style w:type="character" w:customStyle="1" w:styleId="100">
    <w:name w:val="Table Text Char"/>
    <w:link w:val="101"/>
    <w:qFormat/>
    <w:uiPriority w:val="0"/>
    <w:rPr>
      <w:rFonts w:ascii="Arial" w:hAnsi="Arial"/>
      <w:sz w:val="18"/>
    </w:rPr>
  </w:style>
  <w:style w:type="paragraph" w:customStyle="1" w:styleId="101">
    <w:name w:val="Table Text"/>
    <w:link w:val="1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02">
    <w:name w:val="样式 宋体"/>
    <w:qFormat/>
    <w:uiPriority w:val="0"/>
    <w:rPr>
      <w:rFonts w:ascii="宋体" w:hAnsi="宋体" w:eastAsia="宋体"/>
      <w:sz w:val="28"/>
    </w:rPr>
  </w:style>
  <w:style w:type="character" w:customStyle="1" w:styleId="103">
    <w:name w:val="正文首行缩进 2 Char"/>
    <w:basedOn w:val="104"/>
    <w:link w:val="57"/>
    <w:qFormat/>
    <w:uiPriority w:val="0"/>
    <w:rPr>
      <w:sz w:val="44"/>
    </w:rPr>
  </w:style>
  <w:style w:type="character" w:customStyle="1" w:styleId="104">
    <w:name w:val="正文文本缩进 Char"/>
    <w:link w:val="23"/>
    <w:qFormat/>
    <w:uiPriority w:val="0"/>
    <w:rPr>
      <w:sz w:val="44"/>
    </w:rPr>
  </w:style>
  <w:style w:type="character" w:customStyle="1" w:styleId="105">
    <w:name w:val="页脚 Char"/>
    <w:link w:val="35"/>
    <w:qFormat/>
    <w:uiPriority w:val="99"/>
    <w:rPr>
      <w:sz w:val="18"/>
    </w:rPr>
  </w:style>
  <w:style w:type="character" w:customStyle="1" w:styleId="106">
    <w:name w:val="Table Heading Char Char"/>
    <w:qFormat/>
    <w:uiPriority w:val="0"/>
    <w:rPr>
      <w:rFonts w:ascii="Arial" w:hAnsi="Arial" w:eastAsia="黑体"/>
      <w:kern w:val="2"/>
      <w:sz w:val="18"/>
      <w:lang w:val="en-US" w:eastAsia="zh-CN"/>
    </w:rPr>
  </w:style>
  <w:style w:type="character" w:customStyle="1" w:styleId="107">
    <w:name w:val="日期 Char"/>
    <w:link w:val="32"/>
    <w:qFormat/>
    <w:uiPriority w:val="0"/>
    <w:rPr>
      <w:sz w:val="28"/>
    </w:rPr>
  </w:style>
  <w:style w:type="character" w:customStyle="1" w:styleId="108">
    <w:name w:val="font1"/>
    <w:qFormat/>
    <w:uiPriority w:val="0"/>
    <w:rPr>
      <w:color w:val="000000"/>
      <w:sz w:val="18"/>
    </w:rPr>
  </w:style>
  <w:style w:type="character" w:customStyle="1" w:styleId="109">
    <w:name w:val="Char Char2"/>
    <w:qFormat/>
    <w:uiPriority w:val="0"/>
    <w:rPr>
      <w:rFonts w:eastAsia="宋体"/>
      <w:kern w:val="2"/>
      <w:sz w:val="18"/>
      <w:lang w:val="en-US" w:eastAsia="zh-CN"/>
    </w:rPr>
  </w:style>
  <w:style w:type="character" w:customStyle="1" w:styleId="110">
    <w:name w:val="H2 Char"/>
    <w:qFormat/>
    <w:uiPriority w:val="0"/>
    <w:rPr>
      <w:rFonts w:ascii="Arial" w:hAnsi="Arial" w:eastAsia="宋体"/>
      <w:kern w:val="2"/>
      <w:sz w:val="28"/>
      <w:lang w:val="en-US" w:eastAsia="zh-CN"/>
    </w:rPr>
  </w:style>
  <w:style w:type="character" w:customStyle="1" w:styleId="111">
    <w:name w:val="v151"/>
    <w:qFormat/>
    <w:uiPriority w:val="0"/>
    <w:rPr>
      <w:sz w:val="18"/>
    </w:rPr>
  </w:style>
  <w:style w:type="character" w:customStyle="1" w:styleId="112">
    <w:name w:val="Table Text Char1 Char"/>
    <w:qFormat/>
    <w:uiPriority w:val="0"/>
    <w:rPr>
      <w:rFonts w:ascii="Arial" w:hAnsi="Arial"/>
      <w:kern w:val="2"/>
      <w:sz w:val="18"/>
      <w:lang w:val="en-US" w:eastAsia="zh-CN" w:bidi="ar-SA"/>
    </w:rPr>
  </w:style>
  <w:style w:type="character" w:customStyle="1" w:styleId="113">
    <w:name w:val="HTML 预设格式 Char"/>
    <w:link w:val="50"/>
    <w:qFormat/>
    <w:uiPriority w:val="0"/>
    <w:rPr>
      <w:rFonts w:ascii="宋体" w:hAnsi="宋体" w:cs="宋体"/>
      <w:sz w:val="24"/>
      <w:szCs w:val="24"/>
    </w:rPr>
  </w:style>
  <w:style w:type="character" w:customStyle="1" w:styleId="114">
    <w:name w:val="Char Char"/>
    <w:qFormat/>
    <w:uiPriority w:val="0"/>
    <w:rPr>
      <w:rFonts w:ascii="宋体" w:hAnsi="宋体" w:eastAsia="宋体"/>
      <w:kern w:val="2"/>
      <w:sz w:val="24"/>
      <w:lang w:val="en-US" w:eastAsia="zh-CN" w:bidi="ar-SA"/>
    </w:rPr>
  </w:style>
  <w:style w:type="character" w:customStyle="1" w:styleId="115">
    <w:name w:val="脚注文本 Char1"/>
    <w:basedOn w:val="60"/>
    <w:semiHidden/>
    <w:qFormat/>
    <w:uiPriority w:val="99"/>
    <w:rPr>
      <w:sz w:val="18"/>
      <w:szCs w:val="18"/>
    </w:rPr>
  </w:style>
  <w:style w:type="character" w:customStyle="1" w:styleId="116">
    <w:name w:val="页眉 Char"/>
    <w:basedOn w:val="60"/>
    <w:link w:val="36"/>
    <w:qFormat/>
    <w:uiPriority w:val="0"/>
    <w:rPr>
      <w:rFonts w:ascii="Times New Roman" w:hAnsi="Times New Roman" w:eastAsia="宋体" w:cs="Times New Roman"/>
      <w:sz w:val="18"/>
      <w:szCs w:val="20"/>
    </w:rPr>
  </w:style>
  <w:style w:type="character" w:customStyle="1" w:styleId="117">
    <w:name w:val="正文文本缩进 Char1"/>
    <w:basedOn w:val="60"/>
    <w:semiHidden/>
    <w:qFormat/>
    <w:uiPriority w:val="99"/>
  </w:style>
  <w:style w:type="character" w:customStyle="1" w:styleId="118">
    <w:name w:val="文档结构图 Char"/>
    <w:basedOn w:val="60"/>
    <w:link w:val="17"/>
    <w:qFormat/>
    <w:uiPriority w:val="0"/>
    <w:rPr>
      <w:rFonts w:ascii="Times New Roman" w:hAnsi="Times New Roman" w:eastAsia="宋体" w:cs="Times New Roman"/>
      <w:sz w:val="28"/>
      <w:szCs w:val="20"/>
      <w:shd w:val="clear" w:color="auto" w:fill="000080"/>
    </w:rPr>
  </w:style>
  <w:style w:type="character" w:customStyle="1" w:styleId="119">
    <w:name w:val="页脚 Char1"/>
    <w:basedOn w:val="60"/>
    <w:semiHidden/>
    <w:qFormat/>
    <w:uiPriority w:val="99"/>
    <w:rPr>
      <w:sz w:val="18"/>
      <w:szCs w:val="18"/>
    </w:rPr>
  </w:style>
  <w:style w:type="character" w:customStyle="1" w:styleId="120">
    <w:name w:val="正文文本缩进 3 Char"/>
    <w:basedOn w:val="60"/>
    <w:link w:val="43"/>
    <w:qFormat/>
    <w:uiPriority w:val="0"/>
    <w:rPr>
      <w:rFonts w:ascii="黑体" w:hAnsi="Times New Roman" w:eastAsia="黑体" w:cs="Times New Roman"/>
      <w:sz w:val="28"/>
      <w:szCs w:val="20"/>
    </w:rPr>
  </w:style>
  <w:style w:type="character" w:customStyle="1" w:styleId="121">
    <w:name w:val="正文文本 3 Char"/>
    <w:basedOn w:val="60"/>
    <w:link w:val="20"/>
    <w:qFormat/>
    <w:uiPriority w:val="0"/>
    <w:rPr>
      <w:rFonts w:ascii="Times New Roman" w:hAnsi="Times New Roman" w:eastAsia="宋体" w:cs="Times New Roman"/>
      <w:sz w:val="16"/>
      <w:szCs w:val="20"/>
    </w:rPr>
  </w:style>
  <w:style w:type="character" w:customStyle="1" w:styleId="122">
    <w:name w:val="正文文本 2 Char"/>
    <w:basedOn w:val="60"/>
    <w:link w:val="47"/>
    <w:qFormat/>
    <w:uiPriority w:val="0"/>
    <w:rPr>
      <w:rFonts w:ascii="Times New Roman" w:hAnsi="Times New Roman" w:eastAsia="宋体" w:cs="Times New Roman"/>
      <w:sz w:val="24"/>
      <w:szCs w:val="20"/>
    </w:rPr>
  </w:style>
  <w:style w:type="character" w:customStyle="1" w:styleId="123">
    <w:name w:val="正文文本 Char"/>
    <w:basedOn w:val="60"/>
    <w:link w:val="22"/>
    <w:qFormat/>
    <w:uiPriority w:val="0"/>
    <w:rPr>
      <w:rFonts w:ascii="仿宋_GB2312" w:hAnsi="Times New Roman" w:eastAsia="仿宋_GB2312" w:cs="Times New Roman"/>
      <w:sz w:val="32"/>
      <w:szCs w:val="20"/>
    </w:rPr>
  </w:style>
  <w:style w:type="character" w:customStyle="1" w:styleId="124">
    <w:name w:val="正文文本缩进 2 Char1"/>
    <w:basedOn w:val="60"/>
    <w:semiHidden/>
    <w:qFormat/>
    <w:uiPriority w:val="99"/>
  </w:style>
  <w:style w:type="character" w:customStyle="1" w:styleId="125">
    <w:name w:val="正文首行缩进 2 Char1"/>
    <w:basedOn w:val="117"/>
    <w:semiHidden/>
    <w:qFormat/>
    <w:uiPriority w:val="99"/>
  </w:style>
  <w:style w:type="character" w:customStyle="1" w:styleId="126">
    <w:name w:val="标题 Char"/>
    <w:basedOn w:val="60"/>
    <w:link w:val="54"/>
    <w:qFormat/>
    <w:uiPriority w:val="0"/>
    <w:rPr>
      <w:rFonts w:ascii="Arial" w:hAnsi="Arial" w:eastAsia="宋体" w:cs="Times New Roman"/>
      <w:b/>
      <w:smallCaps/>
      <w:kern w:val="28"/>
      <w:sz w:val="36"/>
      <w:szCs w:val="20"/>
      <w:lang w:eastAsia="en-US"/>
    </w:rPr>
  </w:style>
  <w:style w:type="character" w:customStyle="1" w:styleId="127">
    <w:name w:val="HTML 预设格式 Char1"/>
    <w:basedOn w:val="60"/>
    <w:semiHidden/>
    <w:qFormat/>
    <w:uiPriority w:val="99"/>
    <w:rPr>
      <w:rFonts w:ascii="Courier New" w:hAnsi="Courier New" w:cs="Courier New"/>
      <w:sz w:val="20"/>
      <w:szCs w:val="20"/>
    </w:rPr>
  </w:style>
  <w:style w:type="character" w:customStyle="1" w:styleId="128">
    <w:name w:val="日期 Char1"/>
    <w:basedOn w:val="60"/>
    <w:semiHidden/>
    <w:qFormat/>
    <w:uiPriority w:val="99"/>
  </w:style>
  <w:style w:type="character" w:customStyle="1" w:styleId="129">
    <w:name w:val="纯文本 Char1"/>
    <w:basedOn w:val="60"/>
    <w:semiHidden/>
    <w:qFormat/>
    <w:uiPriority w:val="99"/>
    <w:rPr>
      <w:rFonts w:ascii="宋体" w:hAnsi="Courier New" w:eastAsia="宋体" w:cs="Courier New"/>
      <w:szCs w:val="21"/>
    </w:rPr>
  </w:style>
  <w:style w:type="character" w:customStyle="1" w:styleId="130">
    <w:name w:val="批注文字 Char1"/>
    <w:basedOn w:val="60"/>
    <w:link w:val="19"/>
    <w:semiHidden/>
    <w:qFormat/>
    <w:uiPriority w:val="99"/>
  </w:style>
  <w:style w:type="character" w:customStyle="1" w:styleId="131">
    <w:name w:val="批注主题 Char1"/>
    <w:basedOn w:val="130"/>
    <w:semiHidden/>
    <w:qFormat/>
    <w:uiPriority w:val="99"/>
    <w:rPr>
      <w:b/>
      <w:bCs/>
    </w:rPr>
  </w:style>
  <w:style w:type="character" w:customStyle="1" w:styleId="132">
    <w:name w:val="批注框文本 Char"/>
    <w:basedOn w:val="60"/>
    <w:link w:val="34"/>
    <w:qFormat/>
    <w:uiPriority w:val="0"/>
    <w:rPr>
      <w:rFonts w:ascii="Times New Roman" w:hAnsi="Times New Roman" w:eastAsia="宋体" w:cs="Times New Roman"/>
      <w:sz w:val="18"/>
      <w:szCs w:val="20"/>
    </w:rPr>
  </w:style>
  <w:style w:type="character" w:customStyle="1" w:styleId="133">
    <w:name w:val="正文首行缩进 Char"/>
    <w:basedOn w:val="123"/>
    <w:link w:val="56"/>
    <w:qFormat/>
    <w:uiPriority w:val="0"/>
    <w:rPr>
      <w:rFonts w:ascii="宋体" w:hAnsi="宋体" w:eastAsia="宋体" w:cs="Times New Roman"/>
      <w:sz w:val="24"/>
      <w:szCs w:val="20"/>
    </w:rPr>
  </w:style>
  <w:style w:type="paragraph" w:customStyle="1" w:styleId="134">
    <w:name w:val="正文 + 三号"/>
    <w:basedOn w:val="1"/>
    <w:qFormat/>
    <w:uiPriority w:val="0"/>
    <w:rPr>
      <w:rFonts w:ascii="Times New Roman" w:hAnsi="Times New Roman" w:eastAsia="宋体" w:cs="Times New Roman"/>
      <w:szCs w:val="20"/>
    </w:rPr>
  </w:style>
  <w:style w:type="paragraph" w:customStyle="1" w:styleId="13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36">
    <w:name w:val="样式 仿宋_GB2312 首行缩进:  2 字符"/>
    <w:basedOn w:val="1"/>
    <w:qFormat/>
    <w:uiPriority w:val="0"/>
    <w:pPr>
      <w:spacing w:line="600" w:lineRule="exact"/>
      <w:ind w:firstLine="420" w:firstLineChars="150"/>
      <w:jc w:val="left"/>
    </w:pPr>
    <w:rPr>
      <w:rFonts w:ascii="仿宋_GB2312" w:hAnsi="Arial" w:eastAsia="仿宋_GB2312" w:cs="Times New Roman"/>
      <w:color w:val="000000"/>
      <w:kern w:val="0"/>
      <w:sz w:val="28"/>
      <w:szCs w:val="20"/>
      <w:lang w:val="zh-CN"/>
    </w:rPr>
  </w:style>
  <w:style w:type="paragraph" w:customStyle="1" w:styleId="137">
    <w:name w:val="二级列表"/>
    <w:basedOn w:val="138"/>
    <w:next w:val="138"/>
    <w:qFormat/>
    <w:uiPriority w:val="0"/>
    <w:pPr>
      <w:tabs>
        <w:tab w:val="left" w:pos="2120"/>
      </w:tabs>
      <w:ind w:firstLine="0" w:firstLineChars="0"/>
    </w:pPr>
    <w:rPr>
      <w:b/>
    </w:rPr>
  </w:style>
  <w:style w:type="paragraph" w:customStyle="1" w:styleId="138">
    <w:name w:val="段落正文"/>
    <w:basedOn w:val="1"/>
    <w:qFormat/>
    <w:uiPriority w:val="0"/>
    <w:pPr>
      <w:spacing w:before="156" w:beforeLines="50" w:line="360" w:lineRule="auto"/>
      <w:ind w:firstLine="200" w:firstLineChars="200"/>
    </w:pPr>
    <w:rPr>
      <w:rFonts w:ascii="Times New Roman" w:hAnsi="Times New Roman" w:eastAsia="宋体" w:cs="Times New Roman"/>
      <w:spacing w:val="2"/>
      <w:sz w:val="24"/>
      <w:szCs w:val="20"/>
    </w:rPr>
  </w:style>
  <w:style w:type="paragraph" w:customStyle="1" w:styleId="139">
    <w:name w:val="Char1"/>
    <w:basedOn w:val="1"/>
    <w:qFormat/>
    <w:uiPriority w:val="0"/>
    <w:rPr>
      <w:rFonts w:ascii="Times New Roman" w:hAnsi="Times New Roman" w:eastAsia="宋体" w:cs="Times New Roman"/>
      <w:szCs w:val="20"/>
    </w:rPr>
  </w:style>
  <w:style w:type="paragraph" w:customStyle="1" w:styleId="140">
    <w:name w:val="标题无"/>
    <w:basedOn w:val="1"/>
    <w:qFormat/>
    <w:uiPriority w:val="0"/>
    <w:pPr>
      <w:spacing w:line="360" w:lineRule="auto"/>
    </w:pPr>
    <w:rPr>
      <w:rFonts w:ascii="Times New Roman" w:hAnsi="Times New Roman" w:eastAsia="宋体" w:cs="Times New Roman"/>
      <w:sz w:val="24"/>
      <w:szCs w:val="20"/>
    </w:rPr>
  </w:style>
  <w:style w:type="paragraph" w:customStyle="1" w:styleId="141">
    <w:name w:val="标书正文:  0.74 厘米"/>
    <w:basedOn w:val="1"/>
    <w:qFormat/>
    <w:uiPriority w:val="0"/>
    <w:pPr>
      <w:snapToGrid w:val="0"/>
      <w:spacing w:line="360" w:lineRule="auto"/>
      <w:ind w:firstLine="420"/>
    </w:pPr>
    <w:rPr>
      <w:rFonts w:ascii="Times New Roman" w:hAnsi="Times New Roman" w:eastAsia="宋体" w:cs="Times New Roman"/>
      <w:sz w:val="24"/>
      <w:szCs w:val="20"/>
    </w:rPr>
  </w:style>
  <w:style w:type="paragraph" w:customStyle="1" w:styleId="142">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143">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144">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paragraph" w:customStyle="1" w:styleId="145">
    <w:name w:val="样式 样式 首行缩进:  2 字符 + 首行缩进:  2 字符"/>
    <w:basedOn w:val="1"/>
    <w:qFormat/>
    <w:uiPriority w:val="0"/>
    <w:pPr>
      <w:numPr>
        <w:ilvl w:val="0"/>
        <w:numId w:val="4"/>
      </w:numPr>
      <w:tabs>
        <w:tab w:val="clear" w:pos="1230"/>
      </w:tabs>
      <w:spacing w:line="360" w:lineRule="auto"/>
      <w:ind w:firstLine="480" w:firstLineChars="200"/>
    </w:pPr>
    <w:rPr>
      <w:rFonts w:ascii="Times New Roman" w:hAnsi="Times New Roman" w:eastAsia="宋体" w:cs="Times New Roman"/>
      <w:sz w:val="24"/>
      <w:szCs w:val="20"/>
    </w:rPr>
  </w:style>
  <w:style w:type="paragraph" w:customStyle="1" w:styleId="146">
    <w:name w:val="摘要"/>
    <w:basedOn w:val="1"/>
    <w:next w:val="3"/>
    <w:qFormat/>
    <w:uiPriority w:val="0"/>
    <w:pPr>
      <w:spacing w:line="360" w:lineRule="auto"/>
    </w:pPr>
    <w:rPr>
      <w:rFonts w:ascii="Times New Roman" w:hAnsi="Times New Roman" w:eastAsia="黑体" w:cs="Times New Roman"/>
      <w:sz w:val="20"/>
      <w:szCs w:val="20"/>
    </w:rPr>
  </w:style>
  <w:style w:type="paragraph" w:customStyle="1" w:styleId="147">
    <w:name w:val="文章正文"/>
    <w:basedOn w:val="1"/>
    <w:qFormat/>
    <w:uiPriority w:val="0"/>
    <w:pPr>
      <w:ind w:firstLine="560" w:firstLineChars="200"/>
    </w:pPr>
    <w:rPr>
      <w:rFonts w:ascii="仿宋_GB2312" w:hAnsi="宋体" w:eastAsia="仿宋_GB2312" w:cs="Times New Roman"/>
      <w:color w:val="000000"/>
      <w:sz w:val="28"/>
      <w:szCs w:val="20"/>
    </w:rPr>
  </w:style>
  <w:style w:type="paragraph" w:customStyle="1" w:styleId="14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49">
    <w:name w:val="Revision"/>
    <w:qFormat/>
    <w:uiPriority w:val="0"/>
    <w:rPr>
      <w:rFonts w:ascii="Times New Roman" w:hAnsi="Times New Roman" w:eastAsia="宋体" w:cs="Times New Roman"/>
      <w:kern w:val="2"/>
      <w:sz w:val="21"/>
      <w:szCs w:val="20"/>
      <w:lang w:val="en-US" w:eastAsia="zh-CN" w:bidi="ar-SA"/>
    </w:rPr>
  </w:style>
  <w:style w:type="paragraph" w:customStyle="1" w:styleId="150">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51">
    <w:name w:val="正文字缩2字"/>
    <w:basedOn w:val="1"/>
    <w:qFormat/>
    <w:uiPriority w:val="0"/>
    <w:pPr>
      <w:spacing w:before="60" w:after="60" w:line="360" w:lineRule="auto"/>
      <w:ind w:left="200" w:leftChars="200" w:firstLine="200" w:firstLineChars="200"/>
    </w:pPr>
    <w:rPr>
      <w:rFonts w:ascii="Times New Roman" w:hAnsi="Times New Roman" w:eastAsia="宋体" w:cs="Times New Roman"/>
      <w:sz w:val="24"/>
      <w:szCs w:val="20"/>
    </w:rPr>
  </w:style>
  <w:style w:type="paragraph" w:customStyle="1" w:styleId="152">
    <w:name w:val="af"/>
    <w:basedOn w:val="1"/>
    <w:qFormat/>
    <w:uiPriority w:val="0"/>
    <w:pPr>
      <w:widowControl/>
      <w:spacing w:line="300" w:lineRule="atLeast"/>
      <w:jc w:val="left"/>
    </w:pPr>
    <w:rPr>
      <w:rFonts w:ascii="宋体" w:hAnsi="宋体" w:eastAsia="宋体" w:cs="Times New Roman"/>
      <w:kern w:val="0"/>
      <w:sz w:val="18"/>
      <w:szCs w:val="20"/>
    </w:rPr>
  </w:style>
  <w:style w:type="paragraph" w:customStyle="1" w:styleId="153">
    <w:name w:val="附录2"/>
    <w:basedOn w:val="1"/>
    <w:next w:val="1"/>
    <w:qFormat/>
    <w:uiPriority w:val="0"/>
    <w:pPr>
      <w:tabs>
        <w:tab w:val="left" w:pos="420"/>
        <w:tab w:val="left" w:pos="624"/>
      </w:tabs>
      <w:ind w:left="420" w:hanging="420"/>
      <w:outlineLvl w:val="1"/>
    </w:pPr>
    <w:rPr>
      <w:rFonts w:ascii="黑体" w:hAnsi="黑体" w:eastAsia="黑体" w:cs="Times New Roman"/>
      <w:b/>
      <w:sz w:val="32"/>
      <w:szCs w:val="20"/>
    </w:rPr>
  </w:style>
  <w:style w:type="paragraph" w:customStyle="1" w:styleId="154">
    <w:name w:val="默认段落字体 Para Char Char Char Char Char Char Char"/>
    <w:basedOn w:val="1"/>
    <w:qFormat/>
    <w:uiPriority w:val="0"/>
    <w:rPr>
      <w:rFonts w:ascii="Tahoma" w:hAnsi="Tahoma" w:eastAsia="宋体" w:cs="Times New Roman"/>
      <w:sz w:val="24"/>
      <w:szCs w:val="20"/>
    </w:rPr>
  </w:style>
  <w:style w:type="paragraph" w:customStyle="1" w:styleId="155">
    <w:name w:val="表格内文字"/>
    <w:basedOn w:val="30"/>
    <w:qFormat/>
    <w:uiPriority w:val="0"/>
    <w:pPr>
      <w:adjustRightInd w:val="0"/>
    </w:pPr>
    <w:rPr>
      <w:color w:val="000000"/>
      <w:lang w:val="en-GB"/>
    </w:rPr>
  </w:style>
  <w:style w:type="paragraph" w:customStyle="1" w:styleId="156">
    <w:name w:val="正文1"/>
    <w:basedOn w:val="1"/>
    <w:qFormat/>
    <w:uiPriority w:val="0"/>
    <w:pPr>
      <w:spacing w:line="300" w:lineRule="auto"/>
      <w:ind w:firstLine="200" w:firstLineChars="200"/>
    </w:pPr>
    <w:rPr>
      <w:rFonts w:ascii="Times New Roman" w:hAnsi="Times New Roman" w:eastAsia="宋体" w:cs="Times New Roman"/>
      <w:sz w:val="24"/>
      <w:szCs w:val="20"/>
    </w:rPr>
  </w:style>
  <w:style w:type="paragraph" w:customStyle="1" w:styleId="157">
    <w:name w:val="表头样式"/>
    <w:basedOn w:val="1"/>
    <w:qFormat/>
    <w:uiPriority w:val="0"/>
    <w:pPr>
      <w:autoSpaceDE w:val="0"/>
      <w:autoSpaceDN w:val="0"/>
      <w:adjustRightInd w:val="0"/>
      <w:spacing w:line="360" w:lineRule="auto"/>
      <w:jc w:val="left"/>
    </w:pPr>
    <w:rPr>
      <w:rFonts w:ascii="Times New Roman" w:hAnsi="Times New Roman" w:eastAsia="宋体" w:cs="Times New Roman"/>
      <w:b/>
      <w:kern w:val="0"/>
      <w:szCs w:val="20"/>
    </w:rPr>
  </w:style>
  <w:style w:type="paragraph" w:customStyle="1" w:styleId="158">
    <w:name w:val="没有缩进（为图形使用）"/>
    <w:basedOn w:val="1"/>
    <w:qFormat/>
    <w:uiPriority w:val="0"/>
    <w:pPr>
      <w:spacing w:before="120" w:after="120" w:line="360" w:lineRule="auto"/>
    </w:pPr>
    <w:rPr>
      <w:rFonts w:ascii="Times New Roman" w:hAnsi="Times New Roman" w:eastAsia="宋体" w:cs="Times New Roman"/>
      <w:sz w:val="24"/>
      <w:szCs w:val="20"/>
    </w:rPr>
  </w:style>
  <w:style w:type="paragraph" w:customStyle="1" w:styleId="159">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160">
    <w:name w:val="Table Heading"/>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161">
    <w:name w:val="文档正文 Char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162">
    <w:name w:val="样式1"/>
    <w:basedOn w:val="5"/>
    <w:qFormat/>
    <w:uiPriority w:val="0"/>
    <w:pPr>
      <w:tabs>
        <w:tab w:val="left" w:pos="720"/>
      </w:tabs>
      <w:spacing w:before="500" w:after="260" w:line="560" w:lineRule="atLeast"/>
      <w:ind w:left="420" w:hanging="420"/>
    </w:pPr>
  </w:style>
  <w:style w:type="paragraph" w:customStyle="1" w:styleId="163">
    <w:name w:val="Char"/>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164">
    <w:name w:val="Char Char 字元 字元 字元 Char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165">
    <w:name w:val="表格文本"/>
    <w:qFormat/>
    <w:uiPriority w:val="0"/>
    <w:pPr>
      <w:tabs>
        <w:tab w:val="decimal" w:pos="0"/>
      </w:tabs>
    </w:pPr>
    <w:rPr>
      <w:rFonts w:ascii="Arial" w:hAnsi="Arial" w:eastAsia="宋体" w:cs="Times New Roman"/>
      <w:kern w:val="0"/>
      <w:sz w:val="21"/>
      <w:szCs w:val="20"/>
      <w:lang w:val="en-US" w:eastAsia="zh-CN" w:bidi="ar-SA"/>
    </w:rPr>
  </w:style>
  <w:style w:type="paragraph" w:customStyle="1" w:styleId="166">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67">
    <w:name w:val="Figure Description"/>
    <w:next w:val="1"/>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6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169">
    <w:name w:val="样式1xz"/>
    <w:basedOn w:val="1"/>
    <w:qFormat/>
    <w:uiPriority w:val="0"/>
    <w:pPr>
      <w:tabs>
        <w:tab w:val="left" w:pos="1050"/>
        <w:tab w:val="right" w:leader="dot" w:pos="8296"/>
      </w:tabs>
    </w:pPr>
    <w:rPr>
      <w:rFonts w:ascii="Times New Roman" w:hAnsi="Times New Roman" w:eastAsia="宋体" w:cs="Times New Roman"/>
      <w:caps/>
      <w:spacing w:val="20"/>
      <w:sz w:val="24"/>
      <w:szCs w:val="20"/>
    </w:rPr>
  </w:style>
  <w:style w:type="paragraph" w:customStyle="1" w:styleId="170">
    <w:name w:val="附录1"/>
    <w:basedOn w:val="1"/>
    <w:next w:val="1"/>
    <w:qFormat/>
    <w:uiPriority w:val="0"/>
    <w:pPr>
      <w:tabs>
        <w:tab w:val="left" w:pos="1304"/>
      </w:tabs>
      <w:ind w:left="425" w:hanging="425"/>
      <w:outlineLvl w:val="0"/>
    </w:pPr>
    <w:rPr>
      <w:rFonts w:ascii="黑体" w:hAnsi="黑体" w:eastAsia="黑体" w:cs="Times New Roman"/>
      <w:b/>
      <w:sz w:val="44"/>
      <w:szCs w:val="20"/>
    </w:rPr>
  </w:style>
  <w:style w:type="paragraph" w:customStyle="1" w:styleId="171">
    <w:name w:val="Style Heading 3h3Heading 3 - oldLevel 3 HeadH3level_3PIM 3se..."/>
    <w:basedOn w:val="4"/>
    <w:qFormat/>
    <w:uiPriority w:val="0"/>
    <w:pPr>
      <w:numPr>
        <w:ilvl w:val="2"/>
        <w:numId w:val="5"/>
      </w:numPr>
      <w:tabs>
        <w:tab w:val="left" w:pos="709"/>
        <w:tab w:val="left" w:pos="1620"/>
      </w:tabs>
    </w:pPr>
  </w:style>
  <w:style w:type="paragraph" w:customStyle="1" w:styleId="172">
    <w:name w:val="缺省文本"/>
    <w:basedOn w:val="1"/>
    <w:qFormat/>
    <w:uiPriority w:val="0"/>
    <w:pPr>
      <w:tabs>
        <w:tab w:val="left" w:pos="1260"/>
      </w:tabs>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173">
    <w:name w:val="文本框样式1"/>
    <w:basedOn w:val="1"/>
    <w:qFormat/>
    <w:uiPriority w:val="0"/>
    <w:pPr>
      <w:adjustRightInd w:val="0"/>
      <w:snapToGrid w:val="0"/>
      <w:spacing w:before="60" w:line="180" w:lineRule="exact"/>
      <w:jc w:val="center"/>
    </w:pPr>
    <w:rPr>
      <w:rFonts w:ascii="Times New Roman" w:hAnsi="Times New Roman" w:eastAsia="宋体" w:cs="Times New Roman"/>
      <w:szCs w:val="20"/>
    </w:rPr>
  </w:style>
  <w:style w:type="paragraph" w:customStyle="1" w:styleId="174">
    <w:name w:val="正文文本缩进 21"/>
    <w:basedOn w:val="1"/>
    <w:qFormat/>
    <w:uiPriority w:val="0"/>
    <w:pPr>
      <w:adjustRightInd w:val="0"/>
      <w:spacing w:before="120"/>
      <w:ind w:firstLine="420"/>
      <w:textAlignment w:val="baseline"/>
    </w:pPr>
    <w:rPr>
      <w:rFonts w:ascii="Times New Roman" w:hAnsi="Times New Roman" w:eastAsia="宋体" w:cs="Times New Roman"/>
      <w:sz w:val="24"/>
      <w:szCs w:val="20"/>
    </w:rPr>
  </w:style>
  <w:style w:type="paragraph" w:customStyle="1" w:styleId="17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 w:val="24"/>
      <w:szCs w:val="20"/>
    </w:rPr>
  </w:style>
  <w:style w:type="paragraph" w:customStyle="1" w:styleId="176">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7">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0"/>
    </w:rPr>
  </w:style>
  <w:style w:type="paragraph" w:customStyle="1" w:styleId="178">
    <w:name w:val="样式 宋体 五号 行距: 单倍行距"/>
    <w:basedOn w:val="1"/>
    <w:qFormat/>
    <w:uiPriority w:val="0"/>
    <w:pPr>
      <w:adjustRightInd w:val="0"/>
      <w:jc w:val="left"/>
    </w:pPr>
    <w:rPr>
      <w:rFonts w:ascii="宋体" w:hAnsi="宋体" w:eastAsia="宋体" w:cs="Times New Roman"/>
      <w:kern w:val="0"/>
      <w:szCs w:val="20"/>
    </w:rPr>
  </w:style>
  <w:style w:type="paragraph" w:customStyle="1" w:styleId="179">
    <w:name w:val="style1"/>
    <w:basedOn w:val="1"/>
    <w:qFormat/>
    <w:uiPriority w:val="0"/>
    <w:pPr>
      <w:widowControl/>
      <w:spacing w:before="100" w:beforeAutospacing="1" w:after="100" w:afterAutospacing="1"/>
      <w:jc w:val="left"/>
    </w:pPr>
    <w:rPr>
      <w:rFonts w:ascii="宋体" w:hAnsi="宋体" w:eastAsia="宋体" w:cs="Times New Roman"/>
      <w:kern w:val="0"/>
      <w:szCs w:val="20"/>
    </w:rPr>
  </w:style>
  <w:style w:type="paragraph" w:styleId="180">
    <w:name w:val="List Paragraph"/>
    <w:basedOn w:val="1"/>
    <w:qFormat/>
    <w:uiPriority w:val="0"/>
    <w:pPr>
      <w:ind w:firstLine="420" w:firstLineChars="200"/>
    </w:pPr>
    <w:rPr>
      <w:rFonts w:ascii="Times New Roman" w:hAnsi="Times New Roman" w:eastAsia="宋体" w:cs="Times New Roman"/>
      <w:szCs w:val="20"/>
    </w:rPr>
  </w:style>
  <w:style w:type="paragraph" w:customStyle="1" w:styleId="181">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eastAsia="宋体" w:cs="Times New Roman"/>
      <w:color w:val="000000"/>
      <w:kern w:val="0"/>
      <w:sz w:val="24"/>
      <w:szCs w:val="20"/>
    </w:rPr>
  </w:style>
  <w:style w:type="paragraph" w:customStyle="1" w:styleId="182">
    <w:name w:val="Char Char Char Char Char Char Char"/>
    <w:basedOn w:val="1"/>
    <w:qFormat/>
    <w:uiPriority w:val="0"/>
    <w:rPr>
      <w:rFonts w:ascii="Tahoma" w:hAnsi="Tahoma" w:eastAsia="宋体" w:cs="Times New Roman"/>
      <w:sz w:val="24"/>
      <w:szCs w:val="20"/>
    </w:rPr>
  </w:style>
  <w:style w:type="paragraph" w:customStyle="1" w:styleId="183">
    <w:name w:val="编号正文"/>
    <w:basedOn w:val="184"/>
    <w:qFormat/>
    <w:uiPriority w:val="0"/>
    <w:pPr>
      <w:snapToGrid/>
      <w:spacing w:line="360" w:lineRule="auto"/>
      <w:ind w:left="1407" w:hanging="1047"/>
      <w:jc w:val="left"/>
    </w:pPr>
    <w:rPr>
      <w:rFonts w:eastAsia="仿宋_GB2312"/>
    </w:rPr>
  </w:style>
  <w:style w:type="paragraph" w:customStyle="1" w:styleId="184">
    <w:name w:val="文档正文"/>
    <w:basedOn w:val="1"/>
    <w:uiPriority w:val="0"/>
    <w:pPr>
      <w:adjustRightInd w:val="0"/>
      <w:snapToGrid w:val="0"/>
      <w:spacing w:line="440" w:lineRule="exact"/>
      <w:ind w:firstLine="567"/>
      <w:textAlignment w:val="baseline"/>
    </w:pPr>
    <w:rPr>
      <w:rFonts w:ascii="Arial Narrow" w:hAnsi="Arial Narrow" w:eastAsia="宋体" w:cs="Times New Roman"/>
      <w:kern w:val="0"/>
      <w:sz w:val="24"/>
      <w:szCs w:val="20"/>
    </w:rPr>
  </w:style>
  <w:style w:type="paragraph" w:customStyle="1" w:styleId="185">
    <w:name w:val="样式 首行缩进:  0.74 厘米"/>
    <w:basedOn w:val="1"/>
    <w:qFormat/>
    <w:uiPriority w:val="0"/>
    <w:pPr>
      <w:spacing w:line="360" w:lineRule="auto"/>
      <w:ind w:firstLine="420"/>
    </w:pPr>
    <w:rPr>
      <w:rFonts w:ascii="Times New Roman" w:hAnsi="Times New Roman" w:eastAsia="宋体" w:cs="Times New Roman"/>
      <w:sz w:val="24"/>
      <w:szCs w:val="20"/>
    </w:rPr>
  </w:style>
  <w:style w:type="paragraph" w:customStyle="1" w:styleId="186">
    <w:name w:val="Char2 Char Char Char Char Char Char"/>
    <w:basedOn w:val="1"/>
    <w:qFormat/>
    <w:uiPriority w:val="0"/>
    <w:rPr>
      <w:rFonts w:ascii="仿宋_GB2312" w:hAnsi="Times New Roman" w:eastAsia="宋体" w:cs="Times New Roman"/>
      <w:b/>
      <w:sz w:val="30"/>
      <w:szCs w:val="20"/>
    </w:rPr>
  </w:style>
  <w:style w:type="paragraph" w:customStyle="1" w:styleId="187">
    <w:name w:val="Table Contents"/>
    <w:basedOn w:val="22"/>
    <w:qFormat/>
    <w:uiPriority w:val="0"/>
    <w:pPr>
      <w:suppressAutoHyphens/>
      <w:jc w:val="left"/>
    </w:pPr>
    <w:rPr>
      <w:rFonts w:ascii="Times New Roman" w:eastAsia="Times New Roman"/>
      <w:kern w:val="0"/>
      <w:sz w:val="24"/>
    </w:rPr>
  </w:style>
  <w:style w:type="paragraph" w:customStyle="1" w:styleId="188">
    <w:name w:val="Char Char Char"/>
    <w:basedOn w:val="1"/>
    <w:qFormat/>
    <w:uiPriority w:val="0"/>
    <w:rPr>
      <w:rFonts w:ascii="Tahoma" w:hAnsi="Tahoma" w:eastAsia="宋体" w:cs="Times New Roman"/>
      <w:sz w:val="24"/>
      <w:szCs w:val="20"/>
    </w:rPr>
  </w:style>
  <w:style w:type="paragraph" w:customStyle="1" w:styleId="189">
    <w:name w:val="_"/>
    <w:basedOn w:val="1"/>
    <w:qFormat/>
    <w:uiPriority w:val="0"/>
    <w:pPr>
      <w:adjustRightInd w:val="0"/>
      <w:spacing w:line="360" w:lineRule="auto"/>
      <w:ind w:left="480" w:firstLine="200" w:firstLineChars="200"/>
      <w:textAlignment w:val="baseline"/>
    </w:pPr>
    <w:rPr>
      <w:rFonts w:ascii="Times New Roman" w:hAnsi="Times New Roman" w:eastAsia="宋体" w:cs="Times New Roman"/>
      <w:kern w:val="0"/>
      <w:sz w:val="24"/>
      <w:szCs w:val="20"/>
    </w:rPr>
  </w:style>
  <w:style w:type="paragraph" w:customStyle="1" w:styleId="190">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hAnsi="Times New Roman" w:eastAsia="宋体" w:cs="Times New Roman"/>
      <w:kern w:val="0"/>
      <w:sz w:val="20"/>
      <w:szCs w:val="20"/>
    </w:rPr>
  </w:style>
  <w:style w:type="paragraph" w:customStyle="1" w:styleId="191">
    <w:name w:val="Title - Revision"/>
    <w:basedOn w:val="54"/>
    <w:qFormat/>
    <w:uiPriority w:val="0"/>
    <w:pPr>
      <w:spacing w:before="720"/>
    </w:pPr>
  </w:style>
  <w:style w:type="paragraph" w:customStyle="1" w:styleId="192">
    <w:name w:val="正文（首行不缩进）"/>
    <w:basedOn w:val="1"/>
    <w:qFormat/>
    <w:uiPriority w:val="0"/>
    <w:pPr>
      <w:autoSpaceDE w:val="0"/>
      <w:autoSpaceDN w:val="0"/>
      <w:adjustRightInd w:val="0"/>
      <w:spacing w:line="360" w:lineRule="auto"/>
      <w:jc w:val="left"/>
    </w:pPr>
    <w:rPr>
      <w:rFonts w:ascii="Times New Roman" w:hAnsi="Times New Roman" w:eastAsia="宋体" w:cs="Times New Roman"/>
      <w:kern w:val="0"/>
      <w:szCs w:val="20"/>
    </w:rPr>
  </w:style>
  <w:style w:type="paragraph" w:customStyle="1" w:styleId="193">
    <w:name w:val="关键词"/>
    <w:basedOn w:val="1"/>
    <w:next w:val="1"/>
    <w:qFormat/>
    <w:uiPriority w:val="0"/>
    <w:pPr>
      <w:spacing w:line="360" w:lineRule="auto"/>
    </w:pPr>
    <w:rPr>
      <w:rFonts w:ascii="Times New Roman" w:hAnsi="Times New Roman" w:eastAsia="黑体" w:cs="Times New Roman"/>
      <w:sz w:val="20"/>
      <w:szCs w:val="20"/>
    </w:rPr>
  </w:style>
  <w:style w:type="paragraph" w:customStyle="1" w:styleId="194">
    <w:name w:val="00"/>
    <w:basedOn w:val="1"/>
    <w:qFormat/>
    <w:uiPriority w:val="0"/>
    <w:pPr>
      <w:autoSpaceDE w:val="0"/>
      <w:autoSpaceDN w:val="0"/>
      <w:adjustRightInd w:val="0"/>
      <w:jc w:val="left"/>
    </w:pPr>
    <w:rPr>
      <w:rFonts w:ascii="黑体" w:hAnsi="Times New Roman" w:eastAsia="黑体" w:cs="Times New Roman"/>
      <w:b/>
      <w:kern w:val="0"/>
      <w:sz w:val="20"/>
      <w:szCs w:val="20"/>
    </w:rPr>
  </w:style>
  <w:style w:type="paragraph" w:customStyle="1" w:styleId="195">
    <w:name w:val="AA Numbering"/>
    <w:basedOn w:val="1"/>
    <w:qFormat/>
    <w:uiPriority w:val="0"/>
    <w:pPr>
      <w:widowControl/>
      <w:tabs>
        <w:tab w:val="left" w:pos="1134"/>
        <w:tab w:val="left" w:pos="1280"/>
      </w:tabs>
      <w:adjustRightInd w:val="0"/>
      <w:snapToGrid w:val="0"/>
      <w:spacing w:line="280" w:lineRule="atLeast"/>
      <w:jc w:val="left"/>
    </w:pPr>
    <w:rPr>
      <w:rFonts w:ascii="Times New Roman" w:hAnsi="Times New Roman" w:eastAsia="PMingLiU" w:cs="Times New Roman"/>
      <w:kern w:val="0"/>
      <w:sz w:val="24"/>
      <w:szCs w:val="20"/>
      <w:lang w:eastAsia="zh-TW"/>
    </w:rPr>
  </w:style>
  <w:style w:type="paragraph" w:customStyle="1" w:styleId="196">
    <w:name w:val="首行缩进 1"/>
    <w:basedOn w:val="1"/>
    <w:qFormat/>
    <w:uiPriority w:val="0"/>
    <w:pPr>
      <w:spacing w:after="120" w:line="360" w:lineRule="auto"/>
      <w:ind w:firstLine="200" w:firstLineChars="200"/>
    </w:pPr>
    <w:rPr>
      <w:rFonts w:ascii="Times New Roman" w:hAnsi="Times New Roman" w:eastAsia="宋体" w:cs="Times New Roman"/>
      <w:sz w:val="24"/>
      <w:szCs w:val="20"/>
    </w:rPr>
  </w:style>
  <w:style w:type="paragraph" w:customStyle="1" w:styleId="197">
    <w:name w:val="标准正文"/>
    <w:basedOn w:val="23"/>
    <w:qFormat/>
    <w:uiPriority w:val="0"/>
    <w:pPr>
      <w:spacing w:before="60" w:after="60" w:line="360" w:lineRule="auto"/>
      <w:ind w:left="0" w:firstLine="482"/>
    </w:pPr>
    <w:rPr>
      <w:rFonts w:ascii="Arial" w:hAnsi="Arial"/>
      <w:sz w:val="24"/>
    </w:rPr>
  </w:style>
  <w:style w:type="paragraph" w:customStyle="1" w:styleId="198">
    <w:name w:val="样式 正文首行缩进 2 + 首行缩进:  2 字符"/>
    <w:basedOn w:val="1"/>
    <w:qFormat/>
    <w:uiPriority w:val="0"/>
    <w:pPr>
      <w:numPr>
        <w:ilvl w:val="0"/>
        <w:numId w:val="6"/>
      </w:numPr>
      <w:adjustRightInd w:val="0"/>
      <w:snapToGrid w:val="0"/>
      <w:spacing w:line="360" w:lineRule="auto"/>
    </w:pPr>
    <w:rPr>
      <w:rFonts w:ascii="Arial" w:hAnsi="Arial" w:eastAsia="宋体" w:cs="Times New Roman"/>
      <w:b/>
      <w:sz w:val="24"/>
      <w:szCs w:val="20"/>
    </w:rPr>
  </w:style>
  <w:style w:type="paragraph" w:customStyle="1" w:styleId="199">
    <w:name w:val="Char Char Char Char Char"/>
    <w:basedOn w:val="1"/>
    <w:qFormat/>
    <w:uiPriority w:val="0"/>
    <w:pPr>
      <w:tabs>
        <w:tab w:val="left" w:pos="425"/>
      </w:tabs>
      <w:ind w:left="1620" w:hanging="360"/>
    </w:pPr>
    <w:rPr>
      <w:rFonts w:ascii="Tahoma" w:hAnsi="Tahoma" w:eastAsia="宋体" w:cs="Times New Roman"/>
      <w:sz w:val="24"/>
      <w:szCs w:val="20"/>
    </w:rPr>
  </w:style>
  <w:style w:type="paragraph" w:customStyle="1" w:styleId="200">
    <w:name w:val="列表项目"/>
    <w:basedOn w:val="1"/>
    <w:qFormat/>
    <w:uiPriority w:val="0"/>
    <w:pPr>
      <w:tabs>
        <w:tab w:val="left" w:pos="420"/>
      </w:tabs>
      <w:spacing w:line="288" w:lineRule="auto"/>
      <w:ind w:left="840" w:leftChars="200" w:hanging="420" w:hangingChars="200"/>
    </w:pPr>
    <w:rPr>
      <w:rFonts w:ascii="Times New Roman" w:hAnsi="Times New Roman" w:eastAsia="宋体" w:cs="Times New Roman"/>
      <w:szCs w:val="20"/>
    </w:rPr>
  </w:style>
  <w:style w:type="paragraph" w:customStyle="1" w:styleId="201">
    <w:name w:val="Item List"/>
    <w:qFormat/>
    <w:uiPriority w:val="0"/>
    <w:pPr>
      <w:numPr>
        <w:ilvl w:val="0"/>
        <w:numId w:val="7"/>
      </w:numPr>
      <w:spacing w:line="300" w:lineRule="auto"/>
      <w:jc w:val="both"/>
    </w:pPr>
    <w:rPr>
      <w:rFonts w:ascii="Arial" w:hAnsi="Arial" w:eastAsia="宋体" w:cs="Times New Roman"/>
      <w:kern w:val="0"/>
      <w:sz w:val="21"/>
      <w:szCs w:val="20"/>
      <w:lang w:val="en-US" w:eastAsia="zh-CN" w:bidi="ar-SA"/>
    </w:rPr>
  </w:style>
  <w:style w:type="paragraph" w:customStyle="1" w:styleId="202">
    <w:name w:val="二级条标题"/>
    <w:basedOn w:val="203"/>
    <w:next w:val="150"/>
    <w:qFormat/>
    <w:uiPriority w:val="0"/>
    <w:pPr>
      <w:ind w:left="840"/>
      <w:outlineLvl w:val="3"/>
    </w:pPr>
  </w:style>
  <w:style w:type="paragraph" w:customStyle="1" w:styleId="203">
    <w:name w:val="一级条标题"/>
    <w:basedOn w:val="204"/>
    <w:next w:val="150"/>
    <w:qFormat/>
    <w:uiPriority w:val="0"/>
    <w:pPr>
      <w:numPr>
        <w:numId w:val="0"/>
      </w:numPr>
      <w:spacing w:before="0" w:beforeLines="0" w:after="0" w:afterLines="0"/>
      <w:ind w:left="525"/>
      <w:outlineLvl w:val="2"/>
    </w:pPr>
    <w:rPr>
      <w:sz w:val="21"/>
    </w:rPr>
  </w:style>
  <w:style w:type="paragraph" w:customStyle="1" w:styleId="204">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kern w:val="0"/>
      <w:sz w:val="24"/>
      <w:szCs w:val="20"/>
      <w:lang w:val="en-US" w:eastAsia="zh-CN" w:bidi="ar-SA"/>
    </w:rPr>
  </w:style>
  <w:style w:type="paragraph" w:customStyle="1" w:styleId="205">
    <w:name w:val="Item Step in Table"/>
    <w:qFormat/>
    <w:uiPriority w:val="0"/>
    <w:pPr>
      <w:numPr>
        <w:ilvl w:val="0"/>
        <w:numId w:val="8"/>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06">
    <w:name w:val="IN Feature"/>
    <w:next w:val="207"/>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207">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cs="Times New Roman"/>
      <w:kern w:val="0"/>
      <w:szCs w:val="20"/>
    </w:rPr>
  </w:style>
  <w:style w:type="paragraph" w:customStyle="1" w:styleId="208">
    <w:name w:val="1"/>
    <w:basedOn w:val="1"/>
    <w:next w:val="30"/>
    <w:qFormat/>
    <w:uiPriority w:val="0"/>
    <w:rPr>
      <w:rFonts w:ascii="宋体" w:hAnsi="Courier New" w:eastAsia="宋体" w:cs="Times New Roman"/>
      <w:szCs w:val="20"/>
    </w:rPr>
  </w:style>
  <w:style w:type="paragraph" w:customStyle="1" w:styleId="209">
    <w:name w:val="Default"/>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210">
    <w:name w:val="Char Char Char Char"/>
    <w:basedOn w:val="1"/>
    <w:qFormat/>
    <w:uiPriority w:val="0"/>
    <w:pPr>
      <w:pageBreakBefore/>
      <w:widowControl/>
      <w:spacing w:after="160" w:line="240" w:lineRule="exact"/>
      <w:jc w:val="left"/>
    </w:pPr>
    <w:rPr>
      <w:rFonts w:ascii="Verdana" w:hAnsi="Verdana" w:eastAsia="宋体" w:cs="Times New Roman"/>
      <w:kern w:val="0"/>
      <w:sz w:val="20"/>
      <w:szCs w:val="20"/>
      <w:lang w:eastAsia="en-US"/>
    </w:rPr>
  </w:style>
  <w:style w:type="paragraph" w:customStyle="1" w:styleId="211">
    <w:name w:val="附录3"/>
    <w:basedOn w:val="1"/>
    <w:next w:val="1"/>
    <w:qFormat/>
    <w:uiPriority w:val="0"/>
    <w:pPr>
      <w:tabs>
        <w:tab w:val="left" w:pos="851"/>
      </w:tabs>
      <w:ind w:left="425" w:hanging="425"/>
      <w:outlineLvl w:val="2"/>
    </w:pPr>
    <w:rPr>
      <w:rFonts w:ascii="Times New Roman" w:hAnsi="Times New Roman" w:eastAsia="黑体" w:cs="Times New Roman"/>
      <w:b/>
      <w:sz w:val="32"/>
      <w:szCs w:val="20"/>
    </w:rPr>
  </w:style>
  <w:style w:type="paragraph" w:customStyle="1" w:styleId="212">
    <w:name w:val="正文格式 Char"/>
    <w:basedOn w:val="1"/>
    <w:qFormat/>
    <w:uiPriority w:val="0"/>
    <w:pPr>
      <w:widowControl/>
      <w:adjustRightInd w:val="0"/>
      <w:spacing w:line="440" w:lineRule="atLeast"/>
      <w:ind w:firstLine="510"/>
      <w:textAlignment w:val="baseline"/>
    </w:pPr>
    <w:rPr>
      <w:rFonts w:ascii="Times New Roman" w:hAnsi="Times New Roman" w:eastAsia="宋体" w:cs="Times New Roman"/>
      <w:kern w:val="0"/>
      <w:sz w:val="24"/>
      <w:szCs w:val="20"/>
    </w:rPr>
  </w:style>
  <w:style w:type="paragraph" w:customStyle="1" w:styleId="213">
    <w:name w:val="content"/>
    <w:basedOn w:val="1"/>
    <w:qFormat/>
    <w:uiPriority w:val="0"/>
    <w:pPr>
      <w:widowControl/>
      <w:spacing w:before="100" w:beforeAutospacing="1" w:after="100" w:afterAutospacing="1" w:line="280" w:lineRule="atLeast"/>
      <w:ind w:firstLine="375"/>
      <w:jc w:val="left"/>
    </w:pPr>
    <w:rPr>
      <w:rFonts w:ascii="宋体" w:hAnsi="宋体" w:eastAsia="宋体" w:cs="Times New Roman"/>
      <w:color w:val="000000"/>
      <w:kern w:val="0"/>
      <w:sz w:val="18"/>
      <w:szCs w:val="20"/>
    </w:rPr>
  </w:style>
  <w:style w:type="paragraph" w:customStyle="1" w:styleId="21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ascii="Times New Roman" w:hAnsi="Times New Roman" w:eastAsia="仿宋_GB2312" w:cs="Times New Roman"/>
      <w:kern w:val="0"/>
      <w:sz w:val="24"/>
      <w:szCs w:val="20"/>
    </w:rPr>
  </w:style>
  <w:style w:type="paragraph" w:customStyle="1" w:styleId="215">
    <w:name w:val="Note"/>
    <w:basedOn w:val="1"/>
    <w:qFormat/>
    <w:uiPriority w:val="0"/>
    <w:pPr>
      <w:pBdr>
        <w:top w:val="single" w:color="auto" w:sz="12" w:space="3"/>
        <w:bottom w:val="single" w:color="auto" w:sz="12" w:space="3"/>
      </w:pBdr>
      <w:spacing w:line="360" w:lineRule="auto"/>
    </w:pPr>
    <w:rPr>
      <w:rFonts w:ascii="Times New Roman" w:hAnsi="Times New Roman" w:eastAsia="宋体" w:cs="Times New Roman"/>
      <w:sz w:val="24"/>
      <w:szCs w:val="20"/>
    </w:rPr>
  </w:style>
  <w:style w:type="paragraph" w:customStyle="1" w:styleId="216">
    <w:name w:val="Char1 Char Char Char"/>
    <w:basedOn w:val="1"/>
    <w:qFormat/>
    <w:uiPriority w:val="0"/>
    <w:rPr>
      <w:rFonts w:ascii="Tahoma" w:hAnsi="Tahoma" w:eastAsia="宋体" w:cs="Times New Roman"/>
      <w:sz w:val="24"/>
      <w:szCs w:val="20"/>
    </w:rPr>
  </w:style>
  <w:style w:type="paragraph" w:customStyle="1" w:styleId="217">
    <w:name w:val="标题5"/>
    <w:basedOn w:val="1"/>
    <w:qFormat/>
    <w:uiPriority w:val="0"/>
    <w:pPr>
      <w:tabs>
        <w:tab w:val="left" w:pos="0"/>
      </w:tabs>
      <w:autoSpaceDE w:val="0"/>
      <w:autoSpaceDN w:val="0"/>
      <w:adjustRightInd w:val="0"/>
      <w:snapToGrid w:val="0"/>
      <w:spacing w:line="320" w:lineRule="atLeast"/>
    </w:pPr>
    <w:rPr>
      <w:rFonts w:ascii="宋体" w:hAnsi="Times New Roman" w:eastAsia="宋体" w:cs="Times New Roman"/>
      <w:kern w:val="0"/>
      <w:szCs w:val="20"/>
    </w:rPr>
  </w:style>
  <w:style w:type="paragraph" w:customStyle="1" w:styleId="218">
    <w:name w:val="Char Char Char1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18"/>
      <w:szCs w:val="20"/>
      <w:lang w:eastAsia="en-US"/>
    </w:rPr>
  </w:style>
  <w:style w:type="paragraph" w:customStyle="1" w:styleId="219">
    <w:name w:val="文档正文 Char Char Char Char"/>
    <w:basedOn w:val="1"/>
    <w:qFormat/>
    <w:uiPriority w:val="0"/>
    <w:pPr>
      <w:adjustRightInd w:val="0"/>
      <w:spacing w:line="440" w:lineRule="exact"/>
      <w:ind w:firstLine="420"/>
      <w:textAlignment w:val="baseline"/>
    </w:pPr>
    <w:rPr>
      <w:rFonts w:ascii="Arial Narrow" w:hAnsi="Arial Narrow" w:eastAsia="宋体" w:cs="Times New Roman"/>
      <w:kern w:val="0"/>
      <w:sz w:val="24"/>
      <w:szCs w:val="20"/>
    </w:rPr>
  </w:style>
  <w:style w:type="paragraph" w:customStyle="1" w:styleId="220">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221">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rFonts w:ascii="Times New Roman" w:hAnsi="Times New Roman" w:eastAsia="宋体" w:cs="Times New Roman"/>
      <w:kern w:val="0"/>
      <w:szCs w:val="20"/>
      <w:lang w:eastAsia="en-US"/>
    </w:rPr>
  </w:style>
  <w:style w:type="paragraph" w:customStyle="1" w:styleId="222">
    <w:name w:val="样式2"/>
    <w:basedOn w:val="5"/>
    <w:qFormat/>
    <w:uiPriority w:val="0"/>
    <w:pPr>
      <w:numPr>
        <w:ilvl w:val="0"/>
        <w:numId w:val="10"/>
      </w:numPr>
      <w:spacing w:before="560" w:line="400" w:lineRule="exact"/>
      <w:jc w:val="center"/>
      <w:outlineLvl w:val="0"/>
    </w:pPr>
    <w:rPr>
      <w:b w:val="0"/>
      <w:sz w:val="44"/>
    </w:rPr>
  </w:style>
  <w:style w:type="paragraph" w:customStyle="1" w:styleId="22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ascii="Times New Roman" w:hAnsi="Times New Roman" w:eastAsia="宋体" w:cs="Times New Roman"/>
      <w:b/>
      <w:i/>
      <w:sz w:val="24"/>
      <w:szCs w:val="20"/>
    </w:rPr>
  </w:style>
  <w:style w:type="paragraph" w:customStyle="1" w:styleId="224">
    <w:name w:val="内容标题"/>
    <w:basedOn w:val="17"/>
    <w:qFormat/>
    <w:uiPriority w:val="0"/>
    <w:rPr>
      <w:rFonts w:ascii="Tahoma" w:hAnsi="Tahoma"/>
      <w:sz w:val="24"/>
    </w:rPr>
  </w:style>
  <w:style w:type="paragraph" w:customStyle="1" w:styleId="225">
    <w:name w:val="附录4"/>
    <w:basedOn w:val="1"/>
    <w:next w:val="1"/>
    <w:qFormat/>
    <w:uiPriority w:val="0"/>
    <w:pPr>
      <w:widowControl/>
      <w:tabs>
        <w:tab w:val="left" w:pos="1134"/>
      </w:tabs>
      <w:spacing w:line="300" w:lineRule="auto"/>
      <w:ind w:left="1361" w:hanging="1361"/>
      <w:outlineLvl w:val="3"/>
    </w:pPr>
    <w:rPr>
      <w:rFonts w:ascii="Arial" w:hAnsi="Arial" w:eastAsia="黑体" w:cs="Times New Roman"/>
      <w:kern w:val="0"/>
      <w:sz w:val="28"/>
      <w:szCs w:val="20"/>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hAnsi="Times New Roman" w:eastAsia="宋体" w:cs="Times New Roman"/>
      <w:kern w:val="0"/>
      <w:sz w:val="18"/>
      <w:szCs w:val="20"/>
    </w:rPr>
  </w:style>
  <w:style w:type="paragraph" w:customStyle="1" w:styleId="227">
    <w:name w:val="Char Char1 Char"/>
    <w:basedOn w:val="1"/>
    <w:qFormat/>
    <w:uiPriority w:val="0"/>
    <w:rPr>
      <w:rFonts w:ascii="Tahoma" w:hAnsi="Tahoma" w:eastAsia="宋体" w:cs="Times New Roman"/>
      <w:sz w:val="24"/>
      <w:szCs w:val="24"/>
    </w:rPr>
  </w:style>
  <w:style w:type="paragraph" w:customStyle="1" w:styleId="22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2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0">
    <w:name w:val="首行缩进"/>
    <w:basedOn w:val="1"/>
    <w:qFormat/>
    <w:uiPriority w:val="0"/>
    <w:pPr>
      <w:numPr>
        <w:ilvl w:val="0"/>
        <w:numId w:val="11"/>
      </w:numPr>
      <w:spacing w:line="360" w:lineRule="auto"/>
    </w:pPr>
    <w:rPr>
      <w:rFonts w:ascii="Times New Roman" w:hAnsi="Times New Roman" w:eastAsia="仿宋_GB2312" w:cs="Times New Roman"/>
      <w:sz w:val="28"/>
      <w:szCs w:val="20"/>
    </w:rPr>
  </w:style>
  <w:style w:type="paragraph" w:customStyle="1" w:styleId="231">
    <w:name w:val="样式 样式 正文首行缩进 2 + 左  0 字符 + 首行缩进:  2.57 字符"/>
    <w:basedOn w:val="1"/>
    <w:next w:val="1"/>
    <w:qFormat/>
    <w:uiPriority w:val="0"/>
    <w:pPr>
      <w:adjustRightInd w:val="0"/>
      <w:snapToGrid w:val="0"/>
      <w:spacing w:after="120"/>
      <w:ind w:firstLine="540" w:firstLineChars="257"/>
    </w:pPr>
    <w:rPr>
      <w:rFonts w:ascii="Times New Roman" w:hAnsi="Times New Roman" w:eastAsia="宋体" w:cs="Times New Roman"/>
      <w:szCs w:val="20"/>
    </w:rPr>
  </w:style>
  <w:style w:type="paragraph" w:customStyle="1" w:styleId="232">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33">
    <w:name w:val="Char1 Char Char Char1"/>
    <w:basedOn w:val="1"/>
    <w:qFormat/>
    <w:uiPriority w:val="0"/>
    <w:rPr>
      <w:rFonts w:ascii="Tahoma" w:hAnsi="Tahoma" w:eastAsia="宋体" w:cs="Times New Roman"/>
      <w:sz w:val="30"/>
      <w:szCs w:val="20"/>
    </w:rPr>
  </w:style>
  <w:style w:type="paragraph" w:customStyle="1" w:styleId="234">
    <w:name w:val="简单回函地址"/>
    <w:basedOn w:val="1"/>
    <w:qFormat/>
    <w:uiPriority w:val="0"/>
    <w:pPr>
      <w:adjustRightInd w:val="0"/>
      <w:snapToGrid w:val="0"/>
      <w:spacing w:line="360" w:lineRule="auto"/>
    </w:pPr>
    <w:rPr>
      <w:rFonts w:ascii="Times New Roman" w:hAnsi="Times New Roman" w:eastAsia="宋体" w:cs="Times New Roman"/>
      <w:sz w:val="24"/>
      <w:szCs w:val="20"/>
    </w:rPr>
  </w:style>
  <w:style w:type="paragraph" w:customStyle="1" w:styleId="235">
    <w:name w:val="表头文本"/>
    <w:qFormat/>
    <w:uiPriority w:val="0"/>
    <w:pPr>
      <w:jc w:val="center"/>
    </w:pPr>
    <w:rPr>
      <w:rFonts w:ascii="Arial" w:hAnsi="Arial" w:eastAsia="宋体" w:cs="Times New Roman"/>
      <w:b/>
      <w:kern w:val="0"/>
      <w:sz w:val="21"/>
      <w:szCs w:val="20"/>
      <w:lang w:val="en-US" w:eastAsia="zh-CN" w:bidi="ar-SA"/>
    </w:rPr>
  </w:style>
  <w:style w:type="paragraph" w:customStyle="1" w:styleId="236">
    <w:name w:val="样式 正文缩进正文（首行缩进两字）表正文正文非缩进特点标题4段1 + 首行缩进:  2 字符"/>
    <w:basedOn w:val="15"/>
    <w:qFormat/>
    <w:uiPriority w:val="0"/>
    <w:pPr>
      <w:ind w:firstLine="480" w:firstLineChars="200"/>
    </w:pPr>
  </w:style>
  <w:style w:type="paragraph" w:customStyle="1" w:styleId="237">
    <w:name w:val="可研正文"/>
    <w:basedOn w:val="22"/>
    <w:qFormat/>
    <w:uiPriority w:val="0"/>
    <w:pPr>
      <w:adjustRightInd w:val="0"/>
      <w:snapToGrid w:val="0"/>
      <w:spacing w:line="440" w:lineRule="exact"/>
      <w:ind w:firstLine="567"/>
    </w:pPr>
    <w:rPr>
      <w:sz w:val="28"/>
    </w:rPr>
  </w:style>
  <w:style w:type="paragraph" w:customStyle="1" w:styleId="238">
    <w:name w:val="1.正文"/>
    <w:basedOn w:val="1"/>
    <w:qFormat/>
    <w:uiPriority w:val="0"/>
    <w:pPr>
      <w:spacing w:line="360" w:lineRule="auto"/>
      <w:ind w:left="540" w:leftChars="225" w:firstLine="540" w:firstLineChars="225"/>
    </w:pPr>
    <w:rPr>
      <w:rFonts w:ascii="Times New Roman" w:hAnsi="Times New Roman" w:eastAsia="宋体" w:cs="Times New Roman"/>
      <w:sz w:val="24"/>
      <w:szCs w:val="20"/>
    </w:rPr>
  </w:style>
  <w:style w:type="paragraph" w:customStyle="1" w:styleId="239">
    <w:name w:val="Title - Date"/>
    <w:basedOn w:val="54"/>
    <w:next w:val="1"/>
    <w:qFormat/>
    <w:uiPriority w:val="0"/>
    <w:pPr>
      <w:spacing w:before="240" w:after="720"/>
    </w:pPr>
    <w:rPr>
      <w:sz w:val="28"/>
    </w:rPr>
  </w:style>
  <w:style w:type="paragraph" w:customStyle="1" w:styleId="240">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1">
    <w:name w:val="样式4"/>
    <w:basedOn w:val="5"/>
    <w:qFormat/>
    <w:uiPriority w:val="0"/>
    <w:pPr>
      <w:adjustRightInd w:val="0"/>
      <w:snapToGrid w:val="0"/>
    </w:pPr>
  </w:style>
  <w:style w:type="paragraph" w:customStyle="1" w:styleId="242">
    <w:name w:val="xl23"/>
    <w:basedOn w:val="1"/>
    <w:qFormat/>
    <w:uiPriority w:val="0"/>
    <w:pPr>
      <w:widowControl/>
      <w:spacing w:before="100" w:beforeAutospacing="1" w:after="100" w:afterAutospacing="1" w:line="360" w:lineRule="auto"/>
      <w:textAlignment w:val="top"/>
    </w:pPr>
    <w:rPr>
      <w:rFonts w:ascii="Times New Roman" w:hAnsi="Times New Roman" w:eastAsia="宋体" w:cs="Times New Roman"/>
      <w:kern w:val="0"/>
      <w:sz w:val="24"/>
      <w:szCs w:val="20"/>
    </w:rPr>
  </w:style>
  <w:style w:type="paragraph" w:customStyle="1" w:styleId="243">
    <w:name w:val="表文字"/>
    <w:qFormat/>
    <w:uiPriority w:val="0"/>
    <w:rPr>
      <w:rFonts w:ascii="宋体" w:hAnsi="Times New Roman" w:eastAsia="宋体" w:cs="Times New Roman"/>
      <w:kern w:val="2"/>
      <w:sz w:val="20"/>
      <w:szCs w:val="20"/>
      <w:lang w:val="en-US" w:eastAsia="zh-CN" w:bidi="ar-SA"/>
    </w:rPr>
  </w:style>
  <w:style w:type="paragraph" w:customStyle="1" w:styleId="244">
    <w:name w:val="Char Char14 Char Char"/>
    <w:basedOn w:val="1"/>
    <w:qFormat/>
    <w:uiPriority w:val="0"/>
    <w:rPr>
      <w:rFonts w:ascii="Times New Roman" w:hAnsi="Times New Roman" w:eastAsia="宋体" w:cs="Times New Roman"/>
      <w:szCs w:val="24"/>
    </w:rPr>
  </w:style>
  <w:style w:type="paragraph" w:customStyle="1" w:styleId="24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Cs w:val="20"/>
    </w:rPr>
  </w:style>
  <w:style w:type="paragraph" w:customStyle="1" w:styleId="246">
    <w:name w:val="正文文本 21"/>
    <w:basedOn w:val="1"/>
    <w:qFormat/>
    <w:uiPriority w:val="0"/>
    <w:pPr>
      <w:adjustRightInd w:val="0"/>
      <w:spacing w:before="120" w:line="360" w:lineRule="auto"/>
      <w:ind w:firstLine="480"/>
      <w:textAlignment w:val="baseline"/>
    </w:pPr>
    <w:rPr>
      <w:rFonts w:ascii="Times New Roman" w:hAnsi="Times New Roman" w:eastAsia="宋体" w:cs="Times New Roman"/>
      <w:sz w:val="24"/>
      <w:szCs w:val="20"/>
    </w:rPr>
  </w:style>
  <w:style w:type="paragraph" w:customStyle="1" w:styleId="24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48">
    <w:name w:val="table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
    <w:name w:val="样式 宋体 五号 两端对齐 行距: 单倍行距"/>
    <w:basedOn w:val="1"/>
    <w:qFormat/>
    <w:uiPriority w:val="0"/>
    <w:pPr>
      <w:adjustRightInd w:val="0"/>
      <w:textAlignment w:val="baseline"/>
    </w:pPr>
    <w:rPr>
      <w:rFonts w:ascii="宋体" w:hAnsi="宋体" w:eastAsia="宋体" w:cs="Times New Roman"/>
      <w:kern w:val="0"/>
      <w:szCs w:val="20"/>
    </w:rPr>
  </w:style>
  <w:style w:type="paragraph" w:customStyle="1" w:styleId="250">
    <w:name w:val="正文4"/>
    <w:basedOn w:val="1"/>
    <w:qFormat/>
    <w:uiPriority w:val="0"/>
    <w:pPr>
      <w:tabs>
        <w:tab w:val="left" w:pos="1275"/>
      </w:tabs>
      <w:spacing w:before="60" w:after="60" w:line="360" w:lineRule="auto"/>
      <w:ind w:left="820" w:leftChars="400" w:hanging="705"/>
    </w:pPr>
    <w:rPr>
      <w:rFonts w:ascii="Times New Roman" w:hAnsi="Times New Roman" w:eastAsia="宋体" w:cs="Times New Roman"/>
      <w:sz w:val="24"/>
      <w:szCs w:val="20"/>
    </w:rPr>
  </w:style>
  <w:style w:type="paragraph" w:customStyle="1" w:styleId="251">
    <w:name w:val="项目"/>
    <w:basedOn w:val="1"/>
    <w:qFormat/>
    <w:uiPriority w:val="0"/>
    <w:pPr>
      <w:tabs>
        <w:tab w:val="left" w:pos="1280"/>
      </w:tabs>
      <w:spacing w:before="120" w:after="120" w:line="360" w:lineRule="auto"/>
      <w:ind w:left="-7" w:firstLine="567"/>
      <w:jc w:val="left"/>
      <w:textAlignment w:val="baseline"/>
    </w:pPr>
    <w:rPr>
      <w:rFonts w:ascii="宋体" w:hAnsi="Times New Roman" w:eastAsia="宋体" w:cs="Times New Roman"/>
      <w:kern w:val="0"/>
      <w:sz w:val="24"/>
      <w:szCs w:val="20"/>
    </w:rPr>
  </w:style>
  <w:style w:type="paragraph" w:customStyle="1" w:styleId="252">
    <w:name w:val="文本1"/>
    <w:basedOn w:val="1"/>
    <w:qFormat/>
    <w:uiPriority w:val="0"/>
    <w:pPr>
      <w:adjustRightInd w:val="0"/>
      <w:spacing w:line="312" w:lineRule="atLeast"/>
      <w:jc w:val="center"/>
      <w:textAlignment w:val="baseline"/>
    </w:pPr>
    <w:rPr>
      <w:rFonts w:ascii="Times New Roman" w:hAnsi="Times New Roman" w:eastAsia="宋体" w:cs="Times New Roman"/>
      <w:kern w:val="0"/>
      <w:sz w:val="18"/>
      <w:szCs w:val="20"/>
    </w:rPr>
  </w:style>
  <w:style w:type="paragraph" w:customStyle="1" w:styleId="253">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hAnsi="Times New Roman" w:eastAsia="楷体_GB2312" w:cs="Times New Roman"/>
      <w:kern w:val="0"/>
      <w:szCs w:val="20"/>
    </w:rPr>
  </w:style>
  <w:style w:type="paragraph" w:customStyle="1" w:styleId="254">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55">
    <w:name w:val="Item Step"/>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256">
    <w:name w:val="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57">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58">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0"/>
    </w:rPr>
  </w:style>
  <w:style w:type="paragraph" w:customStyle="1" w:styleId="259">
    <w:name w:val="正文表格"/>
    <w:basedOn w:val="1"/>
    <w:qFormat/>
    <w:uiPriority w:val="0"/>
    <w:pPr>
      <w:adjustRightInd w:val="0"/>
      <w:spacing w:before="40" w:after="40"/>
    </w:pPr>
    <w:rPr>
      <w:rFonts w:ascii="Times New Roman" w:hAnsi="Times New Roman" w:eastAsia="宋体" w:cs="Times New Roman"/>
      <w:sz w:val="24"/>
      <w:szCs w:val="20"/>
    </w:rPr>
  </w:style>
  <w:style w:type="paragraph" w:customStyle="1" w:styleId="260">
    <w:name w:val="样式 行距: 1.5 倍行距1"/>
    <w:basedOn w:val="1"/>
    <w:qFormat/>
    <w:uiPriority w:val="0"/>
    <w:pPr>
      <w:snapToGrid w:val="0"/>
    </w:pPr>
    <w:rPr>
      <w:rFonts w:ascii="Times New Roman" w:hAnsi="Times New Roman" w:eastAsia="宋体" w:cs="Times New Roman"/>
      <w:szCs w:val="20"/>
    </w:rPr>
  </w:style>
  <w:style w:type="paragraph" w:customStyle="1" w:styleId="261">
    <w:name w:val="Char Char Char Char Char Char Char1"/>
    <w:basedOn w:val="17"/>
    <w:qFormat/>
    <w:uiPriority w:val="0"/>
    <w:rPr>
      <w:rFonts w:ascii="宋体" w:hAnsi="Tahoma"/>
    </w:rPr>
  </w:style>
  <w:style w:type="paragraph" w:customStyle="1" w:styleId="262">
    <w:name w:val="图片文字"/>
    <w:basedOn w:val="1"/>
    <w:qFormat/>
    <w:uiPriority w:val="0"/>
    <w:pPr>
      <w:spacing w:line="240" w:lineRule="atLeast"/>
      <w:jc w:val="center"/>
    </w:pPr>
    <w:rPr>
      <w:rFonts w:ascii="Times New Roman" w:hAnsi="Times New Roman" w:eastAsia="宋体" w:cs="Times New Roman"/>
      <w:szCs w:val="20"/>
    </w:rPr>
  </w:style>
  <w:style w:type="paragraph" w:customStyle="1" w:styleId="263">
    <w:name w:val="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4">
    <w:name w:val="Char2"/>
    <w:basedOn w:val="1"/>
    <w:qFormat/>
    <w:uiPriority w:val="0"/>
    <w:pPr>
      <w:spacing w:line="240" w:lineRule="atLeast"/>
      <w:ind w:left="420" w:firstLine="420"/>
    </w:pPr>
    <w:rPr>
      <w:rFonts w:ascii="Times New Roman" w:hAnsi="Times New Roman" w:eastAsia="宋体" w:cs="Times New Roman"/>
      <w:kern w:val="0"/>
      <w:szCs w:val="20"/>
    </w:rPr>
  </w:style>
  <w:style w:type="paragraph" w:customStyle="1" w:styleId="265">
    <w:name w:val="司法正文"/>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6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96240-DA1E-46B1-8E2B-D6135F76A2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14468</Words>
  <Characters>14821</Characters>
  <Lines>182</Lines>
  <Paragraphs>51</Paragraphs>
  <TotalTime>7</TotalTime>
  <ScaleCrop>false</ScaleCrop>
  <LinksUpToDate>false</LinksUpToDate>
  <CharactersWithSpaces>15865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2022-03-22T01:10:00Z</dcterms:created>
  <dc:creator>2y</dc:creator>
  <cp:lastModifiedBy>hold 初心</cp:lastModifiedBy>
  <dcterms:modified xsi:type="dcterms:W3CDTF">2022-06-10T09:30:30Z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D90EFDEDCD294DEAB041A069E42458C9</vt:lpwstr>
  </property>
</Properties>
</file>