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jc w:val="center"/>
        <w:outlineLvl w:val="0"/>
        <w:rPr>
          <w:rFonts w:ascii="方正小标宋简体" w:hAnsi="宋体" w:eastAsia="方正小标宋简体"/>
          <w:color w:val="auto"/>
          <w:sz w:val="44"/>
          <w:szCs w:val="44"/>
        </w:rPr>
      </w:pPr>
      <w:r>
        <w:rPr>
          <w:rFonts w:hint="eastAsia" w:ascii="方正小标宋简体" w:hAnsi="宋体" w:eastAsia="方正小标宋简体"/>
          <w:color w:val="auto"/>
          <w:sz w:val="44"/>
          <w:szCs w:val="44"/>
        </w:rPr>
        <w:t>重庆医科大学附属永川医院</w:t>
      </w:r>
    </w:p>
    <w:p>
      <w:pPr>
        <w:jc w:val="center"/>
        <w:outlineLvl w:val="0"/>
        <w:rPr>
          <w:rFonts w:ascii="方正小标宋简体" w:hAnsi="宋体" w:eastAsia="方正小标宋简体"/>
          <w:color w:val="auto"/>
          <w:sz w:val="44"/>
          <w:szCs w:val="44"/>
        </w:rPr>
      </w:pPr>
    </w:p>
    <w:p>
      <w:pPr>
        <w:jc w:val="center"/>
        <w:outlineLvl w:val="0"/>
        <w:rPr>
          <w:rFonts w:ascii="方正黑体_GBK" w:hAnsi="宋体" w:eastAsia="方正黑体_GBK" w:cs="Times New Roman"/>
          <w:color w:val="auto"/>
          <w:spacing w:val="80"/>
          <w:sz w:val="44"/>
          <w:szCs w:val="44"/>
        </w:rPr>
      </w:pPr>
    </w:p>
    <w:p>
      <w:pPr>
        <w:jc w:val="center"/>
        <w:outlineLvl w:val="0"/>
        <w:rPr>
          <w:rFonts w:ascii="方正黑体_GBK" w:hAnsi="宋体" w:eastAsia="方正黑体_GBK" w:cs="Times New Roman"/>
          <w:color w:val="auto"/>
          <w:spacing w:val="80"/>
          <w:sz w:val="44"/>
          <w:szCs w:val="44"/>
        </w:rPr>
      </w:pPr>
      <w:r>
        <w:rPr>
          <w:rFonts w:hint="eastAsia" w:ascii="方正黑体_GBK" w:hAnsi="宋体" w:eastAsia="方正黑体_GBK" w:cs="Times New Roman"/>
          <w:color w:val="auto"/>
          <w:spacing w:val="80"/>
          <w:sz w:val="44"/>
          <w:szCs w:val="44"/>
        </w:rPr>
        <w:t>比选文件</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default" w:ascii="方正小标宋_GBK" w:hAnsi="宋体" w:eastAsia="方正小标宋_GBK" w:cs="Times New Roman"/>
          <w:color w:val="auto"/>
          <w:sz w:val="28"/>
          <w:szCs w:val="28"/>
          <w:lang w:val="en-US" w:eastAsia="zh-CN"/>
        </w:rPr>
      </w:pPr>
      <w:r>
        <w:rPr>
          <w:rFonts w:hint="eastAsia" w:ascii="方正小标宋_GBK" w:hAnsi="宋体" w:eastAsia="方正小标宋_GBK" w:cs="Times New Roman"/>
          <w:color w:val="auto"/>
          <w:sz w:val="28"/>
          <w:szCs w:val="28"/>
        </w:rPr>
        <w:t>项目编号：</w:t>
      </w:r>
      <w:r>
        <w:rPr>
          <w:rFonts w:hint="eastAsia" w:ascii="方正小标宋_GBK" w:hAnsi="宋体" w:eastAsia="方正小标宋_GBK" w:cs="Times New Roman"/>
          <w:color w:val="auto"/>
          <w:sz w:val="28"/>
          <w:szCs w:val="28"/>
          <w:lang w:val="en-US" w:eastAsia="zh-CN"/>
        </w:rPr>
        <w:t>2023FW005</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项目名称：</w:t>
      </w:r>
      <w:r>
        <w:rPr>
          <w:rFonts w:hint="eastAsia" w:ascii="方正小标宋_GBK" w:hAnsi="宋体" w:eastAsia="方正小标宋_GBK" w:cs="Times New Roman"/>
          <w:color w:val="auto"/>
          <w:sz w:val="28"/>
          <w:szCs w:val="28"/>
          <w:lang w:eastAsia="zh-CN"/>
        </w:rPr>
        <w:t>防火隔墙及防火门改造服务</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 xml:space="preserve">      </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eastAsia"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60" w:lineRule="exact"/>
        <w:ind w:firstLine="1440" w:firstLineChars="400"/>
        <w:rPr>
          <w:rFonts w:ascii="宋体" w:hAnsi="宋体" w:eastAsia="宋体" w:cs="宋体"/>
          <w:color w:val="auto"/>
          <w:sz w:val="40"/>
          <w:szCs w:val="40"/>
        </w:rPr>
      </w:pPr>
      <w:r>
        <w:rPr>
          <w:rFonts w:hint="eastAsia" w:ascii="方正小标宋_GBK" w:eastAsia="方正小标宋_GBK"/>
          <w:color w:val="auto"/>
          <w:sz w:val="36"/>
        </w:rPr>
        <w:t>采购人</w:t>
      </w:r>
      <w:r>
        <w:rPr>
          <w:rFonts w:hint="eastAsia" w:ascii="方正小标宋_GBK" w:hAnsi="宋体" w:eastAsia="方正小标宋_GBK" w:cs="Times New Roman"/>
          <w:color w:val="auto"/>
          <w:sz w:val="28"/>
          <w:szCs w:val="28"/>
        </w:rPr>
        <w:t>：</w:t>
      </w:r>
      <w:r>
        <w:rPr>
          <w:rFonts w:hint="eastAsia" w:ascii="宋体" w:hAnsi="宋体" w:eastAsia="宋体" w:cs="宋体"/>
          <w:color w:val="auto"/>
          <w:sz w:val="36"/>
          <w:szCs w:val="36"/>
        </w:rPr>
        <w:t>重庆医科大学附属永川医院</w:t>
      </w:r>
    </w:p>
    <w:p>
      <w:pPr>
        <w:spacing w:line="420" w:lineRule="exact"/>
        <w:jc w:val="center"/>
        <w:outlineLvl w:val="0"/>
        <w:rPr>
          <w:rFonts w:ascii="仿宋" w:hAnsi="仿宋" w:eastAsia="仿宋" w:cs="仿宋"/>
          <w:color w:val="auto"/>
          <w:sz w:val="30"/>
          <w:szCs w:val="30"/>
        </w:rPr>
      </w:pPr>
    </w:p>
    <w:p>
      <w:pPr>
        <w:spacing w:line="420" w:lineRule="exact"/>
        <w:jc w:val="center"/>
        <w:outlineLvl w:val="0"/>
        <w:rPr>
          <w:rFonts w:ascii="方正黑体_GBK" w:hAnsi="Times New Roman" w:eastAsia="方正黑体_GBK" w:cs="Times New Roman"/>
          <w:color w:val="auto"/>
          <w:sz w:val="44"/>
          <w:szCs w:val="28"/>
        </w:rPr>
      </w:pPr>
      <w:r>
        <w:rPr>
          <w:rFonts w:hint="eastAsia" w:ascii="方正小标宋_GBK" w:hAnsi="宋体" w:eastAsia="方正小标宋_GBK" w:cs="Times New Roman"/>
          <w:color w:val="auto"/>
          <w:sz w:val="28"/>
          <w:szCs w:val="28"/>
        </w:rPr>
        <w:t>二〇二</w:t>
      </w:r>
      <w:r>
        <w:rPr>
          <w:rFonts w:hint="eastAsia" w:ascii="方正小标宋_GBK" w:hAnsi="宋体" w:eastAsia="方正小标宋_GBK" w:cs="Times New Roman"/>
          <w:color w:val="auto"/>
          <w:sz w:val="28"/>
          <w:szCs w:val="28"/>
          <w:lang w:val="en-US" w:eastAsia="zh-CN"/>
        </w:rPr>
        <w:t>三</w:t>
      </w:r>
      <w:r>
        <w:rPr>
          <w:rFonts w:hint="eastAsia" w:ascii="方正小标宋_GBK" w:hAnsi="宋体" w:eastAsia="方正小标宋_GBK" w:cs="Times New Roman"/>
          <w:color w:val="auto"/>
          <w:sz w:val="28"/>
          <w:szCs w:val="28"/>
        </w:rPr>
        <w:t>年</w:t>
      </w:r>
      <w:r>
        <w:rPr>
          <w:rFonts w:hint="eastAsia" w:ascii="方正小标宋_GBK" w:hAnsi="宋体" w:eastAsia="方正小标宋_GBK" w:cs="Times New Roman"/>
          <w:color w:val="auto"/>
          <w:sz w:val="28"/>
          <w:szCs w:val="28"/>
          <w:lang w:eastAsia="zh-CN"/>
        </w:rPr>
        <w:t>三</w:t>
      </w:r>
      <w:r>
        <w:rPr>
          <w:rFonts w:hint="eastAsia" w:ascii="方正小标宋_GBK" w:hAnsi="宋体" w:eastAsia="方正小标宋_GBK" w:cs="Times New Roman"/>
          <w:color w:val="auto"/>
          <w:sz w:val="28"/>
          <w:szCs w:val="28"/>
        </w:rPr>
        <w:t>月</w:t>
      </w: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80" w:lineRule="exact"/>
        <w:jc w:val="center"/>
        <w:outlineLvl w:val="0"/>
        <w:rPr>
          <w:rFonts w:hint="eastAsia" w:ascii="方正小标宋_GBK" w:hAnsi="Times New Roman" w:eastAsia="方正小标宋_GBK" w:cs="Times New Roman"/>
          <w:color w:val="auto"/>
          <w:sz w:val="44"/>
          <w:szCs w:val="28"/>
        </w:rPr>
      </w:pPr>
    </w:p>
    <w:p>
      <w:pPr>
        <w:spacing w:line="480" w:lineRule="exact"/>
        <w:jc w:val="center"/>
        <w:outlineLvl w:val="0"/>
        <w:rPr>
          <w:rFonts w:ascii="方正小标宋_GBK" w:hAnsi="Times New Roman" w:eastAsia="方正小标宋_GBK" w:cs="Times New Roman"/>
          <w:color w:val="auto"/>
          <w:sz w:val="44"/>
          <w:szCs w:val="28"/>
        </w:rPr>
      </w:pPr>
      <w:r>
        <w:rPr>
          <w:rFonts w:hint="eastAsia" w:ascii="方正小标宋_GBK" w:hAnsi="Times New Roman" w:eastAsia="方正小标宋_GBK" w:cs="Times New Roman"/>
          <w:color w:val="auto"/>
          <w:sz w:val="44"/>
          <w:szCs w:val="28"/>
        </w:rPr>
        <w:t xml:space="preserve">  目   录</w:t>
      </w:r>
    </w:p>
    <w:p>
      <w:pPr>
        <w:pStyle w:val="37"/>
        <w:tabs>
          <w:tab w:val="right" w:leader="dot" w:pos="9412"/>
        </w:tabs>
        <w:rPr>
          <w:color w:val="auto"/>
        </w:rPr>
      </w:pP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TOC \o "1-3" \h \z </w:instrText>
      </w:r>
      <w:r>
        <w:rPr>
          <w:rFonts w:hint="eastAsia" w:ascii="方正小标宋_GBK" w:hAnsi="宋体" w:eastAsia="方正小标宋_GBK"/>
          <w:color w:val="auto"/>
          <w:szCs w:val="21"/>
        </w:rPr>
        <w:fldChar w:fldCharType="separate"/>
      </w: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HYPERLINK \l _Toc25875 </w:instrText>
      </w:r>
      <w:r>
        <w:rPr>
          <w:rFonts w:hint="eastAsia" w:ascii="方正小标宋_GBK" w:hAnsi="宋体" w:eastAsia="方正小标宋_GBK"/>
          <w:color w:val="auto"/>
          <w:szCs w:val="21"/>
        </w:rPr>
        <w:fldChar w:fldCharType="separate"/>
      </w:r>
      <w:r>
        <w:rPr>
          <w:rFonts w:hint="eastAsia" w:ascii="微软雅黑" w:hAnsi="微软雅黑" w:eastAsia="微软雅黑" w:cs="微软雅黑"/>
          <w:bCs/>
          <w:color w:val="auto"/>
          <w:szCs w:val="36"/>
        </w:rPr>
        <w:t>第一篇  比选邀请书</w:t>
      </w:r>
      <w:r>
        <w:rPr>
          <w:color w:val="auto"/>
        </w:rPr>
        <w:tab/>
      </w:r>
      <w:r>
        <w:rPr>
          <w:color w:val="auto"/>
        </w:rPr>
        <w:fldChar w:fldCharType="begin"/>
      </w:r>
      <w:r>
        <w:rPr>
          <w:color w:val="auto"/>
        </w:rPr>
        <w:instrText xml:space="preserve"> PAGEREF _Toc25875 \h </w:instrText>
      </w:r>
      <w:r>
        <w:rPr>
          <w:color w:val="auto"/>
        </w:rPr>
        <w:fldChar w:fldCharType="separate"/>
      </w:r>
      <w:r>
        <w:rPr>
          <w:color w:val="auto"/>
        </w:rPr>
        <w:t>3</w:t>
      </w:r>
      <w:r>
        <w:rPr>
          <w:color w:val="auto"/>
        </w:rPr>
        <w:fldChar w:fldCharType="end"/>
      </w:r>
      <w:r>
        <w:rPr>
          <w:rFonts w:hint="eastAsia" w:ascii="方正小标宋_GBK" w:hAnsi="宋体" w:eastAsia="方正小标宋_GBK"/>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_Toc28443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一、比选内容</w:t>
      </w:r>
      <w:r>
        <w:rPr>
          <w:color w:val="auto"/>
        </w:rPr>
        <w:tab/>
      </w:r>
      <w:r>
        <w:rPr>
          <w:color w:val="auto"/>
        </w:rPr>
        <w:fldChar w:fldCharType="begin"/>
      </w:r>
      <w:r>
        <w:rPr>
          <w:color w:val="auto"/>
        </w:rPr>
        <w:instrText xml:space="preserve"> PAGEREF _Toc28443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_Toc6609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val="en-US" w:eastAsia="zh-CN"/>
        </w:rPr>
        <w:t>二、资金来源</w:t>
      </w:r>
      <w:r>
        <w:rPr>
          <w:color w:val="auto"/>
        </w:rPr>
        <w:tab/>
      </w:r>
      <w:r>
        <w:rPr>
          <w:color w:val="auto"/>
        </w:rPr>
        <w:fldChar w:fldCharType="begin"/>
      </w:r>
      <w:r>
        <w:rPr>
          <w:color w:val="auto"/>
        </w:rPr>
        <w:instrText xml:space="preserve"> PAGEREF _Toc6609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_Toc23857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三、供应商资格要求</w:t>
      </w:r>
      <w:r>
        <w:rPr>
          <w:color w:val="auto"/>
        </w:rPr>
        <w:tab/>
      </w:r>
      <w:r>
        <w:rPr>
          <w:color w:val="auto"/>
        </w:rPr>
        <w:fldChar w:fldCharType="begin"/>
      </w:r>
      <w:r>
        <w:rPr>
          <w:color w:val="auto"/>
        </w:rPr>
        <w:instrText xml:space="preserve"> PAGEREF _Toc23857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_Toc11958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四、比选有关说明</w:t>
      </w:r>
      <w:r>
        <w:rPr>
          <w:color w:val="auto"/>
        </w:rPr>
        <w:tab/>
      </w:r>
      <w:r>
        <w:rPr>
          <w:color w:val="auto"/>
        </w:rPr>
        <w:fldChar w:fldCharType="begin"/>
      </w:r>
      <w:r>
        <w:rPr>
          <w:color w:val="auto"/>
        </w:rPr>
        <w:instrText xml:space="preserve"> PAGEREF _Toc11958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_Toc29866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五、本项目无需购买比选文件</w:t>
      </w:r>
      <w:r>
        <w:rPr>
          <w:color w:val="auto"/>
        </w:rPr>
        <w:tab/>
      </w:r>
      <w:r>
        <w:rPr>
          <w:color w:val="auto"/>
        </w:rPr>
        <w:fldChar w:fldCharType="begin"/>
      </w:r>
      <w:r>
        <w:rPr>
          <w:color w:val="auto"/>
        </w:rPr>
        <w:instrText xml:space="preserve"> PAGEREF _Toc29866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_Toc2806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六、其它有关规定</w:t>
      </w:r>
      <w:r>
        <w:rPr>
          <w:color w:val="auto"/>
        </w:rPr>
        <w:tab/>
      </w:r>
      <w:r>
        <w:rPr>
          <w:color w:val="auto"/>
        </w:rPr>
        <w:fldChar w:fldCharType="begin"/>
      </w:r>
      <w:r>
        <w:rPr>
          <w:color w:val="auto"/>
        </w:rPr>
        <w:instrText xml:space="preserve"> PAGEREF _Toc2806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_Toc2183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七、防疫要求</w:t>
      </w:r>
      <w:r>
        <w:rPr>
          <w:color w:val="auto"/>
        </w:rPr>
        <w:tab/>
      </w:r>
      <w:r>
        <w:rPr>
          <w:color w:val="auto"/>
        </w:rPr>
        <w:fldChar w:fldCharType="begin"/>
      </w:r>
      <w:r>
        <w:rPr>
          <w:color w:val="auto"/>
        </w:rPr>
        <w:instrText xml:space="preserve"> PAGEREF _Toc2183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_Toc9130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八、联系方式</w:t>
      </w:r>
      <w:r>
        <w:rPr>
          <w:color w:val="auto"/>
        </w:rPr>
        <w:tab/>
      </w:r>
      <w:r>
        <w:rPr>
          <w:color w:val="auto"/>
        </w:rPr>
        <w:fldChar w:fldCharType="begin"/>
      </w:r>
      <w:r>
        <w:rPr>
          <w:color w:val="auto"/>
        </w:rPr>
        <w:instrText xml:space="preserve"> PAGEREF _Toc9130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_Toc22321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bCs/>
          <w:color w:val="auto"/>
          <w:szCs w:val="36"/>
        </w:rPr>
        <w:t>第二篇 供应商须知</w:t>
      </w:r>
      <w:r>
        <w:rPr>
          <w:color w:val="auto"/>
        </w:rPr>
        <w:tab/>
      </w:r>
      <w:r>
        <w:rPr>
          <w:color w:val="auto"/>
        </w:rPr>
        <w:fldChar w:fldCharType="begin"/>
      </w:r>
      <w:r>
        <w:rPr>
          <w:color w:val="auto"/>
        </w:rPr>
        <w:instrText xml:space="preserve"> PAGEREF _Toc22321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_Toc11386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一、比选费用</w:t>
      </w:r>
      <w:r>
        <w:rPr>
          <w:color w:val="auto"/>
        </w:rPr>
        <w:tab/>
      </w:r>
      <w:r>
        <w:rPr>
          <w:color w:val="auto"/>
        </w:rPr>
        <w:fldChar w:fldCharType="begin"/>
      </w:r>
      <w:r>
        <w:rPr>
          <w:color w:val="auto"/>
        </w:rPr>
        <w:instrText xml:space="preserve"> PAGEREF _Toc11386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_Toc8430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二、比选文件</w:t>
      </w:r>
      <w:r>
        <w:rPr>
          <w:color w:val="auto"/>
        </w:rPr>
        <w:tab/>
      </w:r>
      <w:r>
        <w:rPr>
          <w:color w:val="auto"/>
        </w:rPr>
        <w:fldChar w:fldCharType="begin"/>
      </w:r>
      <w:r>
        <w:rPr>
          <w:color w:val="auto"/>
        </w:rPr>
        <w:instrText xml:space="preserve"> PAGEREF _Toc8430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_Toc23254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三、比选要求</w:t>
      </w:r>
      <w:r>
        <w:rPr>
          <w:color w:val="auto"/>
        </w:rPr>
        <w:tab/>
      </w:r>
      <w:r>
        <w:rPr>
          <w:color w:val="auto"/>
        </w:rPr>
        <w:fldChar w:fldCharType="begin"/>
      </w:r>
      <w:r>
        <w:rPr>
          <w:color w:val="auto"/>
        </w:rPr>
        <w:instrText xml:space="preserve"> PAGEREF _Toc23254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_Toc19143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四、比选程序</w:t>
      </w:r>
      <w:r>
        <w:rPr>
          <w:color w:val="auto"/>
        </w:rPr>
        <w:tab/>
      </w:r>
      <w:r>
        <w:rPr>
          <w:color w:val="auto"/>
        </w:rPr>
        <w:fldChar w:fldCharType="begin"/>
      </w:r>
      <w:r>
        <w:rPr>
          <w:color w:val="auto"/>
        </w:rPr>
        <w:instrText xml:space="preserve"> PAGEREF _Toc19143 \h </w:instrText>
      </w:r>
      <w:r>
        <w:rPr>
          <w:color w:val="auto"/>
        </w:rPr>
        <w:fldChar w:fldCharType="separate"/>
      </w:r>
      <w:r>
        <w:rPr>
          <w:color w:val="auto"/>
        </w:rPr>
        <w:t>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_Toc14247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五、评审依据</w:t>
      </w:r>
      <w:r>
        <w:rPr>
          <w:color w:val="auto"/>
        </w:rPr>
        <w:tab/>
      </w:r>
      <w:r>
        <w:rPr>
          <w:color w:val="auto"/>
        </w:rPr>
        <w:fldChar w:fldCharType="begin"/>
      </w:r>
      <w:r>
        <w:rPr>
          <w:color w:val="auto"/>
        </w:rPr>
        <w:instrText xml:space="preserve"> PAGEREF _Toc14247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_Toc14816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六、成交原则</w:t>
      </w:r>
      <w:r>
        <w:rPr>
          <w:color w:val="auto"/>
        </w:rPr>
        <w:tab/>
      </w:r>
      <w:r>
        <w:rPr>
          <w:color w:val="auto"/>
        </w:rPr>
        <w:fldChar w:fldCharType="begin"/>
      </w:r>
      <w:r>
        <w:rPr>
          <w:color w:val="auto"/>
        </w:rPr>
        <w:instrText xml:space="preserve"> PAGEREF _Toc14816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_Toc7135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七、成交通知</w:t>
      </w:r>
      <w:r>
        <w:rPr>
          <w:color w:val="auto"/>
        </w:rPr>
        <w:tab/>
      </w:r>
      <w:r>
        <w:rPr>
          <w:color w:val="auto"/>
        </w:rPr>
        <w:fldChar w:fldCharType="begin"/>
      </w:r>
      <w:r>
        <w:rPr>
          <w:color w:val="auto"/>
        </w:rPr>
        <w:instrText xml:space="preserve"> PAGEREF _Toc7135 \h </w:instrText>
      </w:r>
      <w:r>
        <w:rPr>
          <w:color w:val="auto"/>
        </w:rPr>
        <w:fldChar w:fldCharType="separate"/>
      </w:r>
      <w:r>
        <w:rPr>
          <w:color w:val="auto"/>
        </w:rPr>
        <w:t>11</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_Toc12880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八、关于质疑和投诉</w:t>
      </w:r>
      <w:r>
        <w:rPr>
          <w:color w:val="auto"/>
        </w:rPr>
        <w:tab/>
      </w:r>
      <w:r>
        <w:rPr>
          <w:color w:val="auto"/>
        </w:rPr>
        <w:fldChar w:fldCharType="begin"/>
      </w:r>
      <w:r>
        <w:rPr>
          <w:color w:val="auto"/>
        </w:rPr>
        <w:instrText xml:space="preserve"> PAGEREF _Toc12880 \h </w:instrText>
      </w:r>
      <w:r>
        <w:rPr>
          <w:color w:val="auto"/>
        </w:rPr>
        <w:fldChar w:fldCharType="separate"/>
      </w:r>
      <w:r>
        <w:rPr>
          <w:color w:val="auto"/>
        </w:rPr>
        <w:t>12</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_Toc5728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九、签订合同</w:t>
      </w:r>
      <w:r>
        <w:rPr>
          <w:color w:val="auto"/>
        </w:rPr>
        <w:tab/>
      </w:r>
      <w:r>
        <w:rPr>
          <w:color w:val="auto"/>
        </w:rPr>
        <w:fldChar w:fldCharType="begin"/>
      </w:r>
      <w:r>
        <w:rPr>
          <w:color w:val="auto"/>
        </w:rPr>
        <w:instrText xml:space="preserve"> PAGEREF _Toc5728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_Toc7675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十、其他</w:t>
      </w:r>
      <w:r>
        <w:rPr>
          <w:color w:val="auto"/>
        </w:rPr>
        <w:tab/>
      </w:r>
      <w:r>
        <w:rPr>
          <w:color w:val="auto"/>
        </w:rPr>
        <w:fldChar w:fldCharType="begin"/>
      </w:r>
      <w:r>
        <w:rPr>
          <w:color w:val="auto"/>
        </w:rPr>
        <w:instrText xml:space="preserve"> PAGEREF _Toc7675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_Toc11770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第三篇  项目服务需求</w:t>
      </w:r>
      <w:r>
        <w:rPr>
          <w:color w:val="auto"/>
        </w:rPr>
        <w:tab/>
      </w:r>
      <w:r>
        <w:rPr>
          <w:color w:val="auto"/>
        </w:rPr>
        <w:fldChar w:fldCharType="begin"/>
      </w:r>
      <w:r>
        <w:rPr>
          <w:color w:val="auto"/>
        </w:rPr>
        <w:instrText xml:space="preserve"> PAGEREF _Toc11770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一、项目一览表</w:t>
      </w:r>
      <w:r>
        <w:rPr>
          <w:color w:val="auto"/>
        </w:rPr>
        <w:tab/>
      </w:r>
      <w:r>
        <w:rPr>
          <w:color w:val="auto"/>
        </w:rPr>
        <w:fldChar w:fldCharType="begin"/>
      </w:r>
      <w:r>
        <w:rPr>
          <w:color w:val="auto"/>
        </w:rPr>
        <w:instrText xml:space="preserve"> PAGEREF _Toc766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_Toc18590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二、服务要求</w:t>
      </w:r>
      <w:r>
        <w:rPr>
          <w:color w:val="auto"/>
        </w:rPr>
        <w:tab/>
      </w:r>
      <w:r>
        <w:rPr>
          <w:color w:val="auto"/>
        </w:rPr>
        <w:fldChar w:fldCharType="begin"/>
      </w:r>
      <w:r>
        <w:rPr>
          <w:color w:val="auto"/>
        </w:rPr>
        <w:instrText xml:space="preserve"> PAGEREF _Toc18590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_Toc28327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第四篇  项目商务需求</w:t>
      </w:r>
      <w:r>
        <w:rPr>
          <w:color w:val="auto"/>
        </w:rPr>
        <w:tab/>
      </w:r>
      <w:r>
        <w:rPr>
          <w:color w:val="auto"/>
        </w:rPr>
        <w:fldChar w:fldCharType="begin"/>
      </w:r>
      <w:r>
        <w:rPr>
          <w:color w:val="auto"/>
        </w:rPr>
        <w:instrText xml:space="preserve"> PAGEREF _Toc28327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_Toc2302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一、服务时间、地点及验收方式</w:t>
      </w:r>
      <w:r>
        <w:rPr>
          <w:color w:val="auto"/>
        </w:rPr>
        <w:tab/>
      </w:r>
      <w:r>
        <w:rPr>
          <w:color w:val="auto"/>
        </w:rPr>
        <w:fldChar w:fldCharType="begin"/>
      </w:r>
      <w:r>
        <w:rPr>
          <w:color w:val="auto"/>
        </w:rPr>
        <w:instrText xml:space="preserve"> PAGEREF _Toc2302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二、质量保证及售后服务</w:t>
      </w:r>
      <w:r>
        <w:rPr>
          <w:color w:val="auto"/>
        </w:rPr>
        <w:tab/>
      </w:r>
      <w:r>
        <w:rPr>
          <w:color w:val="auto"/>
        </w:rPr>
        <w:fldChar w:fldCharType="begin"/>
      </w:r>
      <w:r>
        <w:rPr>
          <w:color w:val="auto"/>
        </w:rPr>
        <w:instrText xml:space="preserve"> PAGEREF _Toc279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_Toc15905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w:t>
      </w:r>
      <w:r>
        <w:rPr>
          <w:rFonts w:hint="eastAsia" w:ascii="微软雅黑" w:hAnsi="微软雅黑" w:eastAsia="微软雅黑" w:cs="微软雅黑"/>
          <w:color w:val="auto"/>
          <w:szCs w:val="24"/>
          <w:lang w:eastAsia="zh-CN"/>
        </w:rPr>
        <w:t>报价要求及</w:t>
      </w:r>
      <w:r>
        <w:rPr>
          <w:rFonts w:hint="eastAsia" w:ascii="微软雅黑" w:hAnsi="微软雅黑" w:eastAsia="微软雅黑" w:cs="微软雅黑"/>
          <w:color w:val="auto"/>
          <w:szCs w:val="24"/>
        </w:rPr>
        <w:t>付款方式</w:t>
      </w:r>
      <w:r>
        <w:rPr>
          <w:color w:val="auto"/>
        </w:rPr>
        <w:tab/>
      </w:r>
      <w:r>
        <w:rPr>
          <w:color w:val="auto"/>
        </w:rPr>
        <w:fldChar w:fldCharType="begin"/>
      </w:r>
      <w:r>
        <w:rPr>
          <w:color w:val="auto"/>
        </w:rPr>
        <w:instrText xml:space="preserve"> PAGEREF _Toc15905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_Toc26361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w:t>
      </w:r>
      <w:r>
        <w:rPr>
          <w:rFonts w:hint="eastAsia" w:ascii="微软雅黑" w:hAnsi="微软雅黑" w:eastAsia="微软雅黑" w:cs="微软雅黑"/>
          <w:color w:val="auto"/>
          <w:szCs w:val="24"/>
          <w:lang w:eastAsia="zh-CN"/>
        </w:rPr>
        <w:t>验收方式</w:t>
      </w:r>
      <w:r>
        <w:rPr>
          <w:color w:val="auto"/>
        </w:rPr>
        <w:tab/>
      </w:r>
      <w:r>
        <w:rPr>
          <w:color w:val="auto"/>
        </w:rPr>
        <w:fldChar w:fldCharType="begin"/>
      </w:r>
      <w:r>
        <w:rPr>
          <w:color w:val="auto"/>
        </w:rPr>
        <w:instrText xml:space="preserve"> PAGEREF _Toc26361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_Toc7358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五</w:t>
      </w:r>
      <w:r>
        <w:rPr>
          <w:rFonts w:hint="eastAsia" w:ascii="微软雅黑" w:hAnsi="微软雅黑" w:eastAsia="微软雅黑" w:cs="微软雅黑"/>
          <w:color w:val="auto"/>
          <w:szCs w:val="24"/>
        </w:rPr>
        <w:t>、其他</w:t>
      </w:r>
      <w:r>
        <w:rPr>
          <w:color w:val="auto"/>
        </w:rPr>
        <w:tab/>
      </w:r>
      <w:r>
        <w:rPr>
          <w:color w:val="auto"/>
        </w:rPr>
        <w:fldChar w:fldCharType="begin"/>
      </w:r>
      <w:r>
        <w:rPr>
          <w:color w:val="auto"/>
        </w:rPr>
        <w:instrText xml:space="preserve"> PAGEREF _Toc7358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_Toc14840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第五篇  合同草案条款</w:t>
      </w:r>
      <w:r>
        <w:rPr>
          <w:color w:val="auto"/>
        </w:rPr>
        <w:tab/>
      </w:r>
      <w:r>
        <w:rPr>
          <w:color w:val="auto"/>
        </w:rPr>
        <w:fldChar w:fldCharType="begin"/>
      </w:r>
      <w:r>
        <w:rPr>
          <w:color w:val="auto"/>
        </w:rPr>
        <w:instrText xml:space="preserve"> PAGEREF _Toc14840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_Toc30815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一、定义</w:t>
      </w:r>
      <w:r>
        <w:rPr>
          <w:color w:val="auto"/>
        </w:rPr>
        <w:tab/>
      </w:r>
      <w:r>
        <w:rPr>
          <w:color w:val="auto"/>
        </w:rPr>
        <w:fldChar w:fldCharType="begin"/>
      </w:r>
      <w:r>
        <w:rPr>
          <w:color w:val="auto"/>
        </w:rPr>
        <w:instrText xml:space="preserve"> PAGEREF _Toc30815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_Toc17879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w:t>
      </w:r>
      <w:r>
        <w:rPr>
          <w:rFonts w:hint="eastAsia" w:ascii="微软雅黑" w:hAnsi="微软雅黑" w:eastAsia="微软雅黑" w:cs="微软雅黑"/>
          <w:color w:val="auto"/>
          <w:szCs w:val="24"/>
          <w:lang w:eastAsia="zh-CN"/>
        </w:rPr>
        <w:t>服务</w:t>
      </w:r>
      <w:r>
        <w:rPr>
          <w:rFonts w:hint="eastAsia" w:ascii="微软雅黑" w:hAnsi="微软雅黑" w:eastAsia="微软雅黑" w:cs="微软雅黑"/>
          <w:color w:val="auto"/>
          <w:szCs w:val="24"/>
        </w:rPr>
        <w:t>内容</w:t>
      </w:r>
      <w:r>
        <w:rPr>
          <w:color w:val="auto"/>
        </w:rPr>
        <w:tab/>
      </w:r>
      <w:r>
        <w:rPr>
          <w:color w:val="auto"/>
        </w:rPr>
        <w:fldChar w:fldCharType="begin"/>
      </w:r>
      <w:r>
        <w:rPr>
          <w:color w:val="auto"/>
        </w:rPr>
        <w:instrText xml:space="preserve"> PAGEREF _Toc17879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_Toc8853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三、合同价格</w:t>
      </w:r>
      <w:r>
        <w:rPr>
          <w:color w:val="auto"/>
        </w:rPr>
        <w:tab/>
      </w:r>
      <w:r>
        <w:rPr>
          <w:color w:val="auto"/>
        </w:rPr>
        <w:fldChar w:fldCharType="begin"/>
      </w:r>
      <w:r>
        <w:rPr>
          <w:color w:val="auto"/>
        </w:rPr>
        <w:instrText xml:space="preserve"> PAGEREF _Toc8853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_Toc24410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四、转包或分包</w:t>
      </w:r>
      <w:r>
        <w:rPr>
          <w:color w:val="auto"/>
        </w:rPr>
        <w:tab/>
      </w:r>
      <w:r>
        <w:rPr>
          <w:color w:val="auto"/>
        </w:rPr>
        <w:fldChar w:fldCharType="begin"/>
      </w:r>
      <w:r>
        <w:rPr>
          <w:color w:val="auto"/>
        </w:rPr>
        <w:instrText xml:space="preserve"> PAGEREF _Toc24410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_Toc2241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五、质量保证及售后服务</w:t>
      </w:r>
      <w:r>
        <w:rPr>
          <w:color w:val="auto"/>
        </w:rPr>
        <w:tab/>
      </w:r>
      <w:r>
        <w:rPr>
          <w:color w:val="auto"/>
        </w:rPr>
        <w:fldChar w:fldCharType="begin"/>
      </w:r>
      <w:r>
        <w:rPr>
          <w:color w:val="auto"/>
        </w:rPr>
        <w:instrText xml:space="preserve"> PAGEREF _Toc2241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_Toc9053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六、付款</w:t>
      </w:r>
      <w:r>
        <w:rPr>
          <w:color w:val="auto"/>
        </w:rPr>
        <w:tab/>
      </w:r>
      <w:r>
        <w:rPr>
          <w:color w:val="auto"/>
        </w:rPr>
        <w:fldChar w:fldCharType="begin"/>
      </w:r>
      <w:r>
        <w:rPr>
          <w:color w:val="auto"/>
        </w:rPr>
        <w:instrText xml:space="preserve"> PAGEREF _Toc9053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_Toc11586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七</w:t>
      </w:r>
      <w:r>
        <w:rPr>
          <w:rFonts w:hint="eastAsia" w:ascii="微软雅黑" w:hAnsi="微软雅黑" w:eastAsia="微软雅黑" w:cs="微软雅黑"/>
          <w:color w:val="auto"/>
          <w:szCs w:val="24"/>
        </w:rPr>
        <w:t>、合同争议的解决</w:t>
      </w:r>
      <w:r>
        <w:rPr>
          <w:color w:val="auto"/>
        </w:rPr>
        <w:tab/>
      </w:r>
      <w:r>
        <w:rPr>
          <w:color w:val="auto"/>
        </w:rPr>
        <w:fldChar w:fldCharType="begin"/>
      </w:r>
      <w:r>
        <w:rPr>
          <w:color w:val="auto"/>
        </w:rPr>
        <w:instrText xml:space="preserve"> PAGEREF _Toc11586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_Toc26580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八</w:t>
      </w:r>
      <w:r>
        <w:rPr>
          <w:rFonts w:hint="eastAsia" w:ascii="微软雅黑" w:hAnsi="微软雅黑" w:eastAsia="微软雅黑" w:cs="微软雅黑"/>
          <w:color w:val="auto"/>
          <w:szCs w:val="24"/>
        </w:rPr>
        <w:t>、违约责任</w:t>
      </w:r>
      <w:r>
        <w:rPr>
          <w:color w:val="auto"/>
        </w:rPr>
        <w:tab/>
      </w:r>
      <w:r>
        <w:rPr>
          <w:color w:val="auto"/>
        </w:rPr>
        <w:fldChar w:fldCharType="begin"/>
      </w:r>
      <w:r>
        <w:rPr>
          <w:color w:val="auto"/>
        </w:rPr>
        <w:instrText xml:space="preserve"> PAGEREF _Toc26580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_Toc16142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九</w:t>
      </w:r>
      <w:r>
        <w:rPr>
          <w:rFonts w:hint="eastAsia" w:ascii="微软雅黑" w:hAnsi="微软雅黑" w:eastAsia="微软雅黑" w:cs="微软雅黑"/>
          <w:color w:val="auto"/>
          <w:szCs w:val="24"/>
        </w:rPr>
        <w:t>、合同生效及其它</w:t>
      </w:r>
      <w:r>
        <w:rPr>
          <w:color w:val="auto"/>
        </w:rPr>
        <w:tab/>
      </w:r>
      <w:r>
        <w:rPr>
          <w:color w:val="auto"/>
        </w:rPr>
        <w:fldChar w:fldCharType="begin"/>
      </w:r>
      <w:r>
        <w:rPr>
          <w:color w:val="auto"/>
        </w:rPr>
        <w:instrText xml:space="preserve"> PAGEREF _Toc16142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_Toc13696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第六篇  响应文件格式要求</w:t>
      </w:r>
      <w:r>
        <w:rPr>
          <w:color w:val="auto"/>
        </w:rPr>
        <w:tab/>
      </w:r>
      <w:r>
        <w:rPr>
          <w:color w:val="auto"/>
        </w:rPr>
        <w:fldChar w:fldCharType="begin"/>
      </w:r>
      <w:r>
        <w:rPr>
          <w:color w:val="auto"/>
        </w:rPr>
        <w:instrText xml:space="preserve"> PAGEREF _Toc13696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_Toc27382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一、经济部分</w:t>
      </w:r>
      <w:r>
        <w:rPr>
          <w:color w:val="auto"/>
        </w:rPr>
        <w:tab/>
      </w:r>
      <w:r>
        <w:rPr>
          <w:color w:val="auto"/>
        </w:rPr>
        <w:fldChar w:fldCharType="begin"/>
      </w:r>
      <w:r>
        <w:rPr>
          <w:color w:val="auto"/>
        </w:rPr>
        <w:instrText xml:space="preserve"> PAGEREF _Toc27382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_Toc6305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二、服务部分</w:t>
      </w:r>
      <w:r>
        <w:rPr>
          <w:color w:val="auto"/>
        </w:rPr>
        <w:tab/>
      </w:r>
      <w:r>
        <w:rPr>
          <w:color w:val="auto"/>
        </w:rPr>
        <w:fldChar w:fldCharType="begin"/>
      </w:r>
      <w:r>
        <w:rPr>
          <w:color w:val="auto"/>
        </w:rPr>
        <w:instrText xml:space="preserve"> PAGEREF _Toc6305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_Toc7207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三、商务部分</w:t>
      </w:r>
      <w:r>
        <w:rPr>
          <w:color w:val="auto"/>
        </w:rPr>
        <w:tab/>
      </w:r>
      <w:r>
        <w:rPr>
          <w:color w:val="auto"/>
        </w:rPr>
        <w:fldChar w:fldCharType="begin"/>
      </w:r>
      <w:r>
        <w:rPr>
          <w:color w:val="auto"/>
        </w:rPr>
        <w:instrText xml:space="preserve"> PAGEREF _Toc7207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_Toc18417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四、资格条件及其他</w:t>
      </w:r>
      <w:r>
        <w:rPr>
          <w:color w:val="auto"/>
        </w:rPr>
        <w:tab/>
      </w:r>
      <w:r>
        <w:rPr>
          <w:color w:val="auto"/>
        </w:rPr>
        <w:fldChar w:fldCharType="begin"/>
      </w:r>
      <w:r>
        <w:rPr>
          <w:color w:val="auto"/>
        </w:rPr>
        <w:instrText xml:space="preserve"> PAGEREF _Toc18417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_Toc19884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五、其他应提供的资料</w:t>
      </w:r>
      <w:r>
        <w:rPr>
          <w:color w:val="auto"/>
        </w:rPr>
        <w:tab/>
      </w:r>
      <w:r>
        <w:rPr>
          <w:color w:val="auto"/>
        </w:rPr>
        <w:fldChar w:fldCharType="begin"/>
      </w:r>
      <w:r>
        <w:rPr>
          <w:color w:val="auto"/>
        </w:rPr>
        <w:instrText xml:space="preserve"> PAGEREF _Toc19884 \h </w:instrText>
      </w:r>
      <w:r>
        <w:rPr>
          <w:color w:val="auto"/>
        </w:rPr>
        <w:fldChar w:fldCharType="separate"/>
      </w:r>
      <w:r>
        <w:rPr>
          <w:color w:val="auto"/>
        </w:rPr>
        <w:t>20</w:t>
      </w:r>
      <w:r>
        <w:rPr>
          <w:color w:val="auto"/>
        </w:rPr>
        <w:fldChar w:fldCharType="end"/>
      </w:r>
      <w:r>
        <w:rPr>
          <w:rFonts w:hint="eastAsia" w:ascii="方正小标宋_GBK" w:hAnsi="宋体" w:eastAsia="方正小标宋_GBK" w:cs="Times New Roman"/>
          <w:color w:val="auto"/>
          <w:szCs w:val="21"/>
        </w:rPr>
        <w:fldChar w:fldCharType="end"/>
      </w:r>
    </w:p>
    <w:p>
      <w:pPr>
        <w:jc w:val="both"/>
        <w:rPr>
          <w:rFonts w:hint="eastAsia" w:ascii="方正仿宋_GBK" w:hAnsi="宋体" w:eastAsia="方正仿宋_GBK"/>
          <w:sz w:val="32"/>
          <w:szCs w:val="32"/>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_Toc23716 </w:instrText>
      </w:r>
      <w:r>
        <w:rPr>
          <w:rFonts w:hint="eastAsia" w:ascii="方正小标宋_GBK" w:hAnsi="宋体" w:eastAsia="方正小标宋_GBK" w:cs="Times New Roman"/>
          <w:color w:val="auto"/>
          <w:szCs w:val="21"/>
        </w:rPr>
        <w:fldChar w:fldCharType="separate"/>
      </w:r>
      <w:r>
        <w:rPr>
          <w:rFonts w:hint="eastAsia" w:ascii="方正仿宋_GBK" w:hAnsi="宋体" w:eastAsia="方正仿宋_GBK"/>
          <w:sz w:val="32"/>
          <w:szCs w:val="32"/>
        </w:rPr>
        <w:t>中小微企业声明函</w:t>
      </w:r>
    </w:p>
    <w:p>
      <w:pPr>
        <w:pStyle w:val="37"/>
        <w:tabs>
          <w:tab w:val="right" w:leader="dot" w:pos="9412"/>
        </w:tabs>
        <w:rPr>
          <w:color w:val="auto"/>
        </w:rPr>
      </w:pPr>
      <w:r>
        <w:rPr>
          <w:color w:val="auto"/>
        </w:rPr>
        <w:tab/>
      </w:r>
      <w:r>
        <w:rPr>
          <w:color w:val="auto"/>
        </w:rPr>
        <w:fldChar w:fldCharType="begin"/>
      </w:r>
      <w:r>
        <w:rPr>
          <w:color w:val="auto"/>
        </w:rPr>
        <w:instrText xml:space="preserve"> PAGEREF _Toc23716 \h </w:instrText>
      </w:r>
      <w:r>
        <w:rPr>
          <w:color w:val="auto"/>
        </w:rPr>
        <w:fldChar w:fldCharType="separate"/>
      </w:r>
      <w:r>
        <w:rPr>
          <w:color w:val="auto"/>
        </w:rPr>
        <w:t>39</w:t>
      </w:r>
      <w:r>
        <w:rPr>
          <w:color w:val="auto"/>
        </w:rPr>
        <w:fldChar w:fldCharType="end"/>
      </w:r>
      <w:r>
        <w:rPr>
          <w:rFonts w:hint="eastAsia" w:ascii="方正小标宋_GBK" w:hAnsi="宋体" w:eastAsia="方正小标宋_GBK" w:cs="Times New Roman"/>
          <w:color w:val="auto"/>
          <w:szCs w:val="21"/>
        </w:rPr>
        <w:fldChar w:fldCharType="end"/>
      </w:r>
    </w:p>
    <w:p>
      <w:pPr>
        <w:tabs>
          <w:tab w:val="right" w:leader="dot" w:pos="9402"/>
        </w:tabs>
        <w:spacing w:line="480" w:lineRule="exact"/>
        <w:ind w:left="420" w:leftChars="200"/>
        <w:rPr>
          <w:rFonts w:ascii="方正仿宋_GBK" w:hAnsi="Calibri" w:eastAsia="方正仿宋_GBK" w:cs="Times New Roman"/>
          <w:color w:val="auto"/>
          <w:sz w:val="18"/>
        </w:rPr>
        <w:sectPr>
          <w:headerReference r:id="rId5" w:type="first"/>
          <w:headerReference r:id="rId3" w:type="default"/>
          <w:footerReference r:id="rId6" w:type="default"/>
          <w:headerReference r:id="rId4" w:type="even"/>
          <w:pgSz w:w="11907" w:h="16840"/>
          <w:pgMar w:top="1134" w:right="1191" w:bottom="1134" w:left="1304" w:header="851" w:footer="992" w:gutter="0"/>
          <w:pgNumType w:start="0" w:chapStyle="1"/>
          <w:cols w:space="720" w:num="1"/>
          <w:titlePg/>
          <w:docGrid w:linePitch="381" w:charSpace="-5735"/>
        </w:sectPr>
      </w:pPr>
      <w:r>
        <w:rPr>
          <w:rFonts w:hint="eastAsia" w:ascii="方正小标宋_GBK" w:hAnsi="宋体" w:eastAsia="方正小标宋_GBK" w:cs="Times New Roman"/>
          <w:color w:val="auto"/>
          <w:szCs w:val="21"/>
        </w:rPr>
        <w:fldChar w:fldCharType="end"/>
      </w:r>
    </w:p>
    <w:p>
      <w:pPr>
        <w:pStyle w:val="2"/>
        <w:bidi w:val="0"/>
        <w:jc w:val="center"/>
        <w:rPr>
          <w:rFonts w:hint="eastAsia" w:ascii="微软雅黑" w:hAnsi="微软雅黑" w:eastAsia="微软雅黑" w:cs="微软雅黑"/>
          <w:b/>
          <w:color w:val="auto"/>
        </w:rPr>
      </w:pPr>
      <w:bookmarkStart w:id="0" w:name="_Toc25875"/>
      <w:bookmarkStart w:id="1" w:name="_Toc11641050"/>
      <w:bookmarkStart w:id="2" w:name="_Toc485108766"/>
      <w:bookmarkStart w:id="3" w:name="_Toc12789052"/>
      <w:r>
        <w:rPr>
          <w:rFonts w:hint="eastAsia" w:ascii="微软雅黑" w:hAnsi="微软雅黑" w:eastAsia="微软雅黑" w:cs="微软雅黑"/>
          <w:b/>
          <w:bCs/>
          <w:color w:val="auto"/>
          <w:sz w:val="36"/>
          <w:szCs w:val="36"/>
        </w:rPr>
        <w:t>第一篇  比选邀请书</w:t>
      </w:r>
      <w:bookmarkEnd w:id="0"/>
      <w:bookmarkEnd w:id="1"/>
      <w:bookmarkEnd w:id="2"/>
      <w:bookmarkEnd w:id="3"/>
    </w:p>
    <w:p>
      <w:pPr>
        <w:ind w:firstLine="480" w:firstLineChars="200"/>
        <w:jc w:val="left"/>
        <w:rPr>
          <w:rFonts w:ascii="Times New Roman" w:hAnsi="Times New Roman" w:eastAsia="宋体" w:cs="Times New Roman"/>
          <w:color w:val="auto"/>
          <w:sz w:val="28"/>
          <w:szCs w:val="20"/>
        </w:rPr>
      </w:pPr>
      <w:bookmarkStart w:id="4" w:name="_Toc317775178"/>
      <w:bookmarkStart w:id="5" w:name="_Toc373860293"/>
      <w:r>
        <w:rPr>
          <w:rFonts w:hint="eastAsia" w:ascii="方正仿宋_GBK" w:hAnsi="宋体" w:eastAsia="方正仿宋_GBK" w:cs="Times New Roman"/>
          <w:color w:val="auto"/>
          <w:sz w:val="24"/>
          <w:szCs w:val="24"/>
        </w:rPr>
        <w:t>重庆医科大学附属永川医院对</w:t>
      </w:r>
      <w:r>
        <w:rPr>
          <w:rFonts w:hint="eastAsia" w:ascii="方正仿宋_GBK" w:hAnsi="宋体" w:eastAsia="方正仿宋_GBK" w:cs="Times New Roman"/>
          <w:color w:val="auto"/>
          <w:sz w:val="24"/>
          <w:szCs w:val="24"/>
          <w:lang w:eastAsia="zh-CN"/>
        </w:rPr>
        <w:t>防火隔墙及防火门改造服务</w:t>
      </w:r>
      <w:r>
        <w:rPr>
          <w:rFonts w:hint="eastAsia" w:ascii="方正仿宋_GBK" w:hAnsi="宋体" w:eastAsia="方正仿宋_GBK" w:cs="Times New Roman"/>
          <w:color w:val="auto"/>
          <w:sz w:val="24"/>
          <w:szCs w:val="24"/>
        </w:rPr>
        <w:t>进行院内比选采购。欢迎有资格、有实力的潜在供应商参加。</w:t>
      </w:r>
    </w:p>
    <w:p>
      <w:pPr>
        <w:pStyle w:val="3"/>
        <w:spacing w:line="240" w:lineRule="auto"/>
        <w:rPr>
          <w:rFonts w:hint="eastAsia" w:ascii="微软雅黑" w:hAnsi="微软雅黑" w:eastAsia="微软雅黑" w:cs="微软雅黑"/>
          <w:color w:val="auto"/>
          <w:sz w:val="24"/>
          <w:szCs w:val="24"/>
        </w:rPr>
      </w:pPr>
      <w:bookmarkStart w:id="6" w:name="_Toc28443"/>
      <w:bookmarkStart w:id="7" w:name="_Toc485108767"/>
      <w:bookmarkStart w:id="8" w:name="_Toc317775175"/>
      <w:bookmarkStart w:id="9" w:name="_Toc313893526"/>
      <w:r>
        <w:rPr>
          <w:rFonts w:hint="eastAsia" w:ascii="微软雅黑" w:hAnsi="微软雅黑" w:eastAsia="微软雅黑" w:cs="微软雅黑"/>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096"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661"/>
        <w:gridCol w:w="2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项目名称</w:t>
            </w:r>
          </w:p>
        </w:tc>
        <w:tc>
          <w:tcPr>
            <w:tcW w:w="2661" w:type="dxa"/>
          </w:tcPr>
          <w:p>
            <w:pPr>
              <w:spacing w:line="400" w:lineRule="exact"/>
              <w:ind w:left="720" w:hanging="720" w:hangingChars="300"/>
              <w:rPr>
                <w:rFonts w:ascii="方正仿宋_GBK" w:hAnsi="宋体" w:eastAsia="方正仿宋_GBK"/>
                <w:color w:val="auto"/>
                <w:sz w:val="24"/>
                <w:szCs w:val="24"/>
              </w:rPr>
            </w:pPr>
            <w:r>
              <w:rPr>
                <w:rFonts w:hint="eastAsia" w:ascii="方正仿宋_GBK" w:hAnsi="宋体" w:eastAsia="方正仿宋_GBK"/>
                <w:color w:val="auto"/>
                <w:sz w:val="24"/>
                <w:szCs w:val="24"/>
              </w:rPr>
              <w:t>成交供应商数量（名）</w:t>
            </w:r>
          </w:p>
        </w:tc>
        <w:tc>
          <w:tcPr>
            <w:tcW w:w="2020" w:type="dxa"/>
            <w:vAlign w:val="center"/>
          </w:tcPr>
          <w:p>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rPr>
                <w:rFonts w:hint="default" w:ascii="方正仿宋_GBK" w:hAnsi="宋体" w:eastAsia="方正仿宋_GBK"/>
                <w:color w:val="auto"/>
                <w:sz w:val="24"/>
                <w:szCs w:val="24"/>
                <w:lang w:val="en-US"/>
              </w:rPr>
            </w:pPr>
            <w:r>
              <w:rPr>
                <w:rFonts w:hint="eastAsia" w:ascii="方正小标宋_GBK" w:hAnsi="宋体" w:eastAsia="方正小标宋_GBK" w:cs="Times New Roman"/>
                <w:color w:val="auto"/>
                <w:sz w:val="24"/>
                <w:szCs w:val="24"/>
                <w:lang w:val="en-US" w:eastAsia="zh-CN"/>
              </w:rPr>
              <w:t>防火隔墙及防火门改造服务</w:t>
            </w:r>
          </w:p>
        </w:tc>
        <w:tc>
          <w:tcPr>
            <w:tcW w:w="2661" w:type="dxa"/>
            <w:vAlign w:val="center"/>
          </w:tcPr>
          <w:p>
            <w:pPr>
              <w:spacing w:line="400" w:lineRule="exact"/>
              <w:ind w:firstLine="480" w:firstLineChars="200"/>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1</w:t>
            </w:r>
          </w:p>
        </w:tc>
        <w:tc>
          <w:tcPr>
            <w:tcW w:w="2020" w:type="dxa"/>
            <w:vAlign w:val="center"/>
          </w:tcPr>
          <w:p>
            <w:pPr>
              <w:spacing w:line="400" w:lineRule="exact"/>
              <w:ind w:firstLine="480" w:firstLineChars="200"/>
              <w:rPr>
                <w:rFonts w:hint="eastAsia" w:ascii="方正仿宋_GBK" w:hAnsi="宋体" w:eastAsia="方正仿宋_GBK"/>
                <w:color w:val="auto"/>
                <w:sz w:val="24"/>
                <w:szCs w:val="24"/>
                <w:lang w:val="en-US" w:eastAsia="zh-CN"/>
              </w:rPr>
            </w:pPr>
          </w:p>
        </w:tc>
      </w:tr>
    </w:tbl>
    <w:p>
      <w:pPr>
        <w:keepNext/>
        <w:keepLines/>
        <w:outlineLvl w:val="2"/>
        <w:rPr>
          <w:rFonts w:ascii="方正仿宋_GBK" w:hAnsi="Times New Roman" w:eastAsia="方正仿宋_GBK" w:cs="Times New Roman"/>
          <w:b/>
          <w:color w:val="auto"/>
          <w:sz w:val="24"/>
          <w:szCs w:val="24"/>
        </w:rPr>
      </w:pPr>
      <w:bookmarkStart w:id="10" w:name="_Toc485108768"/>
      <w:bookmarkStart w:id="11" w:name="_Toc6609"/>
      <w:r>
        <w:rPr>
          <w:rStyle w:val="69"/>
          <w:rFonts w:hint="eastAsia" w:ascii="微软雅黑" w:hAnsi="微软雅黑" w:eastAsia="微软雅黑" w:cs="微软雅黑"/>
          <w:color w:val="auto"/>
          <w:sz w:val="24"/>
          <w:szCs w:val="24"/>
          <w:lang w:val="en-US" w:eastAsia="zh-CN"/>
        </w:rPr>
        <w:t>二、资金来源</w:t>
      </w:r>
      <w:bookmarkEnd w:id="10"/>
      <w:bookmarkEnd w:id="11"/>
      <w:r>
        <w:rPr>
          <w:rFonts w:hint="eastAsia"/>
          <w:color w:val="auto"/>
        </w:rPr>
        <w:t>：</w:t>
      </w:r>
      <w:bookmarkStart w:id="12" w:name="_Toc31105"/>
      <w:bookmarkStart w:id="13" w:name="_Toc3816"/>
      <w:r>
        <w:rPr>
          <w:rFonts w:hint="eastAsia" w:ascii="方正仿宋_GBK" w:hAnsi="宋体" w:eastAsia="方正仿宋_GBK" w:cs="Times New Roman"/>
          <w:color w:val="auto"/>
          <w:sz w:val="24"/>
          <w:szCs w:val="24"/>
        </w:rPr>
        <w:t>医院自筹</w:t>
      </w:r>
      <w:bookmarkEnd w:id="12"/>
      <w:bookmarkEnd w:id="13"/>
    </w:p>
    <w:p>
      <w:pPr>
        <w:pStyle w:val="3"/>
        <w:spacing w:line="240" w:lineRule="auto"/>
        <w:rPr>
          <w:rStyle w:val="69"/>
          <w:rFonts w:hint="eastAsia" w:ascii="微软雅黑" w:hAnsi="微软雅黑" w:eastAsia="微软雅黑" w:cs="微软雅黑"/>
          <w:b/>
          <w:color w:val="auto"/>
          <w:sz w:val="24"/>
          <w:szCs w:val="24"/>
        </w:rPr>
      </w:pPr>
      <w:bookmarkStart w:id="14" w:name="_Toc485108769"/>
      <w:bookmarkStart w:id="15" w:name="_Toc23857"/>
      <w:r>
        <w:rPr>
          <w:rFonts w:hint="eastAsia" w:ascii="微软雅黑" w:hAnsi="微软雅黑" w:eastAsia="微软雅黑" w:cs="微软雅黑"/>
          <w:color w:val="auto"/>
          <w:sz w:val="24"/>
          <w:szCs w:val="24"/>
        </w:rPr>
        <w:t>三、</w:t>
      </w:r>
      <w:bookmarkEnd w:id="14"/>
      <w:r>
        <w:rPr>
          <w:rFonts w:hint="eastAsia" w:ascii="微软雅黑" w:hAnsi="微软雅黑" w:eastAsia="微软雅黑" w:cs="微软雅黑"/>
          <w:color w:val="auto"/>
          <w:sz w:val="24"/>
          <w:szCs w:val="24"/>
        </w:rPr>
        <w:t>供应商资格要求</w:t>
      </w:r>
      <w:bookmarkEnd w:id="15"/>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成交供应商是指向采购人提供</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w:t>
      </w:r>
      <w:r>
        <w:rPr>
          <w:rFonts w:hint="eastAsia" w:ascii="方正仿宋_GBK" w:hAnsi="宋体" w:eastAsia="方正仿宋_GBK"/>
          <w:color w:val="auto"/>
          <w:sz w:val="24"/>
          <w:szCs w:val="24"/>
        </w:rPr>
        <w:t>基本</w:t>
      </w:r>
      <w:r>
        <w:rPr>
          <w:rFonts w:hint="eastAsia" w:ascii="方正仿宋_GBK" w:hAnsi="宋体" w:eastAsia="方正仿宋_GBK" w:cs="Times New Roman"/>
          <w:color w:val="auto"/>
          <w:sz w:val="24"/>
          <w:szCs w:val="24"/>
        </w:rPr>
        <w:t>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1.具有独立承担民事责任的能力；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2.具有良好的商业信誉和健全的财务会计制度；</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3.具有履行合同所必需的设备和专业技术能力；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4.有依法缴纳税收和社会保障资金的良好记录；</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5.参加政府采购活动前三年内，在经营活动中没有重大违法记录；</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6.法律、行政法规规定的其他条件。</w:t>
      </w:r>
    </w:p>
    <w:p>
      <w:pPr>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（二）特定资格条件</w:t>
      </w:r>
    </w:p>
    <w:bookmarkEnd w:id="4"/>
    <w:bookmarkEnd w:id="5"/>
    <w:p>
      <w:pPr>
        <w:pStyle w:val="267"/>
        <w:spacing w:line="560" w:lineRule="exact"/>
        <w:ind w:firstLine="480" w:firstLineChars="200"/>
        <w:rPr>
          <w:rFonts w:hint="eastAsia" w:ascii="方正仿宋_GBK" w:hAnsi="宋体" w:eastAsia="方正仿宋_GBK" w:cs="Times New Roman"/>
          <w:color w:val="auto"/>
          <w:kern w:val="2"/>
          <w:sz w:val="24"/>
          <w:szCs w:val="24"/>
          <w:lang w:val="en-US" w:eastAsia="zh-CN" w:bidi="ar-SA"/>
        </w:rPr>
      </w:pPr>
      <w:bookmarkStart w:id="16" w:name="_Toc11958"/>
      <w:bookmarkStart w:id="17" w:name="_Toc6"/>
      <w:bookmarkStart w:id="18" w:name="_Toc102227313"/>
      <w:bookmarkStart w:id="19" w:name="_Toc485108774"/>
      <w:r>
        <w:rPr>
          <w:rFonts w:hint="eastAsia" w:ascii="方正仿宋_GBK" w:hAnsi="宋体" w:eastAsia="方正仿宋_GBK" w:cs="Times New Roman"/>
          <w:color w:val="auto"/>
          <w:kern w:val="2"/>
          <w:sz w:val="24"/>
          <w:szCs w:val="24"/>
          <w:lang w:val="en-US" w:eastAsia="zh-CN" w:bidi="ar-SA"/>
        </w:rPr>
        <w:t>有效的三证合一营业执照。具备建设行政主管部门颁发的消防设施工程专业承包二级以上资质（须提供有效的资质证书复印件并加盖公章）。</w:t>
      </w:r>
    </w:p>
    <w:p>
      <w:pPr>
        <w:pStyle w:val="3"/>
        <w:spacing w:line="240" w:lineRule="auto"/>
        <w:rPr>
          <w:color w:val="auto"/>
          <w:sz w:val="24"/>
          <w:szCs w:val="24"/>
        </w:rPr>
      </w:pPr>
      <w:r>
        <w:rPr>
          <w:rFonts w:hint="eastAsia" w:ascii="微软雅黑" w:hAnsi="微软雅黑" w:eastAsia="微软雅黑" w:cs="微软雅黑"/>
          <w:color w:val="auto"/>
          <w:sz w:val="24"/>
          <w:szCs w:val="24"/>
        </w:rPr>
        <w:t>四、比选有关说明</w:t>
      </w:r>
      <w:bookmarkEnd w:id="16"/>
      <w:bookmarkEnd w:id="17"/>
      <w:r>
        <w:rPr>
          <w:color w:val="auto"/>
          <w:sz w:val="24"/>
          <w:szCs w:val="24"/>
        </w:rPr>
        <w:tab/>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（一）凡有意参加比选的供应商，请在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官网下载本项目比选文件以及图纸、澄清等比选前公布的所有项目资料，无论供应商下载与否，均视为已知晓所有比选实质性要求内容。</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（二）比选公告期限：自采购公告发布之日（</w:t>
      </w:r>
      <w:r>
        <w:rPr>
          <w:rFonts w:hint="eastAsia" w:ascii="方正仿宋_GBK" w:hAnsi="宋体" w:eastAsia="方正仿宋_GBK" w:cs="Times New Roman"/>
          <w:color w:val="auto"/>
          <w:sz w:val="24"/>
          <w:szCs w:val="24"/>
          <w:lang w:eastAsia="zh-CN"/>
        </w:rPr>
        <w:t>2023</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20</w:t>
      </w:r>
      <w:r>
        <w:rPr>
          <w:rFonts w:hint="eastAsia" w:ascii="方正仿宋_GBK" w:hAnsi="宋体" w:eastAsia="方正仿宋_GBK" w:cs="Times New Roman"/>
          <w:color w:val="auto"/>
          <w:sz w:val="24"/>
          <w:szCs w:val="24"/>
        </w:rPr>
        <w:t>日）起三个工作日。</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如响应供应商不满足三家，将进行第二次挂网。</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）凡有意参加的供应商，请于2023年</w:t>
      </w:r>
      <w:r>
        <w:rPr>
          <w:rFonts w:hint="eastAsia" w:ascii="方正仿宋_GBK" w:hAnsi="宋体" w:eastAsia="方正仿宋_GBK"/>
          <w:color w:val="auto"/>
          <w:sz w:val="24"/>
          <w:szCs w:val="24"/>
          <w:lang w:val="en-US" w:eastAsia="zh-CN"/>
        </w:rPr>
        <w:t>3</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20</w:t>
      </w:r>
      <w:r>
        <w:rPr>
          <w:rFonts w:hint="eastAsia" w:ascii="方正仿宋_GBK" w:hAnsi="宋体" w:eastAsia="方正仿宋_GBK"/>
          <w:color w:val="auto"/>
          <w:sz w:val="24"/>
          <w:szCs w:val="24"/>
        </w:rPr>
        <w:t>日1</w:t>
      </w:r>
      <w:r>
        <w:rPr>
          <w:rFonts w:hint="eastAsia" w:ascii="方正仿宋_GBK" w:hAnsi="宋体" w:eastAsia="方正仿宋_GBK"/>
          <w:color w:val="auto"/>
          <w:sz w:val="24"/>
          <w:szCs w:val="24"/>
          <w:lang w:val="en-US" w:eastAsia="zh-CN"/>
        </w:rPr>
        <w:t>1</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0</w:t>
      </w:r>
      <w:r>
        <w:rPr>
          <w:rFonts w:hint="eastAsia" w:ascii="方正仿宋_GBK" w:hAnsi="宋体" w:eastAsia="方正仿宋_GBK"/>
          <w:color w:val="auto"/>
          <w:sz w:val="24"/>
          <w:szCs w:val="24"/>
        </w:rPr>
        <w:t>0时至2023年</w:t>
      </w:r>
      <w:r>
        <w:rPr>
          <w:rFonts w:hint="eastAsia" w:ascii="方正仿宋_GBK" w:hAnsi="宋体" w:eastAsia="方正仿宋_GBK"/>
          <w:color w:val="auto"/>
          <w:sz w:val="24"/>
          <w:szCs w:val="24"/>
          <w:lang w:val="en-US" w:eastAsia="zh-CN"/>
        </w:rPr>
        <w:t>3</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23</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11</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0</w:t>
      </w:r>
      <w:r>
        <w:rPr>
          <w:rFonts w:hint="eastAsia" w:ascii="方正仿宋_GBK" w:hAnsi="宋体" w:eastAsia="方正仿宋_GBK"/>
          <w:color w:val="auto"/>
          <w:sz w:val="24"/>
          <w:szCs w:val="24"/>
        </w:rPr>
        <w:t>0时（法定公休日、法定节假日除外）</w:t>
      </w:r>
      <w:r>
        <w:rPr>
          <w:rFonts w:hint="eastAsia" w:ascii="方正仿宋_GBK" w:hAnsi="宋体" w:eastAsia="方正仿宋_GBK"/>
          <w:b/>
          <w:bCs/>
          <w:color w:val="auto"/>
          <w:sz w:val="24"/>
          <w:szCs w:val="24"/>
          <w:u w:val="single"/>
          <w:lang w:eastAsia="zh-CN"/>
        </w:rPr>
        <w:t>现场递交</w:t>
      </w:r>
      <w:r>
        <w:rPr>
          <w:rFonts w:hint="eastAsia" w:ascii="方正仿宋_GBK" w:hAnsi="宋体" w:eastAsia="方正仿宋_GBK"/>
          <w:b w:val="0"/>
          <w:bCs w:val="0"/>
          <w:color w:val="auto"/>
          <w:sz w:val="24"/>
          <w:szCs w:val="24"/>
          <w:lang w:eastAsia="zh-CN"/>
        </w:rPr>
        <w:t>或</w:t>
      </w:r>
      <w:r>
        <w:rPr>
          <w:rFonts w:hint="eastAsia" w:ascii="方正仿宋_GBK" w:hAnsi="宋体" w:eastAsia="方正仿宋_GBK"/>
          <w:b/>
          <w:bCs/>
          <w:color w:val="auto"/>
          <w:sz w:val="24"/>
          <w:szCs w:val="24"/>
          <w:u w:val="single"/>
        </w:rPr>
        <w:t>顺丰邮寄纸质版</w:t>
      </w:r>
      <w:r>
        <w:rPr>
          <w:rFonts w:hint="eastAsia" w:ascii="方正仿宋_GBK" w:hAnsi="宋体" w:eastAsia="方正仿宋_GBK"/>
          <w:b/>
          <w:bCs/>
          <w:color w:val="auto"/>
          <w:sz w:val="24"/>
          <w:szCs w:val="24"/>
        </w:rPr>
        <w:t>资质文件报名。</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报名方式：</w:t>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t>请务必将参与</w:t>
      </w:r>
      <w:r>
        <w:rPr>
          <w:rFonts w:hint="eastAsia" w:ascii="方正仿宋_GBK" w:hAnsi="宋体" w:eastAsia="方正仿宋_GBK"/>
          <w:b/>
          <w:bCs/>
          <w:color w:val="auto"/>
          <w:sz w:val="24"/>
          <w:szCs w:val="24"/>
          <w:lang w:eastAsia="zh-CN"/>
        </w:rPr>
        <w:t>比选</w:t>
      </w:r>
      <w:r>
        <w:rPr>
          <w:rFonts w:hint="eastAsia" w:ascii="方正仿宋_GBK" w:hAnsi="宋体" w:eastAsia="方正仿宋_GBK"/>
          <w:b/>
          <w:bCs/>
          <w:color w:val="auto"/>
          <w:sz w:val="24"/>
          <w:szCs w:val="24"/>
        </w:rPr>
        <w:t>的采购项目名称及采购项目编号、供应商名称、联系人名称及联系方式、电子邮箱地址，供应商一般资质和特定资格要求等相关信息，盖鲜章后的清晰纸质版文件</w:t>
      </w:r>
      <w:r>
        <w:rPr>
          <w:rFonts w:hint="eastAsia" w:ascii="方正仿宋_GBK" w:hAnsi="宋体" w:eastAsia="方正仿宋_GBK"/>
          <w:b/>
          <w:bCs/>
          <w:color w:val="auto"/>
          <w:sz w:val="24"/>
          <w:szCs w:val="24"/>
          <w:lang w:eastAsia="zh-CN"/>
        </w:rPr>
        <w:t>现场递交或者</w:t>
      </w:r>
      <w:r>
        <w:rPr>
          <w:rFonts w:hint="eastAsia" w:ascii="方正仿宋_GBK" w:hAnsi="宋体" w:eastAsia="方正仿宋_GBK"/>
          <w:b/>
          <w:bCs/>
          <w:color w:val="auto"/>
          <w:sz w:val="24"/>
          <w:szCs w:val="24"/>
        </w:rPr>
        <w:t>通过</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rPr>
        <w:t>给采购办</w:t>
      </w:r>
      <w:r>
        <w:rPr>
          <w:rFonts w:hint="eastAsia" w:ascii="方正仿宋_GBK" w:hAnsi="宋体" w:eastAsia="方正仿宋_GBK"/>
          <w:b/>
          <w:bCs/>
          <w:color w:val="auto"/>
          <w:sz w:val="24"/>
          <w:szCs w:val="24"/>
          <w:lang w:eastAsia="zh-CN"/>
        </w:rPr>
        <w:t>潘</w:t>
      </w:r>
      <w:r>
        <w:rPr>
          <w:rFonts w:hint="eastAsia" w:ascii="方正仿宋_GBK" w:hAnsi="宋体" w:eastAsia="方正仿宋_GBK"/>
          <w:b/>
          <w:bCs/>
          <w:color w:val="auto"/>
          <w:sz w:val="24"/>
          <w:szCs w:val="24"/>
        </w:rPr>
        <w:t>老师收(收件地址:</w:t>
      </w:r>
      <w:r>
        <w:rPr>
          <w:rFonts w:hint="eastAsia" w:ascii="方正仿宋_GBK" w:hAnsi="宋体" w:eastAsia="方正仿宋_GBK"/>
          <w:b/>
          <w:bCs/>
          <w:color w:val="auto"/>
          <w:sz w:val="24"/>
          <w:szCs w:val="24"/>
          <w:u w:val="single"/>
        </w:rPr>
        <w:t>重庆市永川区萱花路439号采购办</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lang w:eastAsia="zh-CN"/>
        </w:rPr>
        <w:t>潘</w:t>
      </w:r>
      <w:r>
        <w:rPr>
          <w:rFonts w:hint="eastAsia" w:ascii="方正仿宋_GBK" w:hAnsi="宋体" w:eastAsia="方正仿宋_GBK"/>
          <w:b/>
          <w:bCs/>
          <w:color w:val="auto"/>
          <w:sz w:val="24"/>
          <w:szCs w:val="24"/>
        </w:rPr>
        <w:t>老师:023-85385105,请一定使用</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u w:val="none"/>
          <w:lang w:eastAsia="zh-CN"/>
        </w:rPr>
        <w:t>，拒收</w:t>
      </w:r>
      <w:r>
        <w:rPr>
          <w:rFonts w:hint="eastAsia" w:ascii="方正仿宋_GBK" w:hAnsi="宋体" w:eastAsia="方正仿宋_GBK"/>
          <w:b/>
          <w:bCs/>
          <w:color w:val="auto"/>
          <w:sz w:val="24"/>
          <w:szCs w:val="24"/>
          <w:u w:val="single"/>
          <w:lang w:eastAsia="zh-CN"/>
        </w:rPr>
        <w:t>到付</w:t>
      </w:r>
      <w:r>
        <w:rPr>
          <w:rFonts w:hint="eastAsia" w:ascii="方正仿宋_GBK" w:hAnsi="宋体" w:eastAsia="方正仿宋_GBK"/>
          <w:b/>
          <w:bCs/>
          <w:color w:val="auto"/>
          <w:sz w:val="24"/>
          <w:szCs w:val="24"/>
          <w:u w:val="none"/>
          <w:lang w:eastAsia="zh-CN"/>
        </w:rPr>
        <w:t>邮件</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cs="Times New Roman"/>
          <w:color w:val="auto"/>
          <w:sz w:val="24"/>
          <w:szCs w:val="24"/>
        </w:rPr>
        <w:t>报名的单位名称必须与响应人名称相同，只有按上述规定报名后，才具备响应资格</w:t>
      </w:r>
      <w:r>
        <w:rPr>
          <w:rFonts w:hint="eastAsia" w:ascii="方正仿宋_GBK" w:hAnsi="宋体" w:eastAsia="方正仿宋_GBK" w:cs="Times New Roman"/>
          <w:color w:val="auto"/>
          <w:sz w:val="28"/>
          <w:szCs w:val="28"/>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（四）供应商须满足以下二种要件，其响应文件才被接受：</w:t>
      </w:r>
    </w:p>
    <w:p>
      <w:pPr>
        <w:spacing w:line="400" w:lineRule="exact"/>
        <w:ind w:left="10" w:leftChars="5" w:firstLine="720" w:firstLineChars="3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、按时</w:t>
      </w:r>
      <w:r>
        <w:rPr>
          <w:rFonts w:hint="eastAsia" w:ascii="方正仿宋_GBK" w:hAnsi="宋体" w:eastAsia="方正仿宋_GBK"/>
          <w:color w:val="auto"/>
          <w:sz w:val="24"/>
          <w:szCs w:val="24"/>
          <w:lang w:eastAsia="zh-CN"/>
        </w:rPr>
        <w:t>递交纸质版报名资料</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采购办公室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38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、按时递交了响应文件</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综合楼四楼会议室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（五）比选地点：重庆医科大学附属永川医院综合楼</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楼会议室（地址：重庆市永川区萱花路439号）</w:t>
      </w:r>
    </w:p>
    <w:p>
      <w:pPr>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rPr>
        <w:t>（六）响应文件递交开始时间：2023年</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28</w:t>
      </w:r>
      <w:r>
        <w:rPr>
          <w:rFonts w:hint="eastAsia" w:ascii="方正仿宋_GBK" w:hAnsi="宋体" w:eastAsia="方正仿宋_GBK" w:cs="Times New Roman"/>
          <w:color w:val="auto"/>
          <w:sz w:val="24"/>
          <w:szCs w:val="24"/>
        </w:rPr>
        <w:t>日8：30时</w:t>
      </w:r>
      <w:r>
        <w:rPr>
          <w:rFonts w:hint="eastAsia" w:ascii="方正仿宋_GBK" w:hAnsi="宋体" w:eastAsia="方正仿宋_GBK" w:cs="Times New Roman"/>
          <w:color w:val="auto"/>
          <w:sz w:val="24"/>
          <w:szCs w:val="24"/>
          <w:lang w:eastAsia="zh-CN"/>
        </w:rPr>
        <w:t>。</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20" w:name="_Toc26538"/>
      <w:r>
        <w:rPr>
          <w:rFonts w:hint="eastAsia" w:ascii="方正仿宋_GBK" w:hAnsi="宋体" w:eastAsia="方正仿宋_GBK" w:cs="Times New Roman"/>
          <w:color w:val="auto"/>
          <w:sz w:val="24"/>
          <w:szCs w:val="24"/>
        </w:rPr>
        <w:t>（七）响应文件递交截止时间：</w:t>
      </w:r>
      <w:bookmarkEnd w:id="20"/>
      <w:r>
        <w:rPr>
          <w:rFonts w:hint="eastAsia" w:ascii="方正仿宋_GBK" w:hAnsi="宋体" w:eastAsia="方正仿宋_GBK" w:cs="Times New Roman"/>
          <w:color w:val="auto"/>
          <w:sz w:val="24"/>
          <w:szCs w:val="24"/>
        </w:rPr>
        <w:t>2023年</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28</w:t>
      </w:r>
      <w:r>
        <w:rPr>
          <w:rFonts w:hint="eastAsia" w:ascii="方正仿宋_GBK" w:hAnsi="宋体" w:eastAsia="方正仿宋_GBK" w:cs="Times New Roman"/>
          <w:color w:val="auto"/>
          <w:sz w:val="24"/>
          <w:szCs w:val="24"/>
        </w:rPr>
        <w:t>日9：00时</w:t>
      </w:r>
      <w:r>
        <w:rPr>
          <w:rFonts w:hint="eastAsia" w:ascii="方正仿宋_GBK" w:hAnsi="宋体" w:eastAsia="方正仿宋_GBK" w:cs="Times New Roman"/>
          <w:color w:val="auto"/>
          <w:sz w:val="24"/>
          <w:szCs w:val="24"/>
          <w:lang w:eastAsia="zh-CN"/>
        </w:rPr>
        <w:t>。</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21" w:name="_Toc7033"/>
      <w:r>
        <w:rPr>
          <w:rFonts w:hint="eastAsia" w:ascii="方正仿宋_GBK" w:hAnsi="宋体" w:eastAsia="方正仿宋_GBK" w:cs="Times New Roman"/>
          <w:color w:val="auto"/>
          <w:sz w:val="24"/>
          <w:szCs w:val="24"/>
        </w:rPr>
        <w:t>（八）比选开始时间：</w:t>
      </w:r>
      <w:bookmarkEnd w:id="21"/>
      <w:r>
        <w:rPr>
          <w:rFonts w:hint="eastAsia" w:ascii="方正仿宋_GBK" w:hAnsi="宋体" w:eastAsia="方正仿宋_GBK" w:cs="Times New Roman"/>
          <w:color w:val="auto"/>
          <w:sz w:val="24"/>
          <w:szCs w:val="24"/>
        </w:rPr>
        <w:t>2023年</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28</w:t>
      </w:r>
      <w:r>
        <w:rPr>
          <w:rFonts w:hint="eastAsia" w:ascii="方正仿宋_GBK" w:hAnsi="宋体" w:eastAsia="方正仿宋_GBK" w:cs="Times New Roman"/>
          <w:color w:val="auto"/>
          <w:sz w:val="24"/>
          <w:szCs w:val="24"/>
        </w:rPr>
        <w:t>日</w:t>
      </w: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：00时</w:t>
      </w:r>
      <w:r>
        <w:rPr>
          <w:rFonts w:hint="eastAsia" w:ascii="方正仿宋_GBK" w:hAnsi="宋体" w:eastAsia="方正仿宋_GBK" w:cs="Times New Roman"/>
          <w:color w:val="auto"/>
          <w:sz w:val="24"/>
          <w:szCs w:val="24"/>
          <w:lang w:eastAsia="zh-CN"/>
        </w:rPr>
        <w:t>。</w:t>
      </w:r>
    </w:p>
    <w:p>
      <w:pPr>
        <w:pStyle w:val="3"/>
        <w:bidi w:val="0"/>
        <w:rPr>
          <w:rFonts w:hint="eastAsia" w:ascii="微软雅黑" w:hAnsi="微软雅黑" w:eastAsia="微软雅黑" w:cs="微软雅黑"/>
          <w:color w:val="auto"/>
          <w:sz w:val="24"/>
          <w:szCs w:val="24"/>
          <w:lang w:val="en-US" w:eastAsia="zh-CN"/>
        </w:rPr>
      </w:pPr>
      <w:bookmarkStart w:id="22" w:name="_Toc29866"/>
      <w:r>
        <w:rPr>
          <w:rFonts w:hint="eastAsia" w:ascii="微软雅黑" w:hAnsi="微软雅黑" w:eastAsia="微软雅黑" w:cs="微软雅黑"/>
          <w:color w:val="auto"/>
          <w:sz w:val="24"/>
          <w:szCs w:val="24"/>
        </w:rPr>
        <w:t>五、本项目无需购买比选文件</w:t>
      </w:r>
      <w:bookmarkEnd w:id="22"/>
      <w:bookmarkStart w:id="23" w:name="_Toc373860294"/>
      <w:bookmarkStart w:id="24" w:name="_Toc54171062"/>
      <w:bookmarkStart w:id="25" w:name="_Toc54718176"/>
      <w:bookmarkStart w:id="181" w:name="_GoBack"/>
      <w:bookmarkEnd w:id="181"/>
    </w:p>
    <w:bookmarkEnd w:id="23"/>
    <w:bookmarkEnd w:id="24"/>
    <w:bookmarkEnd w:id="25"/>
    <w:p>
      <w:pPr>
        <w:pStyle w:val="3"/>
        <w:bidi w:val="0"/>
        <w:rPr>
          <w:rFonts w:hint="eastAsia" w:ascii="微软雅黑" w:hAnsi="微软雅黑" w:eastAsia="微软雅黑" w:cs="微软雅黑"/>
          <w:color w:val="auto"/>
          <w:sz w:val="24"/>
          <w:szCs w:val="24"/>
        </w:rPr>
      </w:pPr>
      <w:bookmarkStart w:id="26" w:name="_Toc1625"/>
      <w:bookmarkStart w:id="27" w:name="_Toc2806"/>
      <w:r>
        <w:rPr>
          <w:rFonts w:hint="eastAsia" w:ascii="微软雅黑" w:hAnsi="微软雅黑" w:eastAsia="微软雅黑" w:cs="微软雅黑"/>
          <w:color w:val="auto"/>
          <w:sz w:val="24"/>
          <w:szCs w:val="24"/>
        </w:rPr>
        <w:t>六、其它有关规定</w:t>
      </w:r>
      <w:bookmarkEnd w:id="26"/>
      <w:bookmarkEnd w:id="27"/>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（一）单位负责人为同一人或者存在直接控股、管理关系的不同供应商，</w:t>
      </w:r>
      <w:r>
        <w:rPr>
          <w:rFonts w:ascii="方正仿宋_GBK" w:hAnsi="宋体" w:eastAsia="方正仿宋_GBK" w:cs="Times New Roman"/>
          <w:color w:val="auto"/>
          <w:sz w:val="24"/>
          <w:szCs w:val="24"/>
        </w:rPr>
        <w:t>不得参加同一合同项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下的政府采购活动</w:t>
      </w:r>
      <w:r>
        <w:rPr>
          <w:rFonts w:hint="eastAsia" w:ascii="方正仿宋_GBK" w:hAnsi="宋体" w:eastAsia="方正仿宋_GBK" w:cs="Times New Roman"/>
          <w:color w:val="auto"/>
          <w:sz w:val="24"/>
          <w:szCs w:val="24"/>
        </w:rPr>
        <w:t>，否则均为无效比选。</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（二）为采购项目提供整体设计、规范编制或者项目管理、监理、检测等服务的供应商，不得再</w:t>
      </w:r>
      <w:r>
        <w:rPr>
          <w:rFonts w:ascii="方正仿宋_GBK" w:hAnsi="宋体" w:eastAsia="方正仿宋_GBK" w:cs="Times New Roman"/>
          <w:color w:val="auto"/>
          <w:sz w:val="24"/>
          <w:szCs w:val="24"/>
        </w:rPr>
        <w:t>参加</w:t>
      </w:r>
      <w:r>
        <w:rPr>
          <w:rFonts w:hint="eastAsia" w:ascii="方正仿宋_GBK" w:hAnsi="宋体" w:eastAsia="方正仿宋_GBK" w:cs="Times New Roman"/>
          <w:color w:val="auto"/>
          <w:sz w:val="24"/>
          <w:szCs w:val="24"/>
        </w:rPr>
        <w:t>该采购</w:t>
      </w:r>
      <w:r>
        <w:rPr>
          <w:rFonts w:ascii="方正仿宋_GBK" w:hAnsi="宋体" w:eastAsia="方正仿宋_GBK" w:cs="Times New Roman"/>
          <w:color w:val="auto"/>
          <w:sz w:val="24"/>
          <w:szCs w:val="24"/>
        </w:rPr>
        <w:t>项目的</w:t>
      </w:r>
      <w:r>
        <w:rPr>
          <w:rFonts w:hint="eastAsia" w:ascii="方正仿宋_GBK" w:hAnsi="宋体" w:eastAsia="方正仿宋_GBK" w:cs="Times New Roman"/>
          <w:color w:val="auto"/>
          <w:sz w:val="24"/>
          <w:szCs w:val="24"/>
        </w:rPr>
        <w:t>其他</w:t>
      </w:r>
      <w:r>
        <w:rPr>
          <w:rFonts w:ascii="方正仿宋_GBK" w:hAnsi="宋体" w:eastAsia="方正仿宋_GBK" w:cs="Times New Roman"/>
          <w:color w:val="auto"/>
          <w:sz w:val="24"/>
          <w:szCs w:val="24"/>
        </w:rPr>
        <w:t>采购活动</w:t>
      </w:r>
      <w:r>
        <w:rPr>
          <w:rFonts w:hint="eastAsia" w:ascii="方正仿宋_GBK" w:hAnsi="宋体" w:eastAsia="方正仿宋_GBK" w:cs="Times New Roman"/>
          <w:color w:val="auto"/>
          <w:sz w:val="24"/>
          <w:szCs w:val="24"/>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（三）同一合同项（分包）下为单一品目的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（四）同一合同项（分包）下的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，制造商参与比选的，不得再委托代理商参与比选。</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（五）本项目在响应文件提交截止时间前发布的比选文件及补遗文件（如果有）一律在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w:t>
      </w:r>
      <w:r>
        <w:rPr>
          <w:rFonts w:hint="eastAsia" w:ascii="方正仿宋_GBK" w:hAnsi="宋体" w:eastAsia="方正仿宋_GBK"/>
          <w:color w:val="auto"/>
          <w:sz w:val="24"/>
          <w:szCs w:val="24"/>
        </w:rPr>
        <w:t>未</w:t>
      </w:r>
      <w:r>
        <w:rPr>
          <w:rFonts w:hint="eastAsia" w:ascii="方正仿宋_GBK" w:hAnsi="宋体" w:eastAsia="方正仿宋_GBK"/>
          <w:color w:val="auto"/>
          <w:sz w:val="24"/>
          <w:szCs w:val="24"/>
          <w:lang w:val="en-US" w:eastAsia="zh-CN"/>
        </w:rPr>
        <w:t>按时</w:t>
      </w:r>
      <w:r>
        <w:rPr>
          <w:rFonts w:hint="eastAsia" w:ascii="方正仿宋_GBK" w:hAnsi="宋体" w:eastAsia="方正仿宋_GBK"/>
          <w:color w:val="auto"/>
          <w:sz w:val="24"/>
          <w:szCs w:val="24"/>
        </w:rPr>
        <w:t>报名的，其响应文件恕不接收，</w:t>
      </w:r>
      <w:r>
        <w:rPr>
          <w:rFonts w:hint="eastAsia" w:ascii="方正仿宋_GBK" w:hAnsi="宋体" w:eastAsia="方正仿宋_GBK" w:cs="Times New Roman"/>
          <w:color w:val="auto"/>
          <w:sz w:val="24"/>
          <w:szCs w:val="24"/>
        </w:rPr>
        <w:t>超过响应文件截止时间递交的响应文件，恕不接收。</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（八）本项目不接受联合体参与比选或不接受合同分包、转包。</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微软雅黑" w:hAnsi="微软雅黑" w:eastAsia="微软雅黑" w:cs="微软雅黑"/>
          <w:color w:val="auto"/>
          <w:sz w:val="24"/>
          <w:szCs w:val="24"/>
        </w:rPr>
      </w:pPr>
      <w:bookmarkStart w:id="28" w:name="_Toc31390"/>
      <w:bookmarkStart w:id="29" w:name="_Toc9130"/>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、联系方式</w:t>
      </w:r>
      <w:bookmarkEnd w:id="28"/>
      <w:bookmarkEnd w:id="29"/>
    </w:p>
    <w:bookmarkEnd w:id="18"/>
    <w:bookmarkEnd w:id="19"/>
    <w:p>
      <w:pPr>
        <w:ind w:firstLine="480" w:firstLineChars="200"/>
        <w:jc w:val="left"/>
        <w:rPr>
          <w:rFonts w:ascii="方正仿宋_GBK" w:hAnsi="宋体" w:eastAsia="方正仿宋_GBK" w:cs="Times New Roman"/>
          <w:color w:val="auto"/>
          <w:sz w:val="24"/>
          <w:szCs w:val="24"/>
        </w:rPr>
      </w:pPr>
      <w:bookmarkStart w:id="30" w:name="_Toc31093"/>
      <w:r>
        <w:rPr>
          <w:rFonts w:hint="eastAsia" w:ascii="方正仿宋_GBK" w:hAnsi="宋体" w:eastAsia="方正仿宋_GBK" w:cs="Times New Roman"/>
          <w:color w:val="auto"/>
          <w:sz w:val="24"/>
          <w:szCs w:val="24"/>
        </w:rPr>
        <w:t>采购人：重庆医科大学附属永川医院</w:t>
      </w:r>
    </w:p>
    <w:p>
      <w:pPr>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联系人：</w:t>
      </w:r>
      <w:r>
        <w:rPr>
          <w:rFonts w:hint="eastAsia" w:ascii="方正仿宋_GBK" w:hAnsi="宋体" w:eastAsia="方正仿宋_GBK" w:cs="Times New Roman"/>
          <w:color w:val="auto"/>
          <w:sz w:val="24"/>
          <w:szCs w:val="24"/>
          <w:lang w:val="en-US" w:eastAsia="zh-CN"/>
        </w:rPr>
        <w:t>潘</w:t>
      </w:r>
      <w:r>
        <w:rPr>
          <w:rFonts w:hint="eastAsia" w:ascii="方正仿宋_GBK" w:hAnsi="宋体" w:eastAsia="方正仿宋_GBK" w:cs="Times New Roman"/>
          <w:color w:val="auto"/>
          <w:sz w:val="24"/>
          <w:szCs w:val="24"/>
        </w:rPr>
        <w:t>老师</w:t>
      </w:r>
      <w:r>
        <w:rPr>
          <w:rFonts w:hint="eastAsia" w:ascii="方正仿宋_GBK" w:hAnsi="宋体" w:eastAsia="方正仿宋_GBK" w:cs="Times New Roman"/>
          <w:color w:val="auto"/>
          <w:sz w:val="24"/>
          <w:szCs w:val="24"/>
          <w:lang w:eastAsia="zh-CN"/>
        </w:rPr>
        <w:t>、邓老师</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电  话：（023）85385105  </w:t>
      </w:r>
    </w:p>
    <w:p>
      <w:pPr>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地  址： 重庆市永川区萱花路439号</w:t>
      </w:r>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bookmarkEnd w:id="30"/>
    <w:p>
      <w:pPr>
        <w:rPr>
          <w:rFonts w:hint="eastAsia"/>
          <w:color w:val="auto"/>
        </w:rPr>
      </w:pPr>
    </w:p>
    <w:p>
      <w:pPr>
        <w:rPr>
          <w:rFonts w:hint="eastAsia"/>
          <w:color w:val="auto"/>
        </w:rPr>
      </w:pPr>
    </w:p>
    <w:p>
      <w:pPr>
        <w:pStyle w:val="2"/>
        <w:bidi w:val="0"/>
        <w:jc w:val="center"/>
        <w:rPr>
          <w:rFonts w:hint="eastAsia" w:ascii="微软雅黑" w:hAnsi="微软雅黑" w:eastAsia="微软雅黑" w:cs="微软雅黑"/>
          <w:b/>
          <w:bCs/>
          <w:color w:val="auto"/>
          <w:sz w:val="36"/>
          <w:szCs w:val="36"/>
        </w:rPr>
        <w:sectPr>
          <w:pgSz w:w="11907" w:h="16840"/>
          <w:pgMar w:top="1134" w:right="1191" w:bottom="1134" w:left="1304" w:header="964" w:footer="992" w:gutter="0"/>
          <w:cols w:space="720" w:num="1"/>
          <w:docGrid w:linePitch="312" w:charSpace="0"/>
        </w:sectPr>
      </w:pPr>
      <w:bookmarkStart w:id="31" w:name="_Toc22321"/>
    </w:p>
    <w:p>
      <w:pPr>
        <w:pStyle w:val="2"/>
        <w:bidi w:val="0"/>
        <w:jc w:val="center"/>
        <w:rPr>
          <w:rFonts w:hint="eastAsia"/>
          <w:b/>
          <w:color w:val="auto"/>
        </w:rPr>
      </w:pPr>
      <w:r>
        <w:rPr>
          <w:rFonts w:hint="eastAsia" w:ascii="微软雅黑" w:hAnsi="微软雅黑" w:eastAsia="微软雅黑" w:cs="微软雅黑"/>
          <w:b/>
          <w:bCs/>
          <w:color w:val="auto"/>
          <w:sz w:val="36"/>
          <w:szCs w:val="36"/>
        </w:rPr>
        <w:t>第二篇 供应商须知</w:t>
      </w:r>
      <w:bookmarkEnd w:id="31"/>
    </w:p>
    <w:p>
      <w:pPr>
        <w:pStyle w:val="3"/>
        <w:bidi w:val="0"/>
        <w:rPr>
          <w:rFonts w:hint="eastAsia" w:ascii="微软雅黑" w:hAnsi="微软雅黑" w:eastAsia="微软雅黑" w:cs="微软雅黑"/>
          <w:color w:val="auto"/>
          <w:sz w:val="24"/>
          <w:szCs w:val="24"/>
        </w:rPr>
      </w:pPr>
      <w:bookmarkStart w:id="32" w:name="_Toc11386"/>
      <w:r>
        <w:rPr>
          <w:rFonts w:hint="eastAsia" w:ascii="微软雅黑" w:hAnsi="微软雅黑" w:eastAsia="微软雅黑" w:cs="微软雅黑"/>
          <w:color w:val="auto"/>
          <w:sz w:val="24"/>
          <w:szCs w:val="24"/>
        </w:rPr>
        <w:t>一、比选费用</w:t>
      </w:r>
      <w:bookmarkEnd w:id="32"/>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参与比选的供应商应承担其编制响应文件与递交响应文件所涉及的一切费用，不论比选结果如何，</w:t>
      </w:r>
      <w:r>
        <w:rPr>
          <w:rFonts w:hint="eastAsia" w:ascii="方正仿宋_GBK" w:hAnsi="宋体" w:eastAsia="方正仿宋_GBK"/>
          <w:color w:val="auto"/>
          <w:sz w:val="24"/>
          <w:szCs w:val="24"/>
        </w:rPr>
        <w:t>医院在任何情况下无义务也无责任承担这些费用。</w:t>
      </w:r>
    </w:p>
    <w:p>
      <w:pPr>
        <w:pStyle w:val="3"/>
        <w:spacing w:line="240" w:lineRule="auto"/>
        <w:rPr>
          <w:color w:val="auto"/>
        </w:rPr>
      </w:pPr>
      <w:bookmarkStart w:id="33" w:name="_Toc8430"/>
      <w:r>
        <w:rPr>
          <w:rFonts w:hint="eastAsia" w:ascii="微软雅黑" w:hAnsi="微软雅黑" w:eastAsia="微软雅黑" w:cs="微软雅黑"/>
          <w:color w:val="auto"/>
          <w:sz w:val="24"/>
          <w:szCs w:val="24"/>
        </w:rPr>
        <w:t>二、比选文件</w:t>
      </w:r>
      <w:bookmarkEnd w:id="33"/>
      <w:r>
        <w:rPr>
          <w:color w:val="auto"/>
        </w:rPr>
        <w:tab/>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w:t>
      </w:r>
      <w:r>
        <w:rPr>
          <w:rFonts w:hint="eastAsia" w:ascii="方正仿宋_GBK" w:hAnsi="宋体" w:eastAsia="方正仿宋_GBK"/>
          <w:color w:val="auto"/>
          <w:sz w:val="24"/>
          <w:szCs w:val="24"/>
        </w:rPr>
        <w:t>医院</w:t>
      </w:r>
      <w:r>
        <w:rPr>
          <w:rFonts w:hint="eastAsia" w:ascii="方正仿宋_GBK" w:hAnsi="宋体" w:eastAsia="方正仿宋_GBK" w:cs="Times New Roman"/>
          <w:color w:val="auto"/>
          <w:sz w:val="24"/>
          <w:szCs w:val="24"/>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（三）比选文件的解释</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（四）本比选文件中，评审小组根据与供应商比选情况可能实质性变动的内容为比选文件第三、四、五篇全部内容。</w:t>
      </w:r>
    </w:p>
    <w:p>
      <w:pPr>
        <w:pStyle w:val="3"/>
        <w:spacing w:line="240" w:lineRule="auto"/>
        <w:rPr>
          <w:rFonts w:hint="eastAsia" w:ascii="微软雅黑" w:hAnsi="微软雅黑" w:eastAsia="微软雅黑" w:cs="微软雅黑"/>
          <w:color w:val="auto"/>
          <w:sz w:val="24"/>
          <w:szCs w:val="24"/>
        </w:rPr>
      </w:pPr>
      <w:bookmarkStart w:id="34" w:name="_Toc23254"/>
      <w:r>
        <w:rPr>
          <w:rFonts w:hint="eastAsia" w:ascii="微软雅黑" w:hAnsi="微软雅黑" w:eastAsia="微软雅黑" w:cs="微软雅黑"/>
          <w:color w:val="auto"/>
          <w:sz w:val="24"/>
          <w:szCs w:val="24"/>
        </w:rPr>
        <w:t>三、比选要求</w:t>
      </w:r>
      <w:bookmarkEnd w:id="34"/>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（一）响应文件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1、响应文件组成</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r>
        <w:rPr>
          <w:rFonts w:hint="eastAsia" w:ascii="方正仿宋_GBK" w:hAnsi="宋体" w:eastAsia="方正仿宋_GBK"/>
          <w:color w:val="auto"/>
          <w:sz w:val="24"/>
          <w:szCs w:val="24"/>
        </w:rPr>
        <w:t>本项目不接受联合体参与及合同分包、转包。</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3、比选有效期：响应文件及有关承诺文件有效期为比选开始时间起90天。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（二）报价要求</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本</w:t>
      </w:r>
      <w:r>
        <w:rPr>
          <w:rFonts w:hint="eastAsia" w:ascii="方正仿宋_GBK" w:hAnsi="宋体" w:eastAsia="方正仿宋_GBK" w:cs="Times New Roman"/>
          <w:color w:val="auto"/>
          <w:sz w:val="24"/>
          <w:szCs w:val="24"/>
          <w:lang w:eastAsia="zh-CN"/>
        </w:rPr>
        <w:t>项目服务方按照报价表进行报价（报价表见附件）。报价包含但不限于税费、材料费、运输费、人工费、机械使用费、管理费、利润、安全文明施工费、除渣等各项费用，</w:t>
      </w:r>
      <w:r>
        <w:rPr>
          <w:rFonts w:hint="eastAsia" w:ascii="方正仿宋_GBK" w:hAnsi="宋体" w:eastAsia="方正仿宋_GBK" w:cs="Times New Roman"/>
          <w:color w:val="auto"/>
          <w:sz w:val="24"/>
          <w:szCs w:val="24"/>
        </w:rPr>
        <w:t>以及成交供应商人工工资、奖金、福利、社保、管理、交通、运输、利润、税金、风险费等在内的所有费用。因成交供应商自身原因造成漏报、少报皆由其自行承担责任，采购人不再补偿。</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（四）提交响应文件的份数和签署</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1.响应文件一式</w:t>
      </w:r>
      <w:r>
        <w:rPr>
          <w:rFonts w:hint="eastAsia" w:ascii="方正仿宋_GBK" w:hAnsi="宋体" w:eastAsia="方正仿宋_GBK" w:cs="Times New Roman"/>
          <w:color w:val="auto"/>
          <w:sz w:val="24"/>
          <w:szCs w:val="24"/>
          <w:lang w:eastAsia="zh-CN"/>
        </w:rPr>
        <w:t>四</w:t>
      </w:r>
      <w:r>
        <w:rPr>
          <w:rFonts w:hint="eastAsia" w:ascii="方正仿宋_GBK" w:hAnsi="宋体" w:eastAsia="方正仿宋_GBK" w:cs="Times New Roman"/>
          <w:color w:val="auto"/>
          <w:sz w:val="24"/>
          <w:szCs w:val="24"/>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2.</w:t>
      </w:r>
      <w:r>
        <w:rPr>
          <w:rFonts w:hint="eastAsia" w:ascii="方正仿宋_GBK" w:hAnsi="宋体" w:eastAsia="方正仿宋_GBK" w:cs="Times New Roman"/>
          <w:color w:val="auto"/>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auto"/>
          <w:sz w:val="24"/>
          <w:szCs w:val="24"/>
        </w:rPr>
      </w:pPr>
      <w:r>
        <w:rPr>
          <w:rFonts w:hint="eastAsia" w:ascii="方正仿宋_GBK" w:hAnsi="宋体" w:eastAsia="方正仿宋_GBK" w:cs="Times New Roman"/>
          <w:color w:val="auto"/>
          <w:sz w:val="24"/>
          <w:szCs w:val="24"/>
        </w:rPr>
        <w:t>4.电报、电话、传真形式的响应文件概不接受。</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（五）响应文件的递交</w:t>
      </w:r>
    </w:p>
    <w:p>
      <w:pPr>
        <w:snapToGrid w:val="0"/>
        <w:spacing w:line="400" w:lineRule="exact"/>
        <w:ind w:firstLine="480" w:firstLineChars="200"/>
        <w:rPr>
          <w:rFonts w:ascii="方正仿宋_GBK" w:hAnsi="宋体" w:eastAsia="方正仿宋_GBK" w:cs="Times New Roman"/>
          <w:color w:val="auto"/>
          <w:sz w:val="24"/>
          <w:szCs w:val="24"/>
        </w:rPr>
      </w:pPr>
      <w:bookmarkStart w:id="35" w:name="OLE_LINK8"/>
      <w:bookmarkStart w:id="36" w:name="OLE_LINK9"/>
      <w:bookmarkStart w:id="37" w:name="OLE_LINK3"/>
      <w:r>
        <w:rPr>
          <w:rFonts w:hint="eastAsia" w:ascii="方正仿宋_GBK" w:hAnsi="宋体" w:eastAsia="方正仿宋_GBK" w:cs="Times New Roman"/>
          <w:color w:val="auto"/>
          <w:sz w:val="24"/>
          <w:szCs w:val="24"/>
        </w:rPr>
        <w:t>1.响应文件的密封与标记</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2.响应文件投递截止时间：参阅比选邀请书。</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（六）响应文件语言：简体中文</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（七）供应商参与人员</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各个供应商可派1-2名代表参与比选，至少1人应为法定代表人或具有法定代表人授权委托书的授权代表。</w:t>
      </w:r>
      <w:r>
        <w:rPr>
          <w:rFonts w:hint="eastAsia" w:ascii="仿宋" w:hAnsi="仿宋" w:eastAsia="仿宋" w:cs="仿宋"/>
          <w:b/>
          <w:bCs/>
          <w:sz w:val="24"/>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（八）无效比选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供应商发生以下条款情况之一者，视为无效比选，</w:t>
      </w:r>
      <w:r>
        <w:rPr>
          <w:rFonts w:hint="eastAsia" w:ascii="方正仿宋_GBK" w:hAnsi="宋体" w:eastAsia="方正仿宋_GBK"/>
          <w:color w:val="auto"/>
          <w:sz w:val="24"/>
          <w:szCs w:val="24"/>
        </w:rPr>
        <w:t>应为无效响应</w:t>
      </w:r>
      <w:r>
        <w:rPr>
          <w:rFonts w:hint="eastAsia" w:ascii="方正仿宋_GBK" w:hAnsi="宋体" w:eastAsia="方正仿宋_GBK" w:cs="Times New Roman"/>
          <w:color w:val="auto"/>
          <w:sz w:val="24"/>
          <w:szCs w:val="24"/>
        </w:rPr>
        <w:t>：</w:t>
      </w:r>
    </w:p>
    <w:bookmarkEnd w:id="35"/>
    <w:bookmarkEnd w:id="36"/>
    <w:bookmarkEnd w:id="37"/>
    <w:p>
      <w:pPr>
        <w:snapToGrid w:val="0"/>
        <w:spacing w:line="400" w:lineRule="exact"/>
        <w:ind w:firstLine="480" w:firstLineChars="200"/>
        <w:rPr>
          <w:rFonts w:hint="eastAsia" w:ascii="方正仿宋_GBK" w:hAnsi="宋体" w:eastAsia="方正仿宋_GBK" w:cs="Times New Roman"/>
          <w:color w:val="auto"/>
          <w:sz w:val="24"/>
          <w:szCs w:val="24"/>
        </w:rPr>
      </w:pPr>
      <w:bookmarkStart w:id="38" w:name="_Toc179714298"/>
      <w:bookmarkStart w:id="39" w:name="_Toc102227319"/>
      <w:bookmarkStart w:id="40" w:name="_Toc403569780"/>
      <w:bookmarkStart w:id="41" w:name="_Toc18122"/>
      <w:bookmarkStart w:id="42" w:name="_Toc19143"/>
      <w:bookmarkStart w:id="43" w:name="_Toc342913393"/>
      <w:r>
        <w:rPr>
          <w:rFonts w:hint="eastAsia" w:ascii="方正仿宋_GBK" w:hAnsi="宋体" w:eastAsia="方正仿宋_GBK" w:cs="Times New Roman"/>
          <w:color w:val="auto"/>
          <w:sz w:val="24"/>
          <w:szCs w:val="24"/>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供应商不符合规定的资格条件的；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5.</w:t>
      </w:r>
      <w:r>
        <w:rPr>
          <w:rFonts w:hint="eastAsia" w:ascii="方正仿宋_GBK" w:hAnsi="宋体" w:eastAsia="方正仿宋_GBK" w:cs="Times New Roman"/>
          <w:color w:val="auto"/>
          <w:sz w:val="24"/>
          <w:szCs w:val="24"/>
        </w:rPr>
        <w:t>单位负责人为同一人或者存在直接控股、管理关系的不同供应商，参加同一合同项（包）比选的；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6.</w:t>
      </w:r>
      <w:r>
        <w:rPr>
          <w:rFonts w:hint="eastAsia" w:ascii="方正仿宋_GBK" w:hAnsi="宋体" w:eastAsia="方正仿宋_GBK" w:cs="Times New Roman"/>
          <w:color w:val="auto"/>
          <w:sz w:val="24"/>
          <w:szCs w:val="24"/>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7.</w:t>
      </w:r>
      <w:r>
        <w:rPr>
          <w:rFonts w:hint="eastAsia" w:ascii="方正仿宋_GBK" w:hAnsi="宋体" w:eastAsia="方正仿宋_GBK" w:cs="Times New Roman"/>
          <w:color w:val="auto"/>
          <w:sz w:val="24"/>
          <w:szCs w:val="24"/>
        </w:rPr>
        <w:t>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8.</w:t>
      </w:r>
      <w:r>
        <w:rPr>
          <w:rFonts w:hint="eastAsia" w:ascii="方正仿宋_GBK" w:hAnsi="宋体" w:eastAsia="方正仿宋_GBK" w:cs="Times New Roman"/>
          <w:color w:val="auto"/>
          <w:sz w:val="24"/>
          <w:szCs w:val="24"/>
        </w:rPr>
        <w:t>供应商以联合体形式参与比选的；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供应商进行合同分包的；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供应商响应文件内容有与国家现行法律法规相违背的内容，或附有医院无法接受条件的。</w:t>
      </w:r>
    </w:p>
    <w:p>
      <w:pPr>
        <w:snapToGrid w:val="0"/>
        <w:spacing w:line="400" w:lineRule="exact"/>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11.</w:t>
      </w:r>
      <w:r>
        <w:rPr>
          <w:rFonts w:hint="eastAsia" w:ascii="方正仿宋_GBK" w:hAnsi="宋体" w:eastAsia="方正仿宋_GBK" w:cs="Times New Roman"/>
          <w:color w:val="auto"/>
          <w:sz w:val="24"/>
          <w:szCs w:val="24"/>
        </w:rPr>
        <w:t>供应商发生以下条款情况之一者，失去成交供应商资格，但属于“符合要求的供应商”</w:t>
      </w:r>
      <w:r>
        <w:rPr>
          <w:rFonts w:hint="eastAsia" w:ascii="方正仿宋_GBK" w:hAnsi="宋体" w:eastAsia="方正仿宋_GBK" w:cs="Times New Roman"/>
          <w:color w:val="auto"/>
          <w:sz w:val="24"/>
          <w:szCs w:val="24"/>
          <w:lang w:eastAsia="zh-CN"/>
        </w:rPr>
        <w:t>。</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①</w:t>
      </w:r>
      <w:r>
        <w:rPr>
          <w:rFonts w:hint="eastAsia" w:ascii="方正仿宋_GBK" w:hAnsi="宋体" w:eastAsia="方正仿宋_GBK" w:cs="Times New Roman"/>
          <w:color w:val="auto"/>
          <w:sz w:val="24"/>
          <w:szCs w:val="24"/>
        </w:rPr>
        <w:t>供应商的最后报价超过采购预算或者最高限价的；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②</w:t>
      </w:r>
      <w:r>
        <w:rPr>
          <w:rFonts w:hint="eastAsia" w:ascii="方正仿宋_GBK" w:hAnsi="宋体" w:eastAsia="方正仿宋_GBK" w:cs="Times New Roman"/>
          <w:color w:val="auto"/>
          <w:sz w:val="24"/>
          <w:szCs w:val="24"/>
        </w:rPr>
        <w:t>供应商提供的产品，其“技术参数”不满足“本文件第</w:t>
      </w:r>
      <w:r>
        <w:rPr>
          <w:rFonts w:hint="eastAsia" w:ascii="方正仿宋_GBK" w:hAnsi="宋体" w:eastAsia="方正仿宋_GBK" w:cs="Times New Roman"/>
          <w:color w:val="auto"/>
          <w:sz w:val="24"/>
          <w:szCs w:val="24"/>
          <w:lang w:eastAsia="zh-CN"/>
        </w:rPr>
        <w:t>三</w:t>
      </w:r>
      <w:r>
        <w:rPr>
          <w:rFonts w:hint="eastAsia" w:ascii="方正仿宋_GBK" w:hAnsi="宋体" w:eastAsia="方正仿宋_GBK" w:cs="Times New Roman"/>
          <w:color w:val="auto"/>
          <w:sz w:val="24"/>
          <w:szCs w:val="24"/>
        </w:rPr>
        <w:t>篇比选内容</w:t>
      </w:r>
      <w:r>
        <w:rPr>
          <w:rFonts w:hint="eastAsia" w:ascii="方正仿宋_GBK" w:hAnsi="宋体" w:eastAsia="方正仿宋_GBK" w:cs="Times New Roman"/>
          <w:color w:val="auto"/>
          <w:sz w:val="24"/>
          <w:szCs w:val="24"/>
          <w:lang w:eastAsia="zh-CN"/>
        </w:rPr>
        <w:t>项目服务要求</w:t>
      </w:r>
      <w:r>
        <w:rPr>
          <w:rFonts w:hint="eastAsia" w:ascii="方正仿宋_GBK" w:hAnsi="宋体" w:eastAsia="方正仿宋_GBK" w:cs="Times New Roman"/>
          <w:color w:val="auto"/>
          <w:sz w:val="24"/>
          <w:szCs w:val="24"/>
        </w:rPr>
        <w:t>”的。</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四、比选程序</w:t>
      </w:r>
      <w:bookmarkEnd w:id="38"/>
      <w:bookmarkEnd w:id="39"/>
      <w:bookmarkEnd w:id="40"/>
      <w:bookmarkEnd w:id="41"/>
      <w:bookmarkEnd w:id="42"/>
      <w:bookmarkEnd w:id="43"/>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060" w:type="dxa"/>
            <w:vMerge w:val="restart"/>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（2）</w:t>
            </w:r>
            <w:r>
              <w:rPr>
                <w:rFonts w:hint="eastAsia" w:ascii="方正仿宋_GBK" w:hAnsi="宋体" w:eastAsia="方正仿宋_GBK" w:cs="Times New Roman"/>
                <w:color w:val="auto"/>
                <w:szCs w:val="21"/>
              </w:rPr>
              <w:t>具有良好的商业信誉和健全的财务会计制度</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1.供应商提供202</w:t>
            </w:r>
            <w:r>
              <w:rPr>
                <w:rFonts w:hint="eastAsia" w:ascii="方正仿宋_GBK" w:hAnsi="仿宋" w:eastAsia="方正仿宋_GBK" w:cs="Times New Roman"/>
                <w:color w:val="auto"/>
                <w:szCs w:val="21"/>
                <w:lang w:val="en-US" w:eastAsia="zh-CN"/>
              </w:rPr>
              <w:t>1</w:t>
            </w:r>
            <w:r>
              <w:rPr>
                <w:rFonts w:hint="eastAsia" w:ascii="方正仿宋_GBK" w:hAnsi="仿宋" w:eastAsia="方正仿宋_GBK" w:cs="Times New Roman"/>
                <w:color w:val="auto"/>
                <w:szCs w:val="21"/>
              </w:rPr>
              <w:t>或202</w:t>
            </w:r>
            <w:r>
              <w:rPr>
                <w:rFonts w:hint="eastAsia" w:ascii="方正仿宋_GBK" w:hAnsi="仿宋" w:eastAsia="方正仿宋_GBK" w:cs="Times New Roman"/>
                <w:color w:val="auto"/>
                <w:szCs w:val="21"/>
                <w:lang w:val="en-US" w:eastAsia="zh-CN"/>
              </w:rPr>
              <w:t>2</w:t>
            </w:r>
            <w:r>
              <w:rPr>
                <w:rFonts w:hint="eastAsia" w:ascii="方正仿宋_GBK" w:hAnsi="仿宋" w:eastAsia="方正仿宋_GBK" w:cs="Times New Roman"/>
                <w:color w:val="auto"/>
                <w:szCs w:val="21"/>
              </w:rPr>
              <w:t>年度财务状况报告（表）或其基本开户银行出具的资信证明（提供复印件）。</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（4）有依法缴纳税收和社会保障金的良好记录</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1.税务登记证（副本）（提供复印件）。</w:t>
            </w:r>
          </w:p>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（5）参加采购活动前三年内，在经营活动中没有重大违法记录（注</w:t>
            </w:r>
            <w:r>
              <w:rPr>
                <w:rFonts w:ascii="Calibri" w:hAnsi="Calibri" w:eastAsia="方正仿宋_GBK" w:cs="Calibri"/>
                <w:color w:val="auto"/>
                <w:szCs w:val="21"/>
              </w:rPr>
              <w:t>①</w:t>
            </w:r>
            <w:r>
              <w:rPr>
                <w:rFonts w:hint="eastAsia" w:ascii="方正仿宋_GBK" w:hAnsi="宋体" w:eastAsia="方正仿宋_GBK" w:cs="Times New Roman"/>
                <w:color w:val="auto"/>
                <w:szCs w:val="21"/>
              </w:rPr>
              <w:t>）</w:t>
            </w:r>
          </w:p>
        </w:tc>
        <w:tc>
          <w:tcPr>
            <w:tcW w:w="4948" w:type="dxa"/>
            <w:vAlign w:val="center"/>
          </w:tcPr>
          <w:p>
            <w:pPr>
              <w:snapToGrid w:val="0"/>
              <w:spacing w:line="400" w:lineRule="exact"/>
              <w:rPr>
                <w:rFonts w:ascii="方正仿宋_GBK" w:hAnsi="仿宋" w:eastAsia="方正仿宋_GBK" w:cs="Times New Roman"/>
                <w:color w:val="auto"/>
                <w:szCs w:val="21"/>
              </w:rPr>
            </w:pPr>
            <w:r>
              <w:rPr>
                <w:rFonts w:hint="eastAsia" w:ascii="仿宋" w:hAnsi="仿宋" w:eastAsia="仿宋" w:cs="仿宋"/>
                <w:color w:val="auto"/>
                <w:szCs w:val="21"/>
              </w:rPr>
              <w:t>1</w:t>
            </w:r>
            <w:r>
              <w:rPr>
                <w:rFonts w:hint="eastAsia" w:ascii="方正仿宋_GBK" w:hAnsi="仿宋" w:eastAsia="方正仿宋_GBK" w:cs="Times New Roman"/>
                <w:color w:val="auto"/>
                <w:szCs w:val="21"/>
              </w:rPr>
              <w:t>.供应商提供书面声明（见格式文件）</w:t>
            </w:r>
          </w:p>
          <w:p>
            <w:pPr>
              <w:snapToGrid w:val="0"/>
              <w:spacing w:line="400" w:lineRule="exact"/>
              <w:rPr>
                <w:rFonts w:ascii="方正仿宋_GBK" w:hAnsi="宋体" w:eastAsia="方正仿宋_GBK" w:cs="Times New Roman"/>
                <w:color w:val="auto"/>
                <w:szCs w:val="21"/>
              </w:rPr>
            </w:pPr>
            <w:r>
              <w:rPr>
                <w:rFonts w:hint="eastAsia" w:ascii="仿宋" w:hAnsi="仿宋" w:eastAsia="仿宋" w:cs="仿宋"/>
                <w:color w:val="auto"/>
                <w:szCs w:val="21"/>
              </w:rPr>
              <w:t>2.</w:t>
            </w:r>
            <w:r>
              <w:rPr>
                <w:rFonts w:hint="eastAsia" w:ascii="方正仿宋_GBK" w:hAnsi="仿宋" w:eastAsia="方正仿宋_GBK" w:cs="Times New Roman"/>
                <w:b/>
                <w:color w:val="auto"/>
                <w:szCs w:val="21"/>
              </w:rPr>
              <w:t>供应商提供 “信用中国”网站(www.creditchina.gov.cn)、"中国政府采购网"(www.ccgp.gov.cn)等渠道查询供应商信用记录（注</w:t>
            </w:r>
            <w:r>
              <w:rPr>
                <w:rFonts w:ascii="Calibri" w:hAnsi="Calibri" w:eastAsia="方正仿宋_GBK" w:cs="Calibri"/>
                <w:b/>
                <w:color w:val="auto"/>
                <w:szCs w:val="21"/>
              </w:rPr>
              <w:t>②</w:t>
            </w:r>
            <w:r>
              <w:rPr>
                <w:rFonts w:hint="eastAsia" w:ascii="方正仿宋_GBK" w:hAnsi="仿宋" w:eastAsia="方正仿宋_GBK" w:cs="Times New Roman"/>
                <w:b/>
                <w:color w:val="auto"/>
                <w:szCs w:val="21"/>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特定资格条件</w:t>
            </w:r>
          </w:p>
        </w:tc>
        <w:tc>
          <w:tcPr>
            <w:tcW w:w="4948"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按“第一篇三、</w:t>
            </w:r>
            <w:r>
              <w:rPr>
                <w:rFonts w:hint="eastAsia" w:ascii="方正仿宋_GBK" w:hAnsi="宋体" w:eastAsia="方正仿宋_GBK" w:cs="Times New Roman"/>
                <w:color w:val="auto"/>
                <w:sz w:val="24"/>
                <w:szCs w:val="24"/>
              </w:rPr>
              <w:t>供应商资格</w:t>
            </w:r>
            <w:r>
              <w:rPr>
                <w:rFonts w:hint="eastAsia" w:ascii="仿宋" w:hAnsi="仿宋" w:eastAsia="仿宋" w:cs="仿宋"/>
                <w:color w:val="auto"/>
                <w:sz w:val="24"/>
                <w:szCs w:val="24"/>
              </w:rPr>
              <w:t>要求</w:t>
            </w:r>
            <w:r>
              <w:rPr>
                <w:rFonts w:hint="eastAsia" w:ascii="方正仿宋_GBK" w:hAnsi="仿宋" w:eastAsia="方正仿宋_GBK" w:cs="Times New Roman"/>
                <w:color w:val="auto"/>
                <w:szCs w:val="21"/>
              </w:rPr>
              <w:t>（二）</w:t>
            </w:r>
            <w:r>
              <w:rPr>
                <w:rFonts w:hint="eastAsia" w:ascii="方正仿宋_GBK" w:hAnsi="宋体" w:eastAsia="方正仿宋_GBK" w:cs="Times New Roman"/>
                <w:color w:val="auto"/>
                <w:sz w:val="24"/>
                <w:szCs w:val="24"/>
              </w:rPr>
              <w:t>特定资格要求</w:t>
            </w:r>
            <w:r>
              <w:rPr>
                <w:rFonts w:hint="eastAsia" w:ascii="方正仿宋_GBK" w:hAnsi="仿宋" w:eastAsia="方正仿宋_GBK" w:cs="Times New Roman"/>
                <w:color w:val="auto"/>
                <w:szCs w:val="21"/>
              </w:rPr>
              <w:t>的要求提交</w:t>
            </w:r>
            <w:r>
              <w:rPr>
                <w:rFonts w:hint="eastAsia" w:ascii="方正仿宋_GBK" w:hAnsi="宋体" w:eastAsia="方正仿宋_GBK" w:cs="Times New Roman"/>
                <w:color w:val="auto"/>
                <w:szCs w:val="21"/>
              </w:rPr>
              <w:t>（如果有）</w:t>
            </w:r>
            <w:r>
              <w:rPr>
                <w:rFonts w:hint="eastAsia" w:ascii="方正仿宋_GBK" w:hAnsi="仿宋" w:eastAsia="方正仿宋_GBK" w:cs="Times New Roman"/>
                <w:color w:val="auto"/>
                <w:szCs w:val="21"/>
              </w:rPr>
              <w:t>。</w:t>
            </w:r>
          </w:p>
        </w:tc>
      </w:tr>
    </w:tbl>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auto"/>
          <w:sz w:val="24"/>
          <w:szCs w:val="24"/>
        </w:rPr>
      </w:pPr>
      <w:r>
        <w:rPr>
          <w:rFonts w:ascii="Calibri" w:hAnsi="Calibri" w:eastAsia="方正仿宋_GBK" w:cs="Calibri"/>
          <w:color w:val="auto"/>
          <w:sz w:val="24"/>
          <w:szCs w:val="24"/>
        </w:rPr>
        <w:t>①</w:t>
      </w:r>
      <w:r>
        <w:rPr>
          <w:rFonts w:hint="eastAsia" w:ascii="方正仿宋_GBK" w:hAnsi="宋体" w:eastAsia="方正仿宋_GBK" w:cs="Times New Roman"/>
          <w:color w:val="auto"/>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auto"/>
          <w:sz w:val="24"/>
          <w:szCs w:val="24"/>
        </w:rPr>
      </w:pPr>
      <w:r>
        <w:rPr>
          <w:rFonts w:ascii="方正仿宋_GBK" w:hAnsi="宋体" w:eastAsia="方正仿宋_GBK" w:cs="Times New Roman"/>
          <w:color w:val="auto"/>
          <w:sz w:val="24"/>
          <w:szCs w:val="24"/>
        </w:rPr>
        <w:t>②</w:t>
      </w:r>
      <w:r>
        <w:rPr>
          <w:rFonts w:hint="eastAsia" w:ascii="方正仿宋_GBK" w:hAnsi="宋体" w:eastAsia="方正仿宋_GBK" w:cs="Times New Roman"/>
          <w:color w:val="auto"/>
          <w:sz w:val="24"/>
          <w:szCs w:val="24"/>
        </w:rPr>
        <w:t>供应商应提供四张截图（截图模板见第七篇后模板）。</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457" w:type="dxa"/>
            <w:vMerge w:val="restart"/>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有效性审查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响应文件签署</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响应方案</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报价唯一</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只能在预算金额和最高限价内报价，</w:t>
            </w:r>
            <w:r>
              <w:rPr>
                <w:rFonts w:hint="eastAsia" w:ascii="方正仿宋_GBK" w:hAnsi="宋体" w:eastAsia="方正仿宋_GBK" w:cs="Times New Roman"/>
                <w:color w:val="auto"/>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完整性审查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响应文件份数</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3</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服务部分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4</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商务部分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5</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响应有效期</w:t>
            </w: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有效期为响应截止日期后90天内</w:t>
            </w:r>
          </w:p>
        </w:tc>
      </w:tr>
    </w:tbl>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（八）、比选结束后，评审小组要求所有参加正式比选的供应商在规定时间内同时书面提交最后报价及有关承诺（填写《最后报价表》）。</w:t>
      </w:r>
      <w:r>
        <w:rPr>
          <w:rFonts w:ascii="方正仿宋_GBK" w:hAnsi="宋体" w:eastAsia="方正仿宋_GBK" w:cs="Times New Roman"/>
          <w:color w:val="auto"/>
          <w:sz w:val="24"/>
          <w:szCs w:val="24"/>
        </w:rPr>
        <w:t>已提交响应文件</w:t>
      </w:r>
      <w:r>
        <w:rPr>
          <w:rFonts w:hint="eastAsia" w:ascii="方正仿宋_GBK" w:hAnsi="宋体" w:eastAsia="方正仿宋_GBK" w:cs="Times New Roman"/>
          <w:color w:val="auto"/>
          <w:sz w:val="24"/>
          <w:szCs w:val="24"/>
        </w:rPr>
        <w:t>但未在规定时间内进行最后报价</w:t>
      </w:r>
      <w:r>
        <w:rPr>
          <w:rFonts w:ascii="方正仿宋_GBK" w:hAnsi="宋体" w:eastAsia="方正仿宋_GBK" w:cs="Times New Roman"/>
          <w:color w:val="auto"/>
          <w:sz w:val="24"/>
          <w:szCs w:val="24"/>
        </w:rPr>
        <w:t>的供应商，</w:t>
      </w:r>
      <w:r>
        <w:rPr>
          <w:rFonts w:hint="eastAsia" w:ascii="方正仿宋_GBK" w:hAnsi="宋体" w:eastAsia="方正仿宋_GBK" w:cs="Times New Roman"/>
          <w:color w:val="auto"/>
          <w:sz w:val="24"/>
          <w:szCs w:val="24"/>
        </w:rPr>
        <w:t>视为放弃最后报价，以供应商响应文件中的报价为准。</w:t>
      </w:r>
    </w:p>
    <w:p>
      <w:pPr>
        <w:pStyle w:val="3"/>
        <w:spacing w:line="240" w:lineRule="auto"/>
        <w:rPr>
          <w:rFonts w:hint="eastAsia" w:ascii="微软雅黑" w:hAnsi="微软雅黑" w:eastAsia="微软雅黑" w:cs="微软雅黑"/>
          <w:color w:val="auto"/>
          <w:sz w:val="24"/>
          <w:szCs w:val="24"/>
        </w:rPr>
      </w:pPr>
      <w:bookmarkStart w:id="44" w:name="_Toc14247"/>
      <w:bookmarkStart w:id="45" w:name="_Toc28776"/>
      <w:bookmarkStart w:id="46" w:name="_Toc403569781"/>
      <w:bookmarkStart w:id="47" w:name="_Toc102227320"/>
      <w:bookmarkStart w:id="48" w:name="_Toc342913394"/>
      <w:r>
        <w:rPr>
          <w:rFonts w:hint="eastAsia" w:ascii="微软雅黑" w:hAnsi="微软雅黑" w:eastAsia="微软雅黑" w:cs="微软雅黑"/>
          <w:color w:val="auto"/>
          <w:sz w:val="24"/>
          <w:szCs w:val="24"/>
        </w:rPr>
        <w:t>五、评审依据</w:t>
      </w:r>
      <w:bookmarkEnd w:id="44"/>
      <w:bookmarkEnd w:id="45"/>
      <w:bookmarkEnd w:id="46"/>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评审的依据为比选文件和响应文件（含有效的补充文件）。评审小组判断响应文件对比选文件的响应，仅基于响应文件本身而不靠外部证据。</w:t>
      </w:r>
    </w:p>
    <w:p>
      <w:pPr>
        <w:pStyle w:val="3"/>
        <w:spacing w:line="240" w:lineRule="auto"/>
        <w:rPr>
          <w:rFonts w:hint="eastAsia" w:ascii="微软雅黑" w:hAnsi="微软雅黑" w:eastAsia="微软雅黑" w:cs="微软雅黑"/>
          <w:color w:val="auto"/>
          <w:sz w:val="24"/>
          <w:szCs w:val="24"/>
        </w:rPr>
      </w:pPr>
      <w:bookmarkStart w:id="49" w:name="_Toc14816"/>
      <w:bookmarkStart w:id="50" w:name="_Toc29340"/>
      <w:bookmarkStart w:id="51" w:name="_Toc403569782"/>
      <w:r>
        <w:rPr>
          <w:rFonts w:hint="eastAsia" w:ascii="微软雅黑" w:hAnsi="微软雅黑" w:eastAsia="微软雅黑" w:cs="微软雅黑"/>
          <w:color w:val="auto"/>
          <w:sz w:val="24"/>
          <w:szCs w:val="24"/>
        </w:rPr>
        <w:t>六、成交</w:t>
      </w:r>
      <w:bookmarkEnd w:id="47"/>
      <w:r>
        <w:rPr>
          <w:rFonts w:hint="eastAsia" w:ascii="微软雅黑" w:hAnsi="微软雅黑" w:eastAsia="微软雅黑" w:cs="微软雅黑"/>
          <w:color w:val="auto"/>
          <w:sz w:val="24"/>
          <w:szCs w:val="24"/>
        </w:rPr>
        <w:t>原则</w:t>
      </w:r>
      <w:bookmarkEnd w:id="48"/>
      <w:bookmarkEnd w:id="49"/>
      <w:bookmarkEnd w:id="50"/>
      <w:bookmarkEnd w:id="51"/>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（一）评审办法</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3.成交价格=成交供应商的最后报价</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（二）评审细则：</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资格符合性检查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2.对响应文件的有效性、完整性和响应程度检查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3.若同一</w:t>
      </w:r>
      <w:r>
        <w:rPr>
          <w:rFonts w:ascii="方正仿宋_GBK" w:hAnsi="宋体" w:eastAsia="方正仿宋_GBK" w:cs="Times New Roman"/>
          <w:color w:val="auto"/>
          <w:sz w:val="24"/>
          <w:szCs w:val="24"/>
        </w:rPr>
        <w:t>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w:t>
      </w:r>
      <w:r>
        <w:rPr>
          <w:rFonts w:hint="eastAsia" w:ascii="方正仿宋_GBK" w:hAnsi="宋体" w:eastAsia="方正仿宋_GBK" w:cs="Times New Roman"/>
          <w:color w:val="auto"/>
          <w:sz w:val="24"/>
          <w:szCs w:val="24"/>
        </w:rPr>
        <w:t>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4.成交供应商的确定：</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（4）评审小组将依照评审办法提出3名以上成交候选人。</w:t>
      </w:r>
    </w:p>
    <w:p>
      <w:pPr>
        <w:snapToGrid w:val="0"/>
        <w:spacing w:line="390" w:lineRule="exact"/>
        <w:ind w:firstLine="401" w:firstLineChars="167"/>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5.成交供应商的变更</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w:t>
      </w:r>
      <w:r>
        <w:rPr>
          <w:rFonts w:hint="eastAsia" w:ascii="方正仿宋_GBK" w:hAnsi="宋体" w:eastAsia="方正仿宋_GBK"/>
          <w:b/>
          <w:color w:val="auto"/>
          <w:sz w:val="24"/>
          <w:szCs w:val="24"/>
        </w:rPr>
        <w:t xml:space="preserve"> 采购终止</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（2）</w:t>
      </w:r>
      <w:r>
        <w:rPr>
          <w:rFonts w:hint="eastAsia" w:ascii="方正仿宋_GBK" w:hAnsi="宋体" w:eastAsia="方正仿宋_GBK" w:cs="Times New Roman"/>
          <w:color w:val="auto"/>
          <w:sz w:val="24"/>
          <w:szCs w:val="24"/>
        </w:rPr>
        <w:t>出现影响采购公正的违法、违规行为的；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（3）</w:t>
      </w:r>
      <w:r>
        <w:rPr>
          <w:rFonts w:hint="eastAsia" w:ascii="方正仿宋_GBK" w:hAnsi="宋体" w:eastAsia="方正仿宋_GBK" w:cs="Times New Roman"/>
          <w:color w:val="auto"/>
          <w:sz w:val="24"/>
          <w:szCs w:val="24"/>
        </w:rPr>
        <w:t>在采购过程中符合竞争要求的供应商不足3家的，</w:t>
      </w:r>
      <w:r>
        <w:rPr>
          <w:rFonts w:hint="eastAsia" w:ascii="方正仿宋_GBK" w:hAnsi="宋体" w:eastAsia="方正仿宋_GBK"/>
          <w:color w:val="auto"/>
          <w:sz w:val="24"/>
          <w:szCs w:val="24"/>
        </w:rPr>
        <w:t>但《医院采购管理办法（试行）》第二十三条第一款（五）规定的情形除外。</w:t>
      </w:r>
    </w:p>
    <w:p>
      <w:pPr>
        <w:pStyle w:val="3"/>
        <w:spacing w:line="240" w:lineRule="auto"/>
        <w:rPr>
          <w:rFonts w:hint="eastAsia" w:ascii="微软雅黑" w:hAnsi="微软雅黑" w:eastAsia="微软雅黑" w:cs="微软雅黑"/>
          <w:color w:val="auto"/>
          <w:sz w:val="24"/>
          <w:szCs w:val="24"/>
        </w:rPr>
      </w:pPr>
      <w:bookmarkStart w:id="52" w:name="_Toc3212"/>
      <w:bookmarkStart w:id="53" w:name="_Toc342913395"/>
      <w:bookmarkStart w:id="54" w:name="_Toc403569783"/>
      <w:bookmarkStart w:id="55" w:name="_Toc7135"/>
      <w:bookmarkStart w:id="56" w:name="_Toc102227321"/>
      <w:r>
        <w:rPr>
          <w:rFonts w:hint="eastAsia" w:ascii="微软雅黑" w:hAnsi="微软雅黑" w:eastAsia="微软雅黑" w:cs="微软雅黑"/>
          <w:color w:val="auto"/>
          <w:sz w:val="24"/>
          <w:szCs w:val="24"/>
        </w:rPr>
        <w:t>七、成交通知</w:t>
      </w:r>
      <w:bookmarkEnd w:id="52"/>
      <w:bookmarkEnd w:id="53"/>
      <w:bookmarkEnd w:id="54"/>
      <w:bookmarkEnd w:id="55"/>
      <w:bookmarkEnd w:id="56"/>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auto"/>
          <w:sz w:val="24"/>
          <w:szCs w:val="24"/>
        </w:rPr>
      </w:pPr>
      <w:r>
        <w:rPr>
          <w:rFonts w:hint="eastAsia" w:ascii="方正仿宋_GBK" w:hAnsi="Times New Roman" w:eastAsia="方正仿宋_GBK" w:cs="Times New Roman"/>
          <w:color w:val="auto"/>
          <w:sz w:val="24"/>
          <w:szCs w:val="24"/>
        </w:rPr>
        <w:t>2.接到采购结果通知后30天内必须来医院完善合同相关手续，逾期视为自动放弃供应商资格。</w:t>
      </w:r>
    </w:p>
    <w:p>
      <w:pPr>
        <w:pStyle w:val="3"/>
        <w:spacing w:line="240" w:lineRule="auto"/>
        <w:rPr>
          <w:rFonts w:hint="eastAsia" w:ascii="微软雅黑" w:hAnsi="微软雅黑" w:eastAsia="微软雅黑" w:cs="微软雅黑"/>
          <w:color w:val="auto"/>
          <w:sz w:val="24"/>
          <w:szCs w:val="24"/>
        </w:rPr>
      </w:pPr>
      <w:bookmarkStart w:id="57" w:name="_Toc17413"/>
      <w:bookmarkStart w:id="58" w:name="_Toc403569784"/>
      <w:bookmarkStart w:id="59" w:name="_Toc12880"/>
      <w:r>
        <w:rPr>
          <w:rFonts w:hint="eastAsia" w:ascii="微软雅黑" w:hAnsi="微软雅黑" w:eastAsia="微软雅黑" w:cs="微软雅黑"/>
          <w:color w:val="auto"/>
          <w:sz w:val="24"/>
          <w:szCs w:val="24"/>
        </w:rPr>
        <w:t>八、关于质疑和投诉</w:t>
      </w:r>
      <w:bookmarkEnd w:id="57"/>
      <w:bookmarkEnd w:id="58"/>
      <w:bookmarkEnd w:id="59"/>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1、质疑时限、内容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②质疑项目的名称、项目编号；</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④事实依据；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⑤必要的法律依据；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⑥提出质疑的日期；</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2、质疑答复</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3、其他</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（三）投诉</w:t>
      </w:r>
    </w:p>
    <w:p>
      <w:pPr>
        <w:snapToGrid w:val="0"/>
        <w:spacing w:line="400" w:lineRule="exact"/>
        <w:ind w:firstLine="480" w:firstLineChars="200"/>
        <w:jc w:val="left"/>
        <w:rPr>
          <w:rFonts w:ascii="方正仿宋_GBK" w:hAnsi="宋体" w:eastAsia="方正仿宋_GBK" w:cs="Times New Roman"/>
          <w:color w:val="auto"/>
          <w:sz w:val="24"/>
          <w:szCs w:val="24"/>
        </w:rPr>
      </w:pPr>
      <w:bookmarkStart w:id="60" w:name="_Toc102227322"/>
      <w:bookmarkStart w:id="61" w:name="_Toc403569785"/>
      <w:bookmarkStart w:id="62" w:name="_Toc6381"/>
      <w:bookmarkStart w:id="63" w:name="_Toc342913396"/>
      <w:r>
        <w:rPr>
          <w:rFonts w:hint="eastAsia" w:ascii="方正仿宋_GBK" w:hAnsi="宋体" w:eastAsia="方正仿宋_GBK" w:cs="Times New Roman"/>
          <w:color w:val="auto"/>
          <w:sz w:val="24"/>
          <w:szCs w:val="24"/>
        </w:rPr>
        <w:t>供应商对医院的答复不满意，或者医院未在规定时间内答复的，可在答复期满后15个工作日内按有关规定，向院纪检部门投诉。</w:t>
      </w:r>
    </w:p>
    <w:p>
      <w:pPr>
        <w:pStyle w:val="3"/>
        <w:spacing w:line="240" w:lineRule="auto"/>
        <w:rPr>
          <w:rFonts w:hint="eastAsia" w:ascii="微软雅黑" w:hAnsi="微软雅黑" w:eastAsia="微软雅黑" w:cs="微软雅黑"/>
          <w:color w:val="auto"/>
          <w:sz w:val="24"/>
          <w:szCs w:val="24"/>
        </w:rPr>
      </w:pPr>
      <w:bookmarkStart w:id="64" w:name="_Toc5728"/>
      <w:r>
        <w:rPr>
          <w:rFonts w:hint="eastAsia" w:ascii="微软雅黑" w:hAnsi="微软雅黑" w:eastAsia="微软雅黑" w:cs="微软雅黑"/>
          <w:color w:val="auto"/>
          <w:sz w:val="24"/>
          <w:szCs w:val="24"/>
        </w:rPr>
        <w:t>九、签订</w:t>
      </w:r>
      <w:bookmarkEnd w:id="60"/>
      <w:r>
        <w:rPr>
          <w:rFonts w:hint="eastAsia" w:ascii="微软雅黑" w:hAnsi="微软雅黑" w:eastAsia="微软雅黑" w:cs="微软雅黑"/>
          <w:color w:val="auto"/>
          <w:sz w:val="24"/>
          <w:szCs w:val="24"/>
        </w:rPr>
        <w:t>合同</w:t>
      </w:r>
      <w:bookmarkEnd w:id="61"/>
      <w:bookmarkEnd w:id="62"/>
      <w:bookmarkEnd w:id="63"/>
      <w:bookmarkEnd w:id="64"/>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5、除不可抗力等因素外，成交通知书发出后，采购人改变成交结果，或者成交供应商拒绝签订政府采购合同的，应当承担相应的法律责任。</w:t>
      </w:r>
    </w:p>
    <w:p>
      <w:pPr>
        <w:pStyle w:val="3"/>
        <w:spacing w:line="240" w:lineRule="auto"/>
        <w:rPr>
          <w:rFonts w:hint="eastAsia" w:ascii="微软雅黑" w:hAnsi="微软雅黑" w:eastAsia="微软雅黑" w:cs="微软雅黑"/>
          <w:color w:val="auto"/>
          <w:sz w:val="24"/>
          <w:szCs w:val="24"/>
        </w:rPr>
      </w:pPr>
      <w:bookmarkStart w:id="65" w:name="_Toc29479"/>
      <w:bookmarkStart w:id="66" w:name="_Toc15659"/>
      <w:bookmarkStart w:id="67" w:name="_Toc7675"/>
      <w:r>
        <w:rPr>
          <w:rFonts w:hint="eastAsia" w:ascii="微软雅黑" w:hAnsi="微软雅黑" w:eastAsia="微软雅黑" w:cs="微软雅黑"/>
          <w:color w:val="auto"/>
          <w:sz w:val="24"/>
          <w:szCs w:val="24"/>
        </w:rPr>
        <w:t>十、其他</w:t>
      </w:r>
      <w:bookmarkEnd w:id="65"/>
      <w:bookmarkEnd w:id="66"/>
      <w:bookmarkEnd w:id="67"/>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供应商来院参加采购相关活动，应执行医院《采购和产品介绍活动来院人员新冠防疫管理要求》进行防疫防控（按照“第七篇响应文件格式要求”规定执行）。</w:t>
      </w: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pStyle w:val="2"/>
        <w:jc w:val="both"/>
        <w:rPr>
          <w:rFonts w:hint="eastAsia" w:ascii="微软雅黑" w:hAnsi="微软雅黑" w:eastAsia="微软雅黑" w:cs="微软雅黑"/>
          <w:b/>
          <w:color w:val="auto"/>
          <w:sz w:val="36"/>
          <w:szCs w:val="36"/>
        </w:rPr>
        <w:sectPr>
          <w:pgSz w:w="11907" w:h="16840"/>
          <w:pgMar w:top="1134" w:right="1191" w:bottom="1134" w:left="1304" w:header="964" w:footer="992" w:gutter="0"/>
          <w:cols w:space="720" w:num="1"/>
          <w:docGrid w:linePitch="312" w:charSpace="0"/>
        </w:sectPr>
      </w:pPr>
      <w:bookmarkStart w:id="68" w:name="_Toc485108784"/>
      <w:bookmarkStart w:id="69" w:name="_Toc11770"/>
    </w:p>
    <w:p>
      <w:pPr>
        <w:pStyle w:val="2"/>
        <w:jc w:val="center"/>
        <w:rPr>
          <w:b/>
          <w:color w:val="auto"/>
          <w:sz w:val="44"/>
          <w:szCs w:val="44"/>
        </w:rPr>
      </w:pPr>
      <w:r>
        <w:rPr>
          <w:rFonts w:hint="eastAsia" w:ascii="微软雅黑" w:hAnsi="微软雅黑" w:eastAsia="微软雅黑" w:cs="微软雅黑"/>
          <w:b/>
          <w:color w:val="auto"/>
          <w:sz w:val="36"/>
          <w:szCs w:val="36"/>
        </w:rPr>
        <w:t>第三篇  项目服务需求</w:t>
      </w:r>
      <w:bookmarkEnd w:id="68"/>
      <w:bookmarkEnd w:id="69"/>
    </w:p>
    <w:p>
      <w:pPr>
        <w:rPr>
          <w:rFonts w:ascii="Times New Roman" w:hAnsi="Times New Roman" w:eastAsia="宋体" w:cs="Times New Roman"/>
          <w:color w:val="auto"/>
          <w:sz w:val="28"/>
          <w:szCs w:val="20"/>
        </w:rPr>
      </w:pPr>
    </w:p>
    <w:p>
      <w:pPr>
        <w:pStyle w:val="3"/>
        <w:spacing w:line="240" w:lineRule="auto"/>
        <w:rPr>
          <w:rFonts w:hint="eastAsia" w:ascii="微软雅黑" w:hAnsi="微软雅黑" w:eastAsia="微软雅黑" w:cs="微软雅黑"/>
          <w:color w:val="auto"/>
          <w:sz w:val="24"/>
          <w:szCs w:val="24"/>
        </w:rPr>
      </w:pPr>
      <w:bookmarkStart w:id="70" w:name="_Toc485108785"/>
      <w:bookmarkStart w:id="71" w:name="_Toc766"/>
      <w:bookmarkStart w:id="72" w:name="_Toc12789058"/>
      <w:r>
        <w:rPr>
          <w:rFonts w:hint="eastAsia" w:ascii="微软雅黑" w:hAnsi="微软雅黑" w:eastAsia="微软雅黑" w:cs="微软雅黑"/>
          <w:color w:val="auto"/>
          <w:sz w:val="24"/>
          <w:szCs w:val="24"/>
        </w:rPr>
        <w:t>一、</w:t>
      </w:r>
      <w:bookmarkEnd w:id="70"/>
      <w:r>
        <w:rPr>
          <w:rFonts w:hint="eastAsia" w:ascii="微软雅黑" w:hAnsi="微软雅黑" w:eastAsia="微软雅黑" w:cs="微软雅黑"/>
          <w:color w:val="auto"/>
          <w:sz w:val="24"/>
          <w:szCs w:val="24"/>
        </w:rPr>
        <w:t>项目一览表</w:t>
      </w:r>
      <w:bookmarkEnd w:id="71"/>
    </w:p>
    <w:tbl>
      <w:tblPr>
        <w:tblStyle w:val="58"/>
        <w:tblW w:w="8850" w:type="dxa"/>
        <w:tblInd w:w="534" w:type="dxa"/>
        <w:tblLayout w:type="fixed"/>
        <w:tblCellMar>
          <w:top w:w="0" w:type="dxa"/>
          <w:left w:w="108" w:type="dxa"/>
          <w:bottom w:w="0" w:type="dxa"/>
          <w:right w:w="108" w:type="dxa"/>
        </w:tblCellMar>
      </w:tblPr>
      <w:tblGrid>
        <w:gridCol w:w="3378"/>
        <w:gridCol w:w="2916"/>
        <w:gridCol w:w="2556"/>
      </w:tblGrid>
      <w:tr>
        <w:tc>
          <w:tcPr>
            <w:tcW w:w="3378"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auto"/>
                <w:sz w:val="24"/>
                <w:szCs w:val="24"/>
              </w:rPr>
            </w:pPr>
            <w:r>
              <w:rPr>
                <w:rFonts w:hint="eastAsia" w:ascii="方正仿宋_GBK" w:hAnsi="仿宋" w:eastAsia="方正仿宋_GBK" w:cs="仿宋"/>
                <w:color w:val="auto"/>
                <w:sz w:val="24"/>
                <w:szCs w:val="24"/>
              </w:rPr>
              <w:t>项目名称</w:t>
            </w:r>
          </w:p>
        </w:tc>
        <w:tc>
          <w:tcPr>
            <w:tcW w:w="2916"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hint="eastAsia" w:ascii="方正仿宋_GBK" w:hAnsi="仿宋" w:eastAsia="方正仿宋_GBK" w:cs="仿宋"/>
                <w:color w:val="auto"/>
                <w:sz w:val="24"/>
                <w:szCs w:val="24"/>
                <w:lang w:eastAsia="zh-CN"/>
              </w:rPr>
            </w:pPr>
            <w:r>
              <w:rPr>
                <w:rFonts w:hint="eastAsia" w:ascii="方正仿宋_GBK" w:hAnsi="仿宋" w:eastAsia="方正仿宋_GBK" w:cs="仿宋"/>
                <w:color w:val="auto"/>
                <w:sz w:val="24"/>
                <w:szCs w:val="24"/>
              </w:rPr>
              <w:t>成交供应商数量</w:t>
            </w:r>
            <w:r>
              <w:rPr>
                <w:rFonts w:hint="eastAsia" w:ascii="方正仿宋_GBK" w:hAnsi="仿宋" w:eastAsia="方正仿宋_GBK" w:cs="仿宋"/>
                <w:color w:val="auto"/>
                <w:sz w:val="24"/>
                <w:szCs w:val="24"/>
                <w:lang w:eastAsia="zh-CN"/>
              </w:rPr>
              <w:t>（名）</w:t>
            </w:r>
          </w:p>
        </w:tc>
        <w:tc>
          <w:tcPr>
            <w:tcW w:w="2556"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auto"/>
                <w:sz w:val="24"/>
                <w:szCs w:val="24"/>
              </w:rPr>
            </w:pPr>
            <w:r>
              <w:rPr>
                <w:rFonts w:hint="eastAsia" w:ascii="方正仿宋_GBK" w:hAnsi="仿宋" w:eastAsia="方正仿宋_GBK" w:cs="仿宋"/>
                <w:color w:val="auto"/>
                <w:sz w:val="24"/>
                <w:szCs w:val="24"/>
              </w:rPr>
              <w:t>备注</w:t>
            </w:r>
          </w:p>
        </w:tc>
      </w:tr>
      <w:tr>
        <w:tblPrEx>
          <w:tblCellMar>
            <w:top w:w="0" w:type="dxa"/>
            <w:left w:w="108" w:type="dxa"/>
            <w:bottom w:w="0" w:type="dxa"/>
            <w:right w:w="108" w:type="dxa"/>
          </w:tblCellMar>
        </w:tblPrEx>
        <w:tc>
          <w:tcPr>
            <w:tcW w:w="3378"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hAnsi="仿宋" w:eastAsia="方正仿宋_GBK" w:cs="仿宋"/>
                <w:color w:val="auto"/>
                <w:sz w:val="24"/>
                <w:szCs w:val="24"/>
              </w:rPr>
            </w:pPr>
            <w:r>
              <w:rPr>
                <w:rFonts w:hint="eastAsia" w:ascii="方正仿宋_GBK" w:hAnsi="宋体" w:eastAsia="方正仿宋_GBK"/>
                <w:color w:val="auto"/>
                <w:szCs w:val="21"/>
                <w:lang w:val="en-US" w:eastAsia="zh-CN"/>
              </w:rPr>
              <w:t>防火隔墙及防火门改造服务</w:t>
            </w:r>
          </w:p>
        </w:tc>
        <w:tc>
          <w:tcPr>
            <w:tcW w:w="2916"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auto"/>
                <w:sz w:val="24"/>
                <w:szCs w:val="24"/>
              </w:rPr>
            </w:pPr>
            <w:r>
              <w:rPr>
                <w:rFonts w:hint="eastAsia" w:ascii="方正仿宋_GBK" w:hAnsi="仿宋" w:eastAsia="方正仿宋_GBK" w:cs="仿宋"/>
                <w:color w:val="auto"/>
                <w:sz w:val="24"/>
                <w:szCs w:val="24"/>
              </w:rPr>
              <w:t>1</w:t>
            </w:r>
          </w:p>
        </w:tc>
        <w:tc>
          <w:tcPr>
            <w:tcW w:w="2556"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hint="default" w:ascii="方正仿宋_GBK" w:hAnsi="仿宋" w:eastAsia="方正仿宋_GBK" w:cs="仿宋"/>
                <w:color w:val="auto"/>
                <w:sz w:val="24"/>
                <w:szCs w:val="24"/>
                <w:lang w:val="en-US" w:eastAsia="zh-CN"/>
              </w:rPr>
            </w:pPr>
          </w:p>
        </w:tc>
      </w:tr>
    </w:tbl>
    <w:p>
      <w:pPr>
        <w:pStyle w:val="3"/>
        <w:spacing w:line="240" w:lineRule="auto"/>
        <w:rPr>
          <w:rFonts w:hint="eastAsia" w:ascii="微软雅黑" w:hAnsi="微软雅黑" w:eastAsia="微软雅黑" w:cs="微软雅黑"/>
          <w:color w:val="auto"/>
          <w:sz w:val="24"/>
          <w:szCs w:val="24"/>
        </w:rPr>
      </w:pPr>
      <w:bookmarkStart w:id="73" w:name="_Toc485108786"/>
      <w:bookmarkStart w:id="74" w:name="_Toc18590"/>
      <w:r>
        <w:rPr>
          <w:rFonts w:hint="eastAsia" w:ascii="微软雅黑" w:hAnsi="微软雅黑" w:eastAsia="微软雅黑" w:cs="微软雅黑"/>
          <w:color w:val="auto"/>
          <w:sz w:val="24"/>
          <w:szCs w:val="24"/>
        </w:rPr>
        <w:t>二、服务要求</w:t>
      </w:r>
      <w:bookmarkEnd w:id="73"/>
      <w:bookmarkEnd w:id="74"/>
    </w:p>
    <w:p>
      <w:pPr>
        <w:pStyle w:val="267"/>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方正仿宋_GBK" w:hAnsi="宋体" w:eastAsia="方正仿宋_GBK" w:cs="Times New Roman"/>
          <w:color w:val="auto"/>
          <w:kern w:val="2"/>
          <w:sz w:val="24"/>
          <w:szCs w:val="24"/>
          <w:lang w:val="en-US" w:eastAsia="zh-CN" w:bidi="ar-SA"/>
        </w:rPr>
      </w:pPr>
      <w:r>
        <w:rPr>
          <w:rFonts w:hint="eastAsia" w:ascii="方正仿宋_GBK" w:hAnsi="宋体" w:eastAsia="方正仿宋_GBK" w:cs="Times New Roman"/>
          <w:color w:val="auto"/>
          <w:kern w:val="2"/>
          <w:sz w:val="24"/>
          <w:szCs w:val="24"/>
          <w:lang w:val="en-US" w:eastAsia="zh-CN" w:bidi="ar-SA"/>
        </w:rPr>
        <w:t>1、防火隔墙及防火门数量及参数要求见附件报价表。</w:t>
      </w:r>
    </w:p>
    <w:p>
      <w:pPr>
        <w:pStyle w:val="267"/>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方正仿宋_GBK" w:hAnsi="宋体" w:eastAsia="方正仿宋_GBK" w:cs="Times New Roman"/>
          <w:color w:val="auto"/>
          <w:kern w:val="2"/>
          <w:sz w:val="24"/>
          <w:szCs w:val="24"/>
          <w:lang w:val="en-US" w:eastAsia="zh-CN" w:bidi="ar-SA"/>
        </w:rPr>
      </w:pPr>
      <w:r>
        <w:rPr>
          <w:rFonts w:hint="eastAsia" w:ascii="方正仿宋_GBK" w:hAnsi="宋体" w:eastAsia="方正仿宋_GBK" w:cs="Times New Roman"/>
          <w:color w:val="auto"/>
          <w:kern w:val="2"/>
          <w:sz w:val="24"/>
          <w:szCs w:val="24"/>
          <w:lang w:val="en-US" w:eastAsia="zh-CN" w:bidi="ar-SA"/>
        </w:rPr>
        <w:t>2、产品质量：采购的产品为正规厂家生产的全新合格产品，产品质量须符合国家相关的产品质量标准及要求，提供产品检验报告或合格证明。</w:t>
      </w:r>
    </w:p>
    <w:p>
      <w:pPr>
        <w:pStyle w:val="267"/>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方正仿宋_GBK" w:hAnsi="宋体" w:eastAsia="方正仿宋_GBK" w:cs="Times New Roman"/>
          <w:color w:val="auto"/>
          <w:kern w:val="2"/>
          <w:sz w:val="24"/>
          <w:szCs w:val="24"/>
          <w:lang w:val="en-US" w:eastAsia="zh-CN" w:bidi="ar-SA"/>
        </w:rPr>
      </w:pPr>
      <w:r>
        <w:rPr>
          <w:rFonts w:hint="eastAsia" w:ascii="方正仿宋_GBK" w:hAnsi="宋体" w:eastAsia="方正仿宋_GBK" w:cs="Times New Roman"/>
          <w:color w:val="auto"/>
          <w:kern w:val="2"/>
          <w:sz w:val="24"/>
          <w:szCs w:val="24"/>
          <w:lang w:val="en-US" w:eastAsia="zh-CN" w:bidi="ar-SA"/>
        </w:rPr>
        <w:t>3.施工安装：服务方在项目施工前需由医院相应部门提交院内施工安全许可审批，取得施工许可证后方可进场施工。</w:t>
      </w:r>
    </w:p>
    <w:p>
      <w:pPr>
        <w:pStyle w:val="267"/>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方正仿宋_GBK" w:hAnsi="宋体" w:eastAsia="方正仿宋_GBK" w:cs="Times New Roman"/>
          <w:color w:val="auto"/>
          <w:kern w:val="2"/>
          <w:sz w:val="24"/>
          <w:szCs w:val="24"/>
          <w:lang w:val="en-US" w:eastAsia="zh-CN" w:bidi="ar-SA"/>
        </w:rPr>
      </w:pPr>
      <w:r>
        <w:rPr>
          <w:rFonts w:hint="eastAsia" w:ascii="方正仿宋_GBK" w:hAnsi="宋体" w:eastAsia="方正仿宋_GBK" w:cs="Times New Roman"/>
          <w:color w:val="auto"/>
          <w:kern w:val="2"/>
          <w:sz w:val="24"/>
          <w:szCs w:val="24"/>
          <w:lang w:val="en-US" w:eastAsia="zh-CN" w:bidi="ar-SA"/>
        </w:rPr>
        <w:t>4、服务方应对维修更换现场进行恢复，如对瓷砖及墙体等有损坏的需进行修复，达到原貌或近似原貌。对更换下来的杂物进行清运、打扫，保持现场清洁、卫生。</w:t>
      </w: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pStyle w:val="2"/>
        <w:jc w:val="both"/>
        <w:rPr>
          <w:rFonts w:hint="eastAsia" w:ascii="微软雅黑" w:hAnsi="微软雅黑" w:eastAsia="微软雅黑" w:cs="微软雅黑"/>
          <w:b/>
          <w:color w:val="auto"/>
          <w:sz w:val="36"/>
          <w:szCs w:val="36"/>
        </w:rPr>
        <w:sectPr>
          <w:pgSz w:w="11907" w:h="16840"/>
          <w:pgMar w:top="1134" w:right="1191" w:bottom="1134" w:left="1304" w:header="964" w:footer="992" w:gutter="0"/>
          <w:cols w:space="720" w:num="1"/>
          <w:docGrid w:linePitch="312" w:charSpace="0"/>
        </w:sectPr>
      </w:pPr>
      <w:bookmarkStart w:id="75" w:name="_Toc28327"/>
      <w:bookmarkStart w:id="76" w:name="_Toc485108787"/>
    </w:p>
    <w:p>
      <w:pPr>
        <w:pStyle w:val="2"/>
        <w:jc w:val="center"/>
        <w:rPr>
          <w:b/>
          <w:color w:val="auto"/>
          <w:sz w:val="44"/>
          <w:szCs w:val="44"/>
        </w:rPr>
      </w:pPr>
      <w:r>
        <w:rPr>
          <w:rFonts w:hint="eastAsia" w:ascii="微软雅黑" w:hAnsi="微软雅黑" w:eastAsia="微软雅黑" w:cs="微软雅黑"/>
          <w:b/>
          <w:color w:val="auto"/>
          <w:sz w:val="36"/>
          <w:szCs w:val="36"/>
        </w:rPr>
        <w:t>第四篇  项目商务需求</w:t>
      </w:r>
      <w:bookmarkEnd w:id="72"/>
      <w:bookmarkEnd w:id="75"/>
      <w:bookmarkEnd w:id="76"/>
      <w:bookmarkStart w:id="77" w:name="_Toc11641055"/>
      <w:bookmarkStart w:id="78" w:name="_Toc12789059"/>
    </w:p>
    <w:p>
      <w:pPr>
        <w:pStyle w:val="3"/>
        <w:spacing w:line="240" w:lineRule="auto"/>
        <w:rPr>
          <w:rFonts w:hint="eastAsia" w:ascii="微软雅黑" w:hAnsi="微软雅黑" w:eastAsia="微软雅黑" w:cs="微软雅黑"/>
          <w:color w:val="auto"/>
          <w:sz w:val="24"/>
          <w:szCs w:val="24"/>
        </w:rPr>
      </w:pPr>
      <w:bookmarkStart w:id="79" w:name="_Toc485108788"/>
      <w:bookmarkStart w:id="80" w:name="_Toc2302"/>
      <w:bookmarkStart w:id="81" w:name="_Toc344475121"/>
      <w:r>
        <w:rPr>
          <w:rFonts w:hint="eastAsia" w:ascii="微软雅黑" w:hAnsi="微软雅黑" w:eastAsia="微软雅黑" w:cs="微软雅黑"/>
          <w:color w:val="auto"/>
          <w:sz w:val="24"/>
          <w:szCs w:val="24"/>
        </w:rPr>
        <w:t>一、服务</w:t>
      </w:r>
      <w:r>
        <w:rPr>
          <w:rFonts w:hint="eastAsia" w:ascii="微软雅黑" w:hAnsi="微软雅黑" w:eastAsia="微软雅黑" w:cs="微软雅黑"/>
          <w:color w:val="auto"/>
          <w:sz w:val="24"/>
          <w:szCs w:val="24"/>
          <w:lang w:eastAsia="zh-CN"/>
        </w:rPr>
        <w:t>时间、</w:t>
      </w:r>
      <w:r>
        <w:rPr>
          <w:rFonts w:hint="eastAsia" w:ascii="微软雅黑" w:hAnsi="微软雅黑" w:eastAsia="微软雅黑" w:cs="微软雅黑"/>
          <w:color w:val="auto"/>
          <w:sz w:val="24"/>
          <w:szCs w:val="24"/>
        </w:rPr>
        <w:t>地点及验收方式</w:t>
      </w:r>
      <w:bookmarkEnd w:id="79"/>
      <w:bookmarkEnd w:id="80"/>
    </w:p>
    <w:p>
      <w:pPr>
        <w:spacing w:line="400" w:lineRule="exact"/>
        <w:ind w:firstLine="480" w:firstLineChars="200"/>
        <w:rPr>
          <w:rFonts w:hint="eastAsia" w:ascii="方正仿宋_GBK" w:hAnsi="宋体" w:eastAsia="方正仿宋_GBK" w:cs="Times New Roman"/>
          <w:b w:val="0"/>
          <w:color w:val="auto"/>
          <w:kern w:val="2"/>
          <w:sz w:val="24"/>
          <w:szCs w:val="24"/>
          <w:lang w:val="en-US" w:eastAsia="zh-CN" w:bidi="ar-SA"/>
        </w:rPr>
      </w:pP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eastAsia="zh-CN"/>
        </w:rPr>
        <w:t>一</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eastAsia="zh-CN"/>
        </w:rPr>
        <w:t>服务时间</w:t>
      </w:r>
      <w:r>
        <w:rPr>
          <w:rFonts w:hint="eastAsia" w:ascii="方正仿宋_GBK" w:hAnsi="宋体" w:eastAsia="方正仿宋_GBK" w:cs="Times New Roman"/>
          <w:b w:val="0"/>
          <w:color w:val="auto"/>
          <w:kern w:val="2"/>
          <w:sz w:val="24"/>
          <w:szCs w:val="24"/>
          <w:lang w:val="en-US" w:eastAsia="zh-CN" w:bidi="ar-SA"/>
        </w:rPr>
        <w:t>：服务方根据项目内容自主承诺服务时间。</w:t>
      </w:r>
    </w:p>
    <w:p>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b w:val="0"/>
          <w:color w:val="auto"/>
          <w:kern w:val="2"/>
          <w:sz w:val="24"/>
          <w:szCs w:val="24"/>
          <w:lang w:val="en-US" w:eastAsia="zh-CN" w:bidi="ar-SA"/>
        </w:rPr>
        <w:t>（二）</w:t>
      </w:r>
      <w:r>
        <w:rPr>
          <w:rFonts w:hint="eastAsia" w:ascii="方正仿宋_GBK" w:hAnsi="宋体" w:eastAsia="方正仿宋_GBK" w:cs="Times New Roman"/>
          <w:color w:val="auto"/>
          <w:sz w:val="24"/>
          <w:szCs w:val="24"/>
        </w:rPr>
        <w:t>服务地点：重庆医科大学附属永川医院6号楼食堂1楼和负1楼</w:t>
      </w:r>
      <w:r>
        <w:rPr>
          <w:rFonts w:hint="eastAsia" w:ascii="方正仿宋_GBK" w:hAnsi="宋体" w:eastAsia="方正仿宋_GBK" w:cs="Times New Roman"/>
          <w:color w:val="auto"/>
          <w:sz w:val="24"/>
          <w:szCs w:val="24"/>
          <w:lang w:eastAsia="zh-CN"/>
        </w:rPr>
        <w:t>。</w:t>
      </w:r>
    </w:p>
    <w:bookmarkEnd w:id="81"/>
    <w:p>
      <w:pPr>
        <w:pStyle w:val="3"/>
        <w:pageBreakBefore w:val="0"/>
        <w:widowControl w:val="0"/>
        <w:kinsoku/>
        <w:wordWrap/>
        <w:overflowPunct/>
        <w:topLinePunct w:val="0"/>
        <w:autoSpaceDE/>
        <w:autoSpaceDN/>
        <w:bidi w:val="0"/>
        <w:adjustRightInd/>
        <w:snapToGrid/>
        <w:spacing w:before="0" w:after="0" w:line="240" w:lineRule="auto"/>
        <w:ind w:firstLine="480" w:firstLineChars="200"/>
        <w:textAlignment w:val="auto"/>
        <w:rPr>
          <w:rFonts w:hint="eastAsia" w:ascii="方正仿宋_GBK" w:hAnsi="宋体" w:eastAsia="方正仿宋_GBK" w:cs="Times New Roman"/>
          <w:b w:val="0"/>
          <w:color w:val="auto"/>
          <w:kern w:val="2"/>
          <w:sz w:val="24"/>
          <w:szCs w:val="24"/>
          <w:lang w:val="en-US" w:eastAsia="zh-CN" w:bidi="ar-SA"/>
        </w:rPr>
      </w:pPr>
      <w:bookmarkStart w:id="82" w:name="_Toc485108789"/>
      <w:bookmarkStart w:id="83" w:name="_Toc279"/>
      <w:bookmarkStart w:id="84" w:name="_Toc485108790"/>
      <w:bookmarkStart w:id="85" w:name="_Toc344475122"/>
      <w:r>
        <w:rPr>
          <w:rFonts w:hint="eastAsia" w:ascii="方正仿宋_GBK" w:hAnsi="宋体" w:eastAsia="方正仿宋_GBK" w:cs="Times New Roman"/>
          <w:b w:val="0"/>
          <w:color w:val="auto"/>
          <w:kern w:val="2"/>
          <w:sz w:val="24"/>
          <w:szCs w:val="24"/>
          <w:lang w:val="en-US" w:eastAsia="zh-CN" w:bidi="ar-SA"/>
        </w:rPr>
        <w:t>（三）验收方式：</w:t>
      </w:r>
      <w:bookmarkEnd w:id="82"/>
      <w:bookmarkEnd w:id="83"/>
      <w:bookmarkStart w:id="86" w:name="_Toc15905"/>
      <w:r>
        <w:rPr>
          <w:rFonts w:hint="eastAsia" w:ascii="方正仿宋_GBK" w:hAnsi="宋体" w:eastAsia="方正仿宋_GBK" w:cs="Times New Roman"/>
          <w:b w:val="0"/>
          <w:color w:val="auto"/>
          <w:kern w:val="2"/>
          <w:sz w:val="24"/>
          <w:szCs w:val="24"/>
          <w:lang w:val="en-US" w:eastAsia="zh-CN" w:bidi="ar-SA"/>
        </w:rPr>
        <w:t>设施安装调试完成后，双方共同进行验收，服务方需移交检验报告或产品合格证等材料，验收完成后双方人员签字确认。</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二</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eastAsia="zh-CN"/>
        </w:rPr>
        <w:t>报价要求及</w:t>
      </w:r>
      <w:r>
        <w:rPr>
          <w:rFonts w:hint="eastAsia" w:ascii="微软雅黑" w:hAnsi="微软雅黑" w:eastAsia="微软雅黑" w:cs="微软雅黑"/>
          <w:color w:val="auto"/>
          <w:sz w:val="24"/>
          <w:szCs w:val="24"/>
        </w:rPr>
        <w:t>付款方式</w:t>
      </w:r>
      <w:bookmarkEnd w:id="84"/>
      <w:bookmarkEnd w:id="85"/>
      <w:bookmarkEnd w:id="86"/>
    </w:p>
    <w:p>
      <w:pPr>
        <w:snapToGrid w:val="0"/>
        <w:spacing w:line="400" w:lineRule="exact"/>
        <w:ind w:firstLine="480" w:firstLineChars="200"/>
        <w:rPr>
          <w:rFonts w:hint="eastAsia" w:ascii="方正仿宋_GBK" w:hAnsi="宋体" w:eastAsia="方正仿宋_GBK" w:cs="宋体"/>
          <w:color w:val="auto"/>
          <w:kern w:val="0"/>
          <w:sz w:val="24"/>
          <w:szCs w:val="24"/>
          <w:lang w:eastAsia="zh-CN"/>
        </w:rPr>
      </w:pPr>
      <w:r>
        <w:rPr>
          <w:rFonts w:hint="eastAsia" w:ascii="方正仿宋_GBK" w:hAnsi="宋体" w:eastAsia="方正仿宋_GBK" w:cs="宋体"/>
          <w:color w:val="auto"/>
          <w:kern w:val="0"/>
          <w:sz w:val="24"/>
          <w:szCs w:val="24"/>
        </w:rPr>
        <w:t>（</w:t>
      </w:r>
      <w:r>
        <w:rPr>
          <w:rFonts w:hint="eastAsia" w:ascii="方正仿宋_GBK" w:hAnsi="宋体" w:eastAsia="方正仿宋_GBK" w:cs="宋体"/>
          <w:color w:val="auto"/>
          <w:kern w:val="0"/>
          <w:sz w:val="24"/>
          <w:szCs w:val="24"/>
          <w:lang w:eastAsia="zh-CN"/>
        </w:rPr>
        <w:t>一</w:t>
      </w:r>
      <w:r>
        <w:rPr>
          <w:rFonts w:hint="eastAsia" w:ascii="方正仿宋_GBK" w:hAnsi="宋体" w:eastAsia="方正仿宋_GBK" w:cs="宋体"/>
          <w:color w:val="auto"/>
          <w:kern w:val="0"/>
          <w:sz w:val="24"/>
          <w:szCs w:val="24"/>
        </w:rPr>
        <w:t>）</w:t>
      </w:r>
      <w:r>
        <w:rPr>
          <w:rFonts w:hint="eastAsia" w:ascii="方正仿宋_GBK" w:hAnsi="宋体" w:eastAsia="方正仿宋_GBK" w:cs="宋体"/>
          <w:color w:val="auto"/>
          <w:kern w:val="0"/>
          <w:sz w:val="24"/>
          <w:szCs w:val="24"/>
          <w:lang w:eastAsia="zh-CN"/>
        </w:rPr>
        <w:t>报价要求</w:t>
      </w:r>
    </w:p>
    <w:p>
      <w:pPr>
        <w:pStyle w:val="267"/>
        <w:keepNext w:val="0"/>
        <w:keepLines w:val="0"/>
        <w:pageBreakBefore w:val="0"/>
        <w:widowControl w:val="0"/>
        <w:kinsoku/>
        <w:wordWrap/>
        <w:overflowPunct/>
        <w:topLinePunct w:val="0"/>
        <w:autoSpaceDE/>
        <w:autoSpaceDN/>
        <w:bidi w:val="0"/>
        <w:adjustRightInd/>
        <w:spacing w:line="240" w:lineRule="auto"/>
        <w:ind w:firstLine="480" w:firstLineChars="200"/>
        <w:textAlignment w:val="auto"/>
        <w:rPr>
          <w:rFonts w:hint="eastAsia" w:ascii="方正仿宋_GBK" w:hAnsi="宋体" w:eastAsia="方正仿宋_GBK" w:cs="Times New Roman"/>
          <w:b w:val="0"/>
          <w:color w:val="auto"/>
          <w:kern w:val="2"/>
          <w:sz w:val="24"/>
          <w:szCs w:val="24"/>
          <w:lang w:val="en-US" w:eastAsia="zh-CN" w:bidi="ar-SA"/>
        </w:rPr>
      </w:pPr>
      <w:r>
        <w:rPr>
          <w:rFonts w:hint="eastAsia" w:ascii="方正仿宋_GBK" w:hAnsi="宋体" w:eastAsia="方正仿宋_GBK" w:cs="Times New Roman"/>
          <w:b w:val="0"/>
          <w:color w:val="auto"/>
          <w:kern w:val="2"/>
          <w:sz w:val="24"/>
          <w:szCs w:val="24"/>
          <w:lang w:val="en-US" w:eastAsia="zh-CN" w:bidi="ar-SA"/>
        </w:rPr>
        <w:t>服务方按照报价表进行报价（报价表见附件）。报价包含但不限于税费、材料费、运输费、人工费、机械使用费、管理费、利润、安全文明施工费、除渣等各项费用。</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宋体"/>
          <w:color w:val="auto"/>
          <w:kern w:val="0"/>
          <w:sz w:val="24"/>
          <w:szCs w:val="24"/>
        </w:rPr>
      </w:pPr>
      <w:r>
        <w:rPr>
          <w:rFonts w:hint="eastAsia" w:ascii="方正仿宋_GBK" w:hAnsi="宋体" w:eastAsia="方正仿宋_GBK" w:cs="宋体"/>
          <w:color w:val="auto"/>
          <w:kern w:val="0"/>
          <w:sz w:val="24"/>
          <w:szCs w:val="24"/>
        </w:rPr>
        <w:t>（</w:t>
      </w:r>
      <w:r>
        <w:rPr>
          <w:rFonts w:hint="eastAsia" w:ascii="方正仿宋_GBK" w:hAnsi="宋体" w:eastAsia="方正仿宋_GBK" w:cs="宋体"/>
          <w:color w:val="auto"/>
          <w:kern w:val="0"/>
          <w:sz w:val="24"/>
          <w:szCs w:val="24"/>
          <w:lang w:eastAsia="zh-CN"/>
        </w:rPr>
        <w:t>二</w:t>
      </w:r>
      <w:r>
        <w:rPr>
          <w:rFonts w:hint="eastAsia" w:ascii="方正仿宋_GBK" w:hAnsi="宋体" w:eastAsia="方正仿宋_GBK" w:cs="宋体"/>
          <w:color w:val="auto"/>
          <w:kern w:val="0"/>
          <w:sz w:val="24"/>
          <w:szCs w:val="24"/>
        </w:rPr>
        <w:t>）付款方式</w:t>
      </w:r>
    </w:p>
    <w:p>
      <w:pPr>
        <w:pStyle w:val="267"/>
        <w:keepNext w:val="0"/>
        <w:keepLines w:val="0"/>
        <w:pageBreakBefore w:val="0"/>
        <w:widowControl w:val="0"/>
        <w:kinsoku/>
        <w:wordWrap/>
        <w:overflowPunct/>
        <w:topLinePunct w:val="0"/>
        <w:autoSpaceDE/>
        <w:autoSpaceDN/>
        <w:bidi w:val="0"/>
        <w:adjustRightInd/>
        <w:spacing w:line="240" w:lineRule="auto"/>
        <w:ind w:firstLine="480" w:firstLineChars="200"/>
        <w:textAlignment w:val="auto"/>
        <w:rPr>
          <w:rFonts w:hint="eastAsia" w:ascii="方正仿宋_GBK" w:hAnsi="宋体" w:eastAsia="方正仿宋_GBK" w:cs="Times New Roman"/>
          <w:b w:val="0"/>
          <w:color w:val="auto"/>
          <w:kern w:val="2"/>
          <w:sz w:val="24"/>
          <w:szCs w:val="24"/>
          <w:lang w:val="en-US" w:eastAsia="zh-CN" w:bidi="ar-SA"/>
        </w:rPr>
      </w:pPr>
      <w:bookmarkStart w:id="87" w:name="_Toc403569795"/>
      <w:bookmarkStart w:id="88" w:name="_Toc7358"/>
      <w:bookmarkStart w:id="89" w:name="_Toc485108793"/>
      <w:r>
        <w:rPr>
          <w:rFonts w:hint="eastAsia" w:ascii="方正仿宋_GBK" w:hAnsi="宋体" w:eastAsia="方正仿宋_GBK" w:cs="Times New Roman"/>
          <w:b w:val="0"/>
          <w:color w:val="auto"/>
          <w:kern w:val="2"/>
          <w:sz w:val="24"/>
          <w:szCs w:val="24"/>
          <w:lang w:val="en-US" w:eastAsia="zh-CN" w:bidi="ar-SA"/>
        </w:rPr>
        <w:t>本次项目无预付款，安装验收合格后成交方提供正式发票，采购方见票后于60日内转账支付合同总金额95%，剩余5%为质量保证金，质保期满且无任何质量问题，无息退还质保金。</w:t>
      </w:r>
    </w:p>
    <w:p>
      <w:pPr>
        <w:pStyle w:val="227"/>
        <w:numPr>
          <w:ilvl w:val="0"/>
          <w:numId w:val="13"/>
        </w:numPr>
        <w:bidi w:val="0"/>
        <w:rPr>
          <w:rFonts w:hint="eastAsia" w:ascii="微软雅黑" w:hAnsi="微软雅黑" w:eastAsia="微软雅黑" w:cs="微软雅黑"/>
          <w:b/>
          <w:color w:val="auto"/>
          <w:kern w:val="2"/>
          <w:sz w:val="24"/>
          <w:szCs w:val="24"/>
          <w:lang w:val="en-US" w:eastAsia="zh-CN" w:bidi="ar-SA"/>
        </w:rPr>
      </w:pPr>
      <w:r>
        <w:rPr>
          <w:rFonts w:hint="eastAsia" w:ascii="微软雅黑" w:hAnsi="微软雅黑" w:eastAsia="微软雅黑" w:cs="微软雅黑"/>
          <w:b/>
          <w:color w:val="auto"/>
          <w:kern w:val="2"/>
          <w:sz w:val="24"/>
          <w:szCs w:val="24"/>
          <w:lang w:val="en-US" w:eastAsia="zh-CN" w:bidi="ar-SA"/>
        </w:rPr>
        <w:t>质量保期及售后服务</w:t>
      </w:r>
    </w:p>
    <w:p>
      <w:pPr>
        <w:pStyle w:val="227"/>
        <w:numPr>
          <w:ilvl w:val="0"/>
          <w:numId w:val="14"/>
        </w:numPr>
        <w:bidi w:val="0"/>
        <w:rPr>
          <w:rFonts w:hint="eastAsia" w:ascii="方正仿宋_GBK" w:hAnsi="宋体" w:eastAsia="方正仿宋_GBK" w:cs="Times New Roman"/>
          <w:b w:val="0"/>
          <w:color w:val="auto"/>
          <w:kern w:val="2"/>
          <w:sz w:val="24"/>
          <w:szCs w:val="24"/>
          <w:lang w:val="en-US" w:eastAsia="zh-CN" w:bidi="ar-SA"/>
        </w:rPr>
      </w:pPr>
      <w:r>
        <w:rPr>
          <w:rFonts w:hint="eastAsia" w:ascii="方正仿宋_GBK" w:hAnsi="宋体" w:eastAsia="方正仿宋_GBK" w:cs="Times New Roman"/>
          <w:b w:val="0"/>
          <w:color w:val="auto"/>
          <w:kern w:val="2"/>
          <w:sz w:val="24"/>
          <w:szCs w:val="24"/>
          <w:lang w:val="en-US" w:eastAsia="zh-CN" w:bidi="ar-SA"/>
        </w:rPr>
        <w:t>质保期：至少1年，质保期内免费维修、更换。</w:t>
      </w:r>
    </w:p>
    <w:p>
      <w:pPr>
        <w:pStyle w:val="227"/>
        <w:numPr>
          <w:ilvl w:val="0"/>
          <w:numId w:val="14"/>
        </w:numPr>
        <w:bidi w:val="0"/>
        <w:rPr>
          <w:rFonts w:hint="eastAsia" w:ascii="方正仿宋_GBK" w:hAnsi="宋体" w:eastAsia="方正仿宋_GBK" w:cs="Times New Roman"/>
          <w:b w:val="0"/>
          <w:color w:val="auto"/>
          <w:kern w:val="2"/>
          <w:sz w:val="24"/>
          <w:szCs w:val="24"/>
          <w:lang w:val="en-US" w:eastAsia="zh-CN" w:bidi="ar-SA"/>
        </w:rPr>
      </w:pPr>
      <w:r>
        <w:rPr>
          <w:rFonts w:hint="eastAsia" w:ascii="方正仿宋_GBK" w:hAnsi="宋体" w:eastAsia="方正仿宋_GBK" w:cs="Times New Roman"/>
          <w:b w:val="0"/>
          <w:color w:val="auto"/>
          <w:kern w:val="2"/>
          <w:sz w:val="24"/>
          <w:szCs w:val="24"/>
          <w:lang w:val="en-US" w:eastAsia="zh-CN" w:bidi="ar-SA"/>
        </w:rPr>
        <w:t>售后服务要求：服务方接到通知后应立即响应，电话咨询不能解决的应在24小时内安排技术人员到达现场处理，直至解除故障，给院方造成损失的还应由服务方负责赔偿。服务方应认真履行售后服务承诺，质保期后提供售后维修服务的，维修只收取配件费。</w:t>
      </w:r>
    </w:p>
    <w:p>
      <w:pPr>
        <w:pStyle w:val="3"/>
        <w:spacing w:line="240" w:lineRule="auto"/>
        <w:rPr>
          <w:rFonts w:hint="eastAsia" w:ascii="微软雅黑" w:hAnsi="微软雅黑" w:eastAsia="微软雅黑" w:cs="微软雅黑"/>
          <w:color w:val="auto"/>
          <w:sz w:val="24"/>
          <w:szCs w:val="24"/>
        </w:rPr>
      </w:pPr>
      <w:bookmarkStart w:id="90" w:name="_Toc11645"/>
      <w:r>
        <w:rPr>
          <w:rFonts w:hint="eastAsia" w:ascii="微软雅黑" w:hAnsi="微软雅黑" w:eastAsia="微软雅黑" w:cs="微软雅黑"/>
          <w:color w:val="auto"/>
          <w:sz w:val="24"/>
          <w:szCs w:val="24"/>
          <w:lang w:val="en-US" w:eastAsia="zh-CN"/>
        </w:rPr>
        <w:t>四</w:t>
      </w:r>
      <w:r>
        <w:rPr>
          <w:rFonts w:hint="eastAsia" w:ascii="微软雅黑" w:hAnsi="微软雅黑" w:eastAsia="微软雅黑" w:cs="微软雅黑"/>
          <w:color w:val="auto"/>
          <w:sz w:val="24"/>
          <w:szCs w:val="24"/>
        </w:rPr>
        <w:t>、知识产权</w:t>
      </w:r>
      <w:bookmarkEnd w:id="90"/>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hint="eastAsia" w:ascii="微软雅黑" w:hAnsi="微软雅黑" w:eastAsia="微软雅黑" w:cs="微软雅黑"/>
          <w:color w:val="auto"/>
          <w:sz w:val="24"/>
          <w:szCs w:val="24"/>
          <w:lang w:val="en-US" w:eastAsia="zh-CN"/>
        </w:rPr>
      </w:pPr>
      <w:r>
        <w:rPr>
          <w:rFonts w:hint="eastAsia" w:ascii="方正仿宋_GBK" w:hAnsi="宋体" w:eastAsia="方正仿宋_GBK" w:cs="Times New Roman"/>
          <w:color w:val="auto"/>
          <w:sz w:val="24"/>
          <w:szCs w:val="24"/>
        </w:rPr>
        <w:t>（注：若涉及软件开发等服务类项目知识产权的，知识产权归采购人所有）。</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五</w:t>
      </w:r>
      <w:r>
        <w:rPr>
          <w:rFonts w:hint="eastAsia" w:ascii="微软雅黑" w:hAnsi="微软雅黑" w:eastAsia="微软雅黑" w:cs="微软雅黑"/>
          <w:color w:val="auto"/>
          <w:sz w:val="24"/>
          <w:szCs w:val="24"/>
        </w:rPr>
        <w:t>、其他</w:t>
      </w:r>
      <w:bookmarkEnd w:id="87"/>
      <w:bookmarkEnd w:id="88"/>
      <w:bookmarkEnd w:id="89"/>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（二）其他未尽事宜由供需双方在采购合同中详细约定。</w:t>
      </w:r>
    </w:p>
    <w:p>
      <w:pPr>
        <w:pStyle w:val="2"/>
        <w:jc w:val="center"/>
        <w:rPr>
          <w:color w:val="auto"/>
          <w:sz w:val="44"/>
          <w:szCs w:val="44"/>
        </w:rPr>
      </w:pPr>
      <w:r>
        <w:rPr>
          <w:rFonts w:eastAsia="黑体"/>
          <w:b/>
          <w:color w:val="auto"/>
        </w:rPr>
        <w:br w:type="page"/>
      </w:r>
      <w:bookmarkEnd w:id="77"/>
      <w:bookmarkEnd w:id="78"/>
      <w:bookmarkStart w:id="91" w:name="_Toc14840"/>
      <w:bookmarkStart w:id="92" w:name="_Toc485108794"/>
      <w:bookmarkStart w:id="93" w:name="_Toc403569796"/>
      <w:bookmarkStart w:id="94" w:name="_Toc303945820"/>
      <w:bookmarkStart w:id="95" w:name="_Toc148265480"/>
      <w:r>
        <w:rPr>
          <w:rFonts w:hint="eastAsia" w:ascii="微软雅黑" w:hAnsi="微软雅黑" w:eastAsia="微软雅黑" w:cs="微软雅黑"/>
          <w:b/>
          <w:color w:val="auto"/>
          <w:sz w:val="36"/>
          <w:szCs w:val="36"/>
        </w:rPr>
        <w:t>第五篇  合同草案条款</w:t>
      </w:r>
      <w:bookmarkEnd w:id="91"/>
      <w:bookmarkEnd w:id="92"/>
      <w:bookmarkEnd w:id="93"/>
    </w:p>
    <w:p>
      <w:pPr>
        <w:pStyle w:val="3"/>
        <w:spacing w:line="240" w:lineRule="auto"/>
        <w:rPr>
          <w:rFonts w:hint="eastAsia" w:ascii="微软雅黑" w:hAnsi="微软雅黑" w:eastAsia="微软雅黑" w:cs="微软雅黑"/>
          <w:color w:val="auto"/>
          <w:sz w:val="24"/>
          <w:szCs w:val="24"/>
        </w:rPr>
      </w:pPr>
      <w:bookmarkStart w:id="96" w:name="_Toc30815"/>
      <w:bookmarkStart w:id="97" w:name="_Toc54718202"/>
      <w:r>
        <w:rPr>
          <w:rFonts w:hint="eastAsia" w:ascii="微软雅黑" w:hAnsi="微软雅黑" w:eastAsia="微软雅黑" w:cs="微软雅黑"/>
          <w:color w:val="auto"/>
          <w:sz w:val="24"/>
          <w:szCs w:val="24"/>
        </w:rPr>
        <w:t>一、定义</w:t>
      </w:r>
      <w:bookmarkEnd w:id="96"/>
      <w:bookmarkEnd w:id="97"/>
    </w:p>
    <w:p>
      <w:pPr>
        <w:snapToGrid w:val="0"/>
        <w:spacing w:line="400" w:lineRule="exact"/>
        <w:ind w:firstLine="480" w:firstLineChars="200"/>
        <w:jc w:val="left"/>
        <w:rPr>
          <w:rFonts w:ascii="方正仿宋_GBK" w:hAnsi="宋体" w:eastAsia="方正仿宋_GBK" w:cs="Times New Roman"/>
          <w:color w:val="auto"/>
          <w:sz w:val="24"/>
          <w:szCs w:val="24"/>
        </w:rPr>
      </w:pPr>
      <w:bookmarkStart w:id="98" w:name="_Toc988"/>
      <w:r>
        <w:rPr>
          <w:rFonts w:hint="eastAsia" w:ascii="方正仿宋_GBK" w:hAnsi="宋体" w:eastAsia="方正仿宋_GBK" w:cs="Times New Roman"/>
          <w:color w:val="auto"/>
          <w:sz w:val="24"/>
          <w:szCs w:val="24"/>
        </w:rPr>
        <w:t>（一）甲方（需方）即重庆医科大学附属永川医院。</w:t>
      </w:r>
      <w:bookmarkEnd w:id="98"/>
    </w:p>
    <w:p>
      <w:pPr>
        <w:snapToGrid w:val="0"/>
        <w:spacing w:line="400" w:lineRule="exact"/>
        <w:ind w:firstLine="480" w:firstLineChars="200"/>
        <w:jc w:val="left"/>
        <w:rPr>
          <w:rFonts w:ascii="方正仿宋_GBK" w:hAnsi="宋体" w:eastAsia="方正仿宋_GBK" w:cs="Times New Roman"/>
          <w:color w:val="auto"/>
          <w:sz w:val="24"/>
          <w:szCs w:val="24"/>
        </w:rPr>
      </w:pPr>
      <w:bookmarkStart w:id="99" w:name="_Toc22662"/>
      <w:r>
        <w:rPr>
          <w:rFonts w:hint="eastAsia" w:ascii="方正仿宋_GBK" w:hAnsi="宋体" w:eastAsia="方正仿宋_GBK" w:cs="Times New Roman"/>
          <w:color w:val="auto"/>
          <w:sz w:val="24"/>
          <w:szCs w:val="24"/>
        </w:rPr>
        <w:t>（二）乙方（供方）即成交供应商，是指成交后提供合同服务的自然人、法人及其他组织。</w:t>
      </w:r>
      <w:bookmarkEnd w:id="99"/>
    </w:p>
    <w:p>
      <w:pPr>
        <w:snapToGrid w:val="0"/>
        <w:spacing w:line="400" w:lineRule="exact"/>
        <w:ind w:firstLine="480" w:firstLineChars="200"/>
        <w:jc w:val="left"/>
        <w:rPr>
          <w:rFonts w:ascii="方正仿宋_GBK" w:hAnsi="宋体" w:eastAsia="方正仿宋_GBK" w:cs="Times New Roman"/>
          <w:color w:val="auto"/>
          <w:sz w:val="24"/>
          <w:szCs w:val="24"/>
        </w:rPr>
      </w:pPr>
      <w:bookmarkStart w:id="100" w:name="_Toc30025"/>
      <w:r>
        <w:rPr>
          <w:rFonts w:hint="eastAsia" w:ascii="方正仿宋_GBK" w:hAnsi="宋体" w:eastAsia="方正仿宋_GBK" w:cs="Times New Roman"/>
          <w:color w:val="auto"/>
          <w:sz w:val="24"/>
          <w:szCs w:val="24"/>
        </w:rPr>
        <w:t>（三）合同是指由甲乙双方按照比选文件和响应文件的实质性内容，通过协商一致达成的书面协议。</w:t>
      </w:r>
      <w:bookmarkEnd w:id="100"/>
    </w:p>
    <w:p>
      <w:pPr>
        <w:snapToGrid w:val="0"/>
        <w:spacing w:line="400" w:lineRule="exact"/>
        <w:ind w:firstLine="480" w:firstLineChars="200"/>
        <w:jc w:val="left"/>
        <w:rPr>
          <w:rFonts w:ascii="方正仿宋_GBK" w:hAnsi="宋体" w:eastAsia="方正仿宋_GBK" w:cs="Times New Roman"/>
          <w:color w:val="auto"/>
          <w:sz w:val="24"/>
          <w:szCs w:val="24"/>
        </w:rPr>
      </w:pPr>
      <w:bookmarkStart w:id="101" w:name="_Toc2152"/>
      <w:r>
        <w:rPr>
          <w:rFonts w:hint="eastAsia" w:ascii="方正仿宋_GBK" w:hAnsi="宋体" w:eastAsia="方正仿宋_GBK" w:cs="Times New Roman"/>
          <w:color w:val="auto"/>
          <w:sz w:val="24"/>
          <w:szCs w:val="24"/>
        </w:rPr>
        <w:t>（四）合同价格指以成交价格为依据，在供方全面履行合同义务后，需方应支付给供方的金额。</w:t>
      </w:r>
      <w:bookmarkEnd w:id="101"/>
    </w:p>
    <w:p>
      <w:pPr>
        <w:snapToGrid w:val="0"/>
        <w:spacing w:line="400" w:lineRule="exact"/>
        <w:ind w:firstLine="480" w:firstLineChars="200"/>
        <w:jc w:val="left"/>
        <w:rPr>
          <w:rFonts w:ascii="方正仿宋_GBK" w:hAnsi="宋体" w:eastAsia="方正仿宋_GBK" w:cs="Times New Roman"/>
          <w:color w:val="auto"/>
          <w:sz w:val="24"/>
          <w:szCs w:val="24"/>
        </w:rPr>
      </w:pPr>
      <w:bookmarkStart w:id="102" w:name="_Toc9666"/>
      <w:r>
        <w:rPr>
          <w:rFonts w:hint="eastAsia" w:ascii="方正仿宋_GBK" w:hAnsi="宋体" w:eastAsia="方正仿宋_GBK" w:cs="Times New Roman"/>
          <w:color w:val="auto"/>
          <w:sz w:val="24"/>
          <w:szCs w:val="24"/>
        </w:rPr>
        <w:t>（五）技术资料是指合同</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及其相关的设计、制造、监造、检验、验收等文件（包括图纸、各种文字说明、标准）。</w:t>
      </w:r>
      <w:bookmarkEnd w:id="102"/>
    </w:p>
    <w:p>
      <w:pPr>
        <w:pStyle w:val="3"/>
        <w:spacing w:line="240" w:lineRule="auto"/>
        <w:rPr>
          <w:rFonts w:hint="eastAsia" w:ascii="微软雅黑" w:hAnsi="微软雅黑" w:eastAsia="微软雅黑" w:cs="微软雅黑"/>
          <w:color w:val="auto"/>
          <w:sz w:val="24"/>
          <w:szCs w:val="24"/>
        </w:rPr>
      </w:pPr>
      <w:bookmarkStart w:id="103" w:name="_Toc17879"/>
      <w:bookmarkStart w:id="104" w:name="_Toc54718203"/>
      <w:r>
        <w:rPr>
          <w:rFonts w:hint="eastAsia" w:ascii="微软雅黑" w:hAnsi="微软雅黑" w:eastAsia="微软雅黑" w:cs="微软雅黑"/>
          <w:color w:val="auto"/>
          <w:sz w:val="24"/>
          <w:szCs w:val="24"/>
        </w:rPr>
        <w:t>二、</w:t>
      </w:r>
      <w:r>
        <w:rPr>
          <w:rFonts w:hint="eastAsia" w:ascii="微软雅黑" w:hAnsi="微软雅黑" w:eastAsia="微软雅黑" w:cs="微软雅黑"/>
          <w:color w:val="auto"/>
          <w:sz w:val="24"/>
          <w:szCs w:val="24"/>
          <w:lang w:eastAsia="zh-CN"/>
        </w:rPr>
        <w:t>服务</w:t>
      </w:r>
      <w:r>
        <w:rPr>
          <w:rFonts w:hint="eastAsia" w:ascii="微软雅黑" w:hAnsi="微软雅黑" w:eastAsia="微软雅黑" w:cs="微软雅黑"/>
          <w:color w:val="auto"/>
          <w:sz w:val="24"/>
          <w:szCs w:val="24"/>
        </w:rPr>
        <w:t>内容</w:t>
      </w:r>
      <w:bookmarkEnd w:id="103"/>
      <w:bookmarkEnd w:id="104"/>
    </w:p>
    <w:p>
      <w:pPr>
        <w:snapToGrid w:val="0"/>
        <w:spacing w:line="400" w:lineRule="exact"/>
        <w:ind w:firstLine="480" w:firstLineChars="200"/>
        <w:jc w:val="left"/>
        <w:rPr>
          <w:rFonts w:ascii="方正仿宋_GBK" w:hAnsi="宋体" w:eastAsia="方正仿宋_GBK" w:cs="Times New Roman"/>
          <w:color w:val="auto"/>
          <w:sz w:val="24"/>
          <w:szCs w:val="24"/>
        </w:rPr>
      </w:pPr>
      <w:bookmarkStart w:id="105" w:name="_Toc28967"/>
      <w:r>
        <w:rPr>
          <w:rFonts w:hint="eastAsia" w:ascii="方正仿宋_GBK" w:hAnsi="宋体" w:eastAsia="方正仿宋_GBK" w:cs="Times New Roman"/>
          <w:color w:val="auto"/>
          <w:sz w:val="24"/>
          <w:szCs w:val="24"/>
        </w:rPr>
        <w:t>合同包括以下内容：</w:t>
      </w:r>
      <w:bookmarkEnd w:id="105"/>
      <w:r>
        <w:rPr>
          <w:rFonts w:hint="eastAsia" w:ascii="微软雅黑" w:hAnsi="微软雅黑" w:eastAsia="微软雅黑" w:cs="微软雅黑"/>
          <w:b w:val="0"/>
          <w:color w:val="auto"/>
          <w:kern w:val="2"/>
          <w:sz w:val="24"/>
          <w:szCs w:val="24"/>
          <w:lang w:val="en-US" w:eastAsia="zh-CN" w:bidi="ar-SA"/>
        </w:rPr>
        <w:t>项目内容、服务要求、验收方式、安全责任</w:t>
      </w:r>
      <w:r>
        <w:rPr>
          <w:rFonts w:hint="eastAsia" w:ascii="方正仿宋_GBK" w:hAnsi="宋体" w:eastAsia="方正仿宋_GBK" w:cs="Times New Roman"/>
          <w:color w:val="auto"/>
          <w:sz w:val="24"/>
          <w:szCs w:val="24"/>
        </w:rPr>
        <w:t>等内容。</w:t>
      </w:r>
    </w:p>
    <w:p>
      <w:pPr>
        <w:pStyle w:val="3"/>
        <w:spacing w:line="240" w:lineRule="auto"/>
        <w:rPr>
          <w:rFonts w:hint="eastAsia" w:ascii="微软雅黑" w:hAnsi="微软雅黑" w:eastAsia="微软雅黑" w:cs="微软雅黑"/>
          <w:color w:val="auto"/>
          <w:sz w:val="24"/>
          <w:szCs w:val="24"/>
        </w:rPr>
      </w:pPr>
      <w:bookmarkStart w:id="106" w:name="_Toc54718204"/>
      <w:bookmarkStart w:id="107" w:name="_Toc8853"/>
      <w:r>
        <w:rPr>
          <w:rFonts w:hint="eastAsia" w:ascii="微软雅黑" w:hAnsi="微软雅黑" w:eastAsia="微软雅黑" w:cs="微软雅黑"/>
          <w:color w:val="auto"/>
          <w:sz w:val="24"/>
          <w:szCs w:val="24"/>
        </w:rPr>
        <w:t>三、合同价格</w:t>
      </w:r>
      <w:bookmarkEnd w:id="106"/>
      <w:bookmarkEnd w:id="107"/>
    </w:p>
    <w:p>
      <w:pPr>
        <w:snapToGrid w:val="0"/>
        <w:spacing w:line="400" w:lineRule="exact"/>
        <w:ind w:firstLine="480" w:firstLineChars="200"/>
        <w:jc w:val="left"/>
        <w:rPr>
          <w:rFonts w:ascii="方正仿宋_GBK" w:hAnsi="宋体" w:eastAsia="方正仿宋_GBK" w:cs="Times New Roman"/>
          <w:color w:val="auto"/>
          <w:sz w:val="24"/>
          <w:szCs w:val="24"/>
        </w:rPr>
      </w:pPr>
      <w:bookmarkStart w:id="108" w:name="_Toc25177"/>
      <w:bookmarkStart w:id="109" w:name="_Toc54718205"/>
      <w:r>
        <w:rPr>
          <w:rFonts w:hint="eastAsia" w:ascii="方正仿宋_GBK" w:hAnsi="宋体" w:eastAsia="方正仿宋_GBK" w:cs="Times New Roman"/>
          <w:color w:val="auto"/>
          <w:sz w:val="24"/>
          <w:szCs w:val="24"/>
        </w:rPr>
        <w:t>（一）合同价格即</w:t>
      </w:r>
      <w:r>
        <w:rPr>
          <w:rFonts w:hint="eastAsia" w:ascii="方正仿宋_GBK" w:hAnsi="宋体" w:eastAsia="方正仿宋_GBK" w:cs="Times New Roman"/>
          <w:color w:val="auto"/>
          <w:sz w:val="24"/>
          <w:szCs w:val="24"/>
          <w:lang w:eastAsia="zh-CN"/>
        </w:rPr>
        <w:t>项目</w:t>
      </w:r>
      <w:r>
        <w:rPr>
          <w:rFonts w:hint="eastAsia" w:ascii="方正仿宋_GBK" w:hAnsi="宋体" w:eastAsia="方正仿宋_GBK" w:cs="Times New Roman"/>
          <w:color w:val="auto"/>
          <w:sz w:val="24"/>
          <w:szCs w:val="24"/>
          <w:lang w:val="en-US" w:eastAsia="zh-CN"/>
        </w:rPr>
        <w:t>总价</w:t>
      </w:r>
      <w:r>
        <w:rPr>
          <w:rFonts w:hint="eastAsia" w:ascii="方正仿宋_GBK" w:hAnsi="宋体" w:eastAsia="方正仿宋_GBK" w:cs="Times New Roman"/>
          <w:color w:val="auto"/>
          <w:sz w:val="24"/>
          <w:szCs w:val="24"/>
        </w:rPr>
        <w:t>。</w:t>
      </w:r>
      <w:bookmarkEnd w:id="108"/>
    </w:p>
    <w:p>
      <w:pPr>
        <w:snapToGrid w:val="0"/>
        <w:spacing w:line="400" w:lineRule="exact"/>
        <w:ind w:firstLine="480" w:firstLineChars="200"/>
        <w:jc w:val="left"/>
        <w:rPr>
          <w:rFonts w:hint="eastAsia" w:ascii="方正仿宋_GBK" w:hAnsi="宋体" w:eastAsia="方正仿宋_GBK" w:cs="Times New Roman"/>
          <w:color w:val="auto"/>
          <w:sz w:val="24"/>
          <w:szCs w:val="24"/>
        </w:rPr>
      </w:pPr>
      <w:bookmarkStart w:id="110" w:name="_Toc3890"/>
      <w:r>
        <w:rPr>
          <w:rFonts w:hint="eastAsia" w:ascii="方正仿宋_GBK" w:hAnsi="宋体" w:eastAsia="方正仿宋_GBK" w:cs="Times New Roman"/>
          <w:color w:val="auto"/>
          <w:sz w:val="24"/>
          <w:szCs w:val="24"/>
        </w:rPr>
        <w:t>（二）合同价格包含但不限</w:t>
      </w:r>
      <w:r>
        <w:rPr>
          <w:rFonts w:hint="eastAsia" w:ascii="方正仿宋_GBK" w:hAnsi="宋体" w:eastAsia="方正仿宋_GBK" w:cs="Times New Roman"/>
          <w:color w:val="auto"/>
          <w:sz w:val="24"/>
          <w:szCs w:val="24"/>
          <w:lang w:eastAsia="zh-CN"/>
        </w:rPr>
        <w:t>人</w:t>
      </w:r>
      <w:r>
        <w:rPr>
          <w:rFonts w:hint="eastAsia" w:ascii="方正仿宋_GBK" w:hAnsi="宋体" w:eastAsia="方正仿宋_GBK" w:cs="Times New Roman"/>
          <w:color w:val="auto"/>
          <w:sz w:val="24"/>
          <w:szCs w:val="24"/>
        </w:rPr>
        <w:t>工费、材料费、机械费、保险费、税费等各项费用</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所有税费由乙方负担。</w:t>
      </w:r>
      <w:bookmarkEnd w:id="110"/>
    </w:p>
    <w:p>
      <w:pPr>
        <w:snapToGrid w:val="0"/>
        <w:spacing w:line="400" w:lineRule="exact"/>
        <w:ind w:firstLine="480" w:firstLineChars="200"/>
        <w:jc w:val="left"/>
        <w:rPr>
          <w:rFonts w:hint="eastAsia" w:ascii="方正仿宋_GBK" w:hAnsi="宋体" w:eastAsia="方正仿宋_GBK" w:cs="Times New Roman"/>
          <w:color w:val="auto"/>
          <w:sz w:val="24"/>
          <w:szCs w:val="24"/>
        </w:rPr>
      </w:pPr>
      <w:bookmarkStart w:id="111" w:name="_Toc19296"/>
      <w:r>
        <w:rPr>
          <w:rFonts w:hint="eastAsia" w:ascii="方正仿宋_GBK" w:hAnsi="宋体" w:eastAsia="方正仿宋_GBK" w:cs="Times New Roman"/>
          <w:color w:val="auto"/>
          <w:sz w:val="24"/>
          <w:szCs w:val="24"/>
        </w:rPr>
        <w:t>（三）合同单价为不变价。</w:t>
      </w:r>
      <w:bookmarkEnd w:id="111"/>
    </w:p>
    <w:p>
      <w:pPr>
        <w:pStyle w:val="3"/>
        <w:spacing w:line="240" w:lineRule="auto"/>
        <w:rPr>
          <w:rFonts w:hint="eastAsia" w:ascii="微软雅黑" w:hAnsi="微软雅黑" w:eastAsia="微软雅黑" w:cs="微软雅黑"/>
          <w:color w:val="auto"/>
          <w:sz w:val="24"/>
          <w:szCs w:val="24"/>
        </w:rPr>
      </w:pPr>
      <w:bookmarkStart w:id="112" w:name="_Toc24410"/>
      <w:r>
        <w:rPr>
          <w:rFonts w:hint="eastAsia" w:ascii="微软雅黑" w:hAnsi="微软雅黑" w:eastAsia="微软雅黑" w:cs="微软雅黑"/>
          <w:color w:val="auto"/>
          <w:sz w:val="24"/>
          <w:szCs w:val="24"/>
        </w:rPr>
        <w:t>四、转包或分包</w:t>
      </w:r>
      <w:bookmarkEnd w:id="109"/>
      <w:bookmarkEnd w:id="112"/>
    </w:p>
    <w:p>
      <w:pPr>
        <w:snapToGrid w:val="0"/>
        <w:spacing w:line="400" w:lineRule="exact"/>
        <w:ind w:firstLine="480" w:firstLineChars="200"/>
        <w:jc w:val="left"/>
        <w:rPr>
          <w:rFonts w:ascii="方正仿宋_GBK" w:hAnsi="宋体" w:eastAsia="方正仿宋_GBK" w:cs="Times New Roman"/>
          <w:color w:val="auto"/>
          <w:sz w:val="24"/>
          <w:szCs w:val="24"/>
        </w:rPr>
      </w:pPr>
      <w:bookmarkStart w:id="113" w:name="_Toc8161"/>
      <w:r>
        <w:rPr>
          <w:rFonts w:hint="eastAsia" w:ascii="方正仿宋_GBK" w:hAnsi="宋体" w:eastAsia="方正仿宋_GBK" w:cs="Times New Roman"/>
          <w:color w:val="auto"/>
          <w:sz w:val="24"/>
          <w:szCs w:val="24"/>
        </w:rPr>
        <w:t>（一）本合同范围的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，应由乙方直接供应，不得转让他人供应；</w:t>
      </w:r>
      <w:bookmarkEnd w:id="113"/>
    </w:p>
    <w:p>
      <w:pPr>
        <w:snapToGrid w:val="0"/>
        <w:spacing w:line="400" w:lineRule="exact"/>
        <w:ind w:firstLine="480" w:firstLineChars="200"/>
        <w:jc w:val="left"/>
        <w:rPr>
          <w:rFonts w:ascii="方正仿宋_GBK" w:hAnsi="宋体" w:eastAsia="方正仿宋_GBK" w:cs="Times New Roman"/>
          <w:color w:val="auto"/>
          <w:sz w:val="24"/>
          <w:szCs w:val="24"/>
        </w:rPr>
      </w:pPr>
      <w:bookmarkStart w:id="114" w:name="_Toc26926"/>
      <w:r>
        <w:rPr>
          <w:rFonts w:hint="eastAsia" w:ascii="方正仿宋_GBK" w:hAnsi="宋体" w:eastAsia="方正仿宋_GBK" w:cs="Times New Roman"/>
          <w:color w:val="auto"/>
          <w:sz w:val="24"/>
          <w:szCs w:val="24"/>
        </w:rPr>
        <w:t>（二）非经甲方书面同意，乙方不得将本合同范围的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全部或部分分包给他人供应；</w:t>
      </w:r>
      <w:bookmarkEnd w:id="114"/>
    </w:p>
    <w:p>
      <w:pPr>
        <w:snapToGrid w:val="0"/>
        <w:spacing w:line="400" w:lineRule="exact"/>
        <w:ind w:firstLine="480" w:firstLineChars="200"/>
        <w:jc w:val="left"/>
        <w:rPr>
          <w:rFonts w:ascii="方正仿宋_GBK" w:hAnsi="宋体" w:eastAsia="方正仿宋_GBK" w:cs="Times New Roman"/>
          <w:color w:val="auto"/>
          <w:sz w:val="24"/>
          <w:szCs w:val="24"/>
        </w:rPr>
      </w:pPr>
      <w:bookmarkStart w:id="115" w:name="_Toc11245"/>
      <w:r>
        <w:rPr>
          <w:rFonts w:hint="eastAsia" w:ascii="方正仿宋_GBK" w:hAnsi="宋体" w:eastAsia="方正仿宋_GBK" w:cs="Times New Roman"/>
          <w:color w:val="auto"/>
          <w:sz w:val="24"/>
          <w:szCs w:val="24"/>
        </w:rPr>
        <w:t>（三）如有转让和未经甲方同意的分包行为，甲方有权解除合同，没收履约保证金并追究乙方的违约责任。</w:t>
      </w:r>
      <w:bookmarkEnd w:id="115"/>
    </w:p>
    <w:p>
      <w:pPr>
        <w:pStyle w:val="3"/>
        <w:spacing w:line="240" w:lineRule="auto"/>
        <w:rPr>
          <w:rFonts w:hint="eastAsia" w:ascii="微软雅黑" w:hAnsi="微软雅黑" w:eastAsia="微软雅黑" w:cs="微软雅黑"/>
          <w:color w:val="auto"/>
          <w:sz w:val="24"/>
          <w:szCs w:val="24"/>
        </w:rPr>
      </w:pPr>
      <w:bookmarkStart w:id="116" w:name="_Toc54718206"/>
      <w:bookmarkStart w:id="117" w:name="_Toc2241"/>
      <w:r>
        <w:rPr>
          <w:rFonts w:hint="eastAsia" w:ascii="微软雅黑" w:hAnsi="微软雅黑" w:eastAsia="微软雅黑" w:cs="微软雅黑"/>
          <w:color w:val="auto"/>
          <w:sz w:val="24"/>
          <w:szCs w:val="24"/>
        </w:rPr>
        <w:t>五、质量保证及售后服务</w:t>
      </w:r>
      <w:bookmarkEnd w:id="116"/>
      <w:bookmarkEnd w:id="117"/>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lang w:eastAsia="zh-CN"/>
        </w:rPr>
      </w:pPr>
      <w:bookmarkStart w:id="118" w:name="_Toc12985"/>
      <w:bookmarkStart w:id="119" w:name="_Toc23372"/>
      <w:r>
        <w:rPr>
          <w:rFonts w:hint="eastAsia" w:ascii="方正仿宋_GBK" w:hAnsi="宋体" w:eastAsia="方正仿宋_GBK"/>
          <w:color w:val="auto"/>
          <w:sz w:val="24"/>
          <w:szCs w:val="24"/>
          <w:lang w:eastAsia="zh-CN"/>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）如在使用过程中</w:t>
      </w:r>
      <w:r>
        <w:rPr>
          <w:rFonts w:hint="eastAsia" w:ascii="方正仿宋_GBK" w:hAnsi="宋体" w:eastAsia="方正仿宋_GBK"/>
          <w:color w:val="auto"/>
          <w:sz w:val="24"/>
          <w:szCs w:val="24"/>
          <w:lang w:eastAsia="zh-CN"/>
        </w:rPr>
        <w:t>出现争议</w:t>
      </w:r>
      <w:r>
        <w:rPr>
          <w:rFonts w:hint="eastAsia" w:ascii="方正仿宋_GBK" w:hAnsi="宋体" w:eastAsia="方正仿宋_GBK"/>
          <w:color w:val="auto"/>
          <w:sz w:val="24"/>
          <w:szCs w:val="24"/>
        </w:rPr>
        <w:t>问题，乙方应同本项目“第</w:t>
      </w:r>
      <w:r>
        <w:rPr>
          <w:rFonts w:hint="eastAsia" w:ascii="方正仿宋_GBK" w:hAnsi="宋体" w:eastAsia="方正仿宋_GBK"/>
          <w:color w:val="auto"/>
          <w:sz w:val="24"/>
          <w:szCs w:val="24"/>
          <w:lang w:eastAsia="zh-CN"/>
        </w:rPr>
        <w:t>四</w:t>
      </w:r>
      <w:r>
        <w:rPr>
          <w:rFonts w:hint="eastAsia" w:ascii="方正仿宋_GBK" w:hAnsi="宋体" w:eastAsia="方正仿宋_GBK"/>
          <w:color w:val="auto"/>
          <w:sz w:val="24"/>
          <w:szCs w:val="24"/>
        </w:rPr>
        <w:t>篇 项目商务要求”对质量保证及售后服务内容的约定。</w:t>
      </w:r>
      <w:bookmarkEnd w:id="118"/>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合同</w:t>
      </w:r>
      <w:r>
        <w:rPr>
          <w:rFonts w:hint="eastAsia" w:ascii="方正仿宋_GBK" w:hAnsi="宋体" w:eastAsia="方正仿宋_GBK"/>
          <w:color w:val="auto"/>
          <w:sz w:val="24"/>
          <w:szCs w:val="24"/>
        </w:rPr>
        <w:t>期内，</w:t>
      </w:r>
      <w:r>
        <w:rPr>
          <w:rFonts w:hint="eastAsia" w:ascii="方正仿宋_GBK" w:hAnsi="宋体" w:eastAsia="方正仿宋_GBK"/>
          <w:color w:val="auto"/>
          <w:sz w:val="24"/>
          <w:szCs w:val="24"/>
          <w:lang w:eastAsia="zh-CN"/>
        </w:rPr>
        <w:t>在服务过程中出现的</w:t>
      </w:r>
      <w:r>
        <w:rPr>
          <w:rFonts w:hint="eastAsia" w:ascii="方正仿宋_GBK" w:hAnsi="宋体" w:eastAsia="方正仿宋_GBK"/>
          <w:color w:val="auto"/>
          <w:sz w:val="24"/>
          <w:szCs w:val="24"/>
        </w:rPr>
        <w:t>安全问题</w:t>
      </w:r>
      <w:r>
        <w:rPr>
          <w:rFonts w:hint="eastAsia" w:ascii="方正仿宋_GBK" w:hAnsi="宋体" w:eastAsia="方正仿宋_GBK"/>
          <w:color w:val="auto"/>
          <w:sz w:val="24"/>
          <w:szCs w:val="24"/>
          <w:lang w:eastAsia="zh-CN"/>
        </w:rPr>
        <w:t>，</w:t>
      </w:r>
      <w:r>
        <w:rPr>
          <w:rFonts w:hint="eastAsia" w:ascii="方正仿宋_GBK" w:hAnsi="宋体" w:eastAsia="方正仿宋_GBK"/>
          <w:color w:val="auto"/>
          <w:sz w:val="24"/>
          <w:szCs w:val="24"/>
        </w:rPr>
        <w:t>乙方负责处理解决并承担一切费用。</w:t>
      </w:r>
      <w:bookmarkEnd w:id="119"/>
    </w:p>
    <w:p>
      <w:pPr>
        <w:pStyle w:val="3"/>
        <w:spacing w:line="240" w:lineRule="auto"/>
        <w:rPr>
          <w:rFonts w:hint="eastAsia" w:ascii="微软雅黑" w:hAnsi="微软雅黑" w:eastAsia="微软雅黑" w:cs="微软雅黑"/>
          <w:color w:val="auto"/>
          <w:sz w:val="24"/>
          <w:szCs w:val="24"/>
        </w:rPr>
      </w:pPr>
      <w:bookmarkStart w:id="120" w:name="_Toc9053"/>
      <w:bookmarkStart w:id="121" w:name="_Toc54718207"/>
      <w:r>
        <w:rPr>
          <w:rFonts w:hint="eastAsia" w:ascii="微软雅黑" w:hAnsi="微软雅黑" w:eastAsia="微软雅黑" w:cs="微软雅黑"/>
          <w:color w:val="auto"/>
          <w:sz w:val="24"/>
          <w:szCs w:val="24"/>
        </w:rPr>
        <w:t>六、付款</w:t>
      </w:r>
      <w:bookmarkEnd w:id="120"/>
      <w:bookmarkEnd w:id="121"/>
    </w:p>
    <w:p>
      <w:pPr>
        <w:snapToGrid w:val="0"/>
        <w:spacing w:line="400" w:lineRule="exact"/>
        <w:ind w:firstLine="480" w:firstLineChars="200"/>
        <w:jc w:val="left"/>
        <w:rPr>
          <w:rFonts w:ascii="方正仿宋_GBK" w:hAnsi="宋体" w:eastAsia="方正仿宋_GBK" w:cs="Times New Roman"/>
          <w:color w:val="auto"/>
          <w:sz w:val="24"/>
          <w:szCs w:val="24"/>
        </w:rPr>
      </w:pPr>
      <w:bookmarkStart w:id="122" w:name="_Toc23183"/>
      <w:r>
        <w:rPr>
          <w:rFonts w:hint="eastAsia" w:ascii="方正仿宋_GBK" w:hAnsi="宋体" w:eastAsia="方正仿宋_GBK" w:cs="Times New Roman"/>
          <w:color w:val="auto"/>
          <w:sz w:val="24"/>
          <w:szCs w:val="24"/>
        </w:rPr>
        <w:t>（一）本合同使用货币币制如未作特别说明均为人民币。</w:t>
      </w:r>
      <w:bookmarkEnd w:id="122"/>
    </w:p>
    <w:p>
      <w:pPr>
        <w:snapToGrid w:val="0"/>
        <w:spacing w:line="400" w:lineRule="exact"/>
        <w:ind w:firstLine="480" w:firstLineChars="200"/>
        <w:jc w:val="left"/>
        <w:rPr>
          <w:rFonts w:ascii="方正仿宋_GBK" w:hAnsi="宋体" w:eastAsia="方正仿宋_GBK" w:cs="Times New Roman"/>
          <w:color w:val="auto"/>
          <w:sz w:val="24"/>
          <w:szCs w:val="24"/>
        </w:rPr>
      </w:pPr>
      <w:bookmarkStart w:id="123" w:name="_Toc8880"/>
      <w:r>
        <w:rPr>
          <w:rFonts w:hint="eastAsia" w:ascii="方正仿宋_GBK" w:hAnsi="宋体" w:eastAsia="方正仿宋_GBK" w:cs="Times New Roman"/>
          <w:color w:val="auto"/>
          <w:sz w:val="24"/>
          <w:szCs w:val="24"/>
        </w:rPr>
        <w:t>（二）付款方式：银行转账。</w:t>
      </w:r>
      <w:bookmarkEnd w:id="123"/>
    </w:p>
    <w:p>
      <w:pPr>
        <w:snapToGrid w:val="0"/>
        <w:spacing w:line="400" w:lineRule="exact"/>
        <w:ind w:firstLine="480" w:firstLineChars="200"/>
        <w:jc w:val="left"/>
        <w:rPr>
          <w:rFonts w:ascii="方正仿宋_GBK" w:hAnsi="宋体" w:eastAsia="方正仿宋_GBK" w:cs="Times New Roman"/>
          <w:color w:val="auto"/>
          <w:sz w:val="24"/>
          <w:szCs w:val="24"/>
        </w:rPr>
      </w:pPr>
      <w:bookmarkStart w:id="124" w:name="_Toc28037"/>
      <w:r>
        <w:rPr>
          <w:rFonts w:hint="eastAsia" w:ascii="方正仿宋_GBK" w:hAnsi="宋体" w:eastAsia="方正仿宋_GBK" w:cs="Times New Roman"/>
          <w:color w:val="auto"/>
          <w:sz w:val="24"/>
          <w:szCs w:val="24"/>
        </w:rPr>
        <w:t>（三）付款方法：同本项目“第四篇 项目商务要求”中关于付款方式的约定。</w:t>
      </w:r>
      <w:bookmarkEnd w:id="124"/>
    </w:p>
    <w:p>
      <w:pPr>
        <w:pStyle w:val="3"/>
        <w:spacing w:line="240" w:lineRule="auto"/>
        <w:rPr>
          <w:rFonts w:hint="eastAsia" w:ascii="微软雅黑" w:hAnsi="微软雅黑" w:eastAsia="微软雅黑" w:cs="微软雅黑"/>
          <w:color w:val="auto"/>
          <w:sz w:val="24"/>
          <w:szCs w:val="24"/>
        </w:rPr>
      </w:pPr>
      <w:bookmarkStart w:id="125" w:name="_Toc54718211"/>
      <w:bookmarkStart w:id="126" w:name="_Toc11586"/>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、合同争议的解决</w:t>
      </w:r>
      <w:bookmarkEnd w:id="125"/>
      <w:bookmarkEnd w:id="126"/>
    </w:p>
    <w:p>
      <w:pPr>
        <w:snapToGrid w:val="0"/>
        <w:spacing w:line="400" w:lineRule="exact"/>
        <w:ind w:firstLine="480" w:firstLineChars="200"/>
        <w:jc w:val="left"/>
        <w:rPr>
          <w:rFonts w:ascii="方正仿宋_GBK" w:hAnsi="宋体" w:eastAsia="方正仿宋_GBK" w:cs="Times New Roman"/>
          <w:color w:val="auto"/>
          <w:sz w:val="24"/>
          <w:szCs w:val="24"/>
        </w:rPr>
      </w:pPr>
      <w:bookmarkStart w:id="127" w:name="_Toc5382"/>
      <w:r>
        <w:rPr>
          <w:rFonts w:hint="eastAsia" w:ascii="方正仿宋_GBK" w:hAnsi="宋体" w:eastAsia="方正仿宋_GBK" w:cs="Times New Roman"/>
          <w:color w:val="auto"/>
          <w:sz w:val="24"/>
          <w:szCs w:val="24"/>
        </w:rPr>
        <w:t>（一）当事人友好协商达成一致</w:t>
      </w:r>
      <w:bookmarkEnd w:id="127"/>
    </w:p>
    <w:p>
      <w:pPr>
        <w:snapToGrid w:val="0"/>
        <w:spacing w:line="400" w:lineRule="exact"/>
        <w:ind w:firstLine="480" w:firstLineChars="200"/>
        <w:jc w:val="left"/>
        <w:rPr>
          <w:rFonts w:ascii="方正仿宋_GBK" w:hAnsi="宋体" w:eastAsia="方正仿宋_GBK" w:cs="Times New Roman"/>
          <w:color w:val="auto"/>
          <w:sz w:val="24"/>
          <w:szCs w:val="24"/>
        </w:rPr>
      </w:pPr>
      <w:bookmarkStart w:id="128" w:name="_Toc29926"/>
      <w:r>
        <w:rPr>
          <w:rFonts w:hint="eastAsia" w:ascii="方正仿宋_GBK" w:hAnsi="宋体" w:eastAsia="方正仿宋_GBK" w:cs="Times New Roman"/>
          <w:color w:val="auto"/>
          <w:sz w:val="24"/>
          <w:szCs w:val="24"/>
        </w:rPr>
        <w:t>（二）</w:t>
      </w:r>
      <w:bookmarkEnd w:id="128"/>
      <w:r>
        <w:rPr>
          <w:rFonts w:hint="eastAsia" w:ascii="方正仿宋_GBK" w:hAnsi="宋体" w:eastAsia="方正仿宋_GBK"/>
          <w:color w:val="auto"/>
          <w:sz w:val="24"/>
          <w:szCs w:val="24"/>
        </w:rPr>
        <w:t>在60天内当事人协商不能达成协议的，任何一方均可向永川区人民法院起诉。</w:t>
      </w:r>
    </w:p>
    <w:p>
      <w:pPr>
        <w:snapToGrid w:val="0"/>
        <w:spacing w:line="400" w:lineRule="exact"/>
        <w:rPr>
          <w:rFonts w:hint="eastAsia" w:ascii="方正仿宋_GBK" w:hAnsi="宋体" w:eastAsia="方正仿宋_GBK"/>
          <w:b/>
          <w:bCs/>
          <w:color w:val="auto"/>
          <w:sz w:val="24"/>
          <w:szCs w:val="24"/>
        </w:rPr>
      </w:pPr>
      <w:bookmarkStart w:id="129" w:name="_Toc26580"/>
      <w:bookmarkStart w:id="130" w:name="_Toc54718212"/>
      <w:r>
        <w:rPr>
          <w:rFonts w:hint="eastAsia" w:ascii="方正仿宋_GBK" w:hAnsi="宋体" w:eastAsia="方正仿宋_GBK"/>
          <w:b/>
          <w:bCs/>
          <w:color w:val="auto"/>
          <w:sz w:val="24"/>
          <w:szCs w:val="24"/>
        </w:rPr>
        <w:t>八、索赔</w:t>
      </w:r>
    </w:p>
    <w:p>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供方对货物与合同要求不符负有责任，并且需方已于规定交货内和质量保证期内提出索赔，供方应按需方同意的下述一种或多种方法解决索赔事宜。</w:t>
      </w:r>
    </w:p>
    <w:p>
      <w:pPr>
        <w:snapToGrid w:val="0"/>
        <w:spacing w:line="400" w:lineRule="exact"/>
        <w:ind w:firstLine="480" w:firstLineChars="200"/>
        <w:rPr>
          <w:rFonts w:hint="eastAsia" w:ascii="方正仿宋_GBK" w:hAnsi="宋体" w:eastAsia="方正仿宋_GBK"/>
          <w:color w:val="auto"/>
          <w:sz w:val="24"/>
          <w:szCs w:val="24"/>
        </w:rPr>
      </w:pPr>
      <w:bookmarkStart w:id="131" w:name="_Toc2616"/>
      <w:r>
        <w:rPr>
          <w:rFonts w:hint="eastAsia" w:ascii="方正仿宋_GBK" w:hAnsi="宋体" w:eastAsia="方正仿宋_GBK"/>
          <w:color w:val="auto"/>
          <w:sz w:val="24"/>
          <w:szCs w:val="24"/>
        </w:rPr>
        <w:t>（一）供方同意需方拒收货物并把拒收货物的金额以合同规定的同类货币付给需方，供方负担发生的一切损失和费用，包括利息、运输和保险费、检验费、仓储和装卸费以及为保管和保护被拒绝货物所需要的其它必要费用。</w:t>
      </w:r>
      <w:bookmarkEnd w:id="131"/>
    </w:p>
    <w:p>
      <w:pPr>
        <w:snapToGrid w:val="0"/>
        <w:spacing w:line="400" w:lineRule="exact"/>
        <w:ind w:firstLine="480" w:firstLineChars="200"/>
        <w:outlineLvl w:val="1"/>
        <w:rPr>
          <w:rFonts w:hint="eastAsia" w:ascii="方正仿宋_GBK" w:hAnsi="宋体" w:eastAsia="方正仿宋_GBK"/>
          <w:b/>
          <w:bCs/>
          <w:color w:val="auto"/>
          <w:sz w:val="24"/>
          <w:szCs w:val="24"/>
        </w:rPr>
      </w:pPr>
      <w:bookmarkStart w:id="132" w:name="_Toc32371"/>
      <w:r>
        <w:rPr>
          <w:rFonts w:hint="eastAsia" w:ascii="方正仿宋_GBK" w:hAnsi="宋体" w:eastAsia="方正仿宋_GBK"/>
          <w:color w:val="auto"/>
          <w:sz w:val="24"/>
          <w:szCs w:val="24"/>
        </w:rPr>
        <w:t>（二）根据货物的疵劣和受损程度以及需方遭受损失的金额，经双方同意降低货物价格。</w:t>
      </w:r>
      <w:bookmarkEnd w:id="132"/>
    </w:p>
    <w:p>
      <w:pPr>
        <w:snapToGrid w:val="0"/>
        <w:spacing w:line="400" w:lineRule="exact"/>
        <w:outlineLvl w:val="1"/>
        <w:rPr>
          <w:rFonts w:hint="eastAsia" w:ascii="方正仿宋_GBK" w:hAnsi="宋体" w:eastAsia="方正仿宋_GBK"/>
          <w:b/>
          <w:bCs/>
          <w:color w:val="auto"/>
          <w:sz w:val="24"/>
          <w:szCs w:val="24"/>
        </w:rPr>
      </w:pPr>
      <w:bookmarkStart w:id="133" w:name="_Toc54718210"/>
      <w:bookmarkStart w:id="134" w:name="_Toc31719"/>
      <w:r>
        <w:rPr>
          <w:rFonts w:hint="eastAsia" w:ascii="方正仿宋_GBK" w:hAnsi="宋体" w:eastAsia="方正仿宋_GBK"/>
          <w:b/>
          <w:bCs/>
          <w:color w:val="auto"/>
          <w:sz w:val="24"/>
          <w:szCs w:val="24"/>
        </w:rPr>
        <w:t>九、知识产权</w:t>
      </w:r>
      <w:bookmarkEnd w:id="133"/>
      <w:bookmarkEnd w:id="134"/>
    </w:p>
    <w:p>
      <w:pPr>
        <w:snapToGrid w:val="0"/>
        <w:spacing w:line="400" w:lineRule="exact"/>
        <w:ind w:firstLine="480" w:firstLineChars="200"/>
        <w:rPr>
          <w:rFonts w:hint="eastAsia" w:ascii="方正仿宋_GBK" w:hAnsi="宋体" w:eastAsia="方正仿宋_GBK"/>
          <w:color w:val="auto"/>
          <w:sz w:val="24"/>
          <w:szCs w:val="24"/>
        </w:rPr>
      </w:pPr>
      <w:bookmarkStart w:id="135" w:name="_Toc11938"/>
      <w:r>
        <w:rPr>
          <w:rFonts w:hint="eastAsia" w:ascii="方正仿宋_GBK" w:hAnsi="宋体" w:eastAsia="方正仿宋_GBK"/>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35"/>
    </w:p>
    <w:p>
      <w:pPr>
        <w:snapToGrid w:val="0"/>
        <w:spacing w:line="400" w:lineRule="exact"/>
        <w:ind w:firstLine="480" w:firstLineChars="200"/>
        <w:rPr>
          <w:rFonts w:hint="eastAsia" w:ascii="微软雅黑" w:hAnsi="微软雅黑" w:eastAsia="微软雅黑" w:cs="微软雅黑"/>
          <w:color w:val="auto"/>
          <w:sz w:val="24"/>
          <w:szCs w:val="24"/>
          <w:lang w:eastAsia="zh-CN"/>
        </w:rPr>
      </w:pPr>
      <w:bookmarkStart w:id="136" w:name="_Toc17287"/>
      <w:r>
        <w:rPr>
          <w:rFonts w:hint="eastAsia" w:ascii="方正仿宋_GBK" w:hAnsi="宋体" w:eastAsia="方正仿宋_GBK"/>
          <w:color w:val="auto"/>
          <w:sz w:val="24"/>
          <w:szCs w:val="24"/>
        </w:rPr>
        <w:t>（二）若涉及软件开发等服务类项目知识产权的，知识产权归医院所有。</w:t>
      </w:r>
      <w:bookmarkEnd w:id="136"/>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十</w:t>
      </w:r>
      <w:r>
        <w:rPr>
          <w:rFonts w:hint="eastAsia" w:ascii="微软雅黑" w:hAnsi="微软雅黑" w:eastAsia="微软雅黑" w:cs="微软雅黑"/>
          <w:color w:val="auto"/>
          <w:sz w:val="24"/>
          <w:szCs w:val="24"/>
        </w:rPr>
        <w:t>、违约责任</w:t>
      </w:r>
      <w:bookmarkEnd w:id="129"/>
      <w:bookmarkEnd w:id="130"/>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bookmarkStart w:id="137" w:name="_Toc54718213"/>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一</w:t>
      </w:r>
      <w:r>
        <w:rPr>
          <w:rFonts w:hint="eastAsia" w:ascii="方正仿宋_GBK" w:hAnsi="宋体" w:eastAsia="方正仿宋_GBK"/>
          <w:color w:val="auto"/>
          <w:sz w:val="24"/>
          <w:szCs w:val="24"/>
        </w:rPr>
        <w:t>）按《中华人民共和国民法典》有关条款，在合同期内，乙方对</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1.合同有效期内，因政策调整变化、乙方所</w:t>
      </w:r>
      <w:r>
        <w:rPr>
          <w:rFonts w:hint="eastAsia" w:ascii="方正仿宋_GBK" w:hAnsi="宋体" w:eastAsia="方正仿宋_GBK"/>
          <w:color w:val="auto"/>
          <w:sz w:val="24"/>
          <w:szCs w:val="24"/>
          <w:lang w:eastAsia="zh-CN"/>
        </w:rPr>
        <w:t>服务项目不满足相关政策</w:t>
      </w:r>
      <w:r>
        <w:rPr>
          <w:rFonts w:hint="eastAsia" w:ascii="方正仿宋_GBK" w:hAnsi="宋体" w:eastAsia="方正仿宋_GBK"/>
          <w:color w:val="auto"/>
          <w:sz w:val="24"/>
          <w:szCs w:val="24"/>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3.未经甲方同意，乙方擅自变更公司名称或擅自停止</w:t>
      </w:r>
      <w:r>
        <w:rPr>
          <w:rFonts w:hint="eastAsia" w:ascii="方正仿宋_GBK" w:hAnsi="宋体" w:eastAsia="方正仿宋_GBK"/>
          <w:color w:val="auto"/>
          <w:sz w:val="24"/>
          <w:szCs w:val="24"/>
          <w:lang w:eastAsia="zh-CN"/>
        </w:rPr>
        <w:t>服务的</w:t>
      </w:r>
      <w:r>
        <w:rPr>
          <w:rFonts w:hint="eastAsia" w:ascii="方正仿宋_GBK" w:hAnsi="宋体" w:eastAsia="方正仿宋_GBK"/>
          <w:color w:val="auto"/>
          <w:sz w:val="24"/>
          <w:szCs w:val="24"/>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4.未经甲方同意，供货方擅自涨价或停止</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的</w:t>
      </w:r>
      <w:r>
        <w:rPr>
          <w:rFonts w:hint="eastAsia" w:ascii="方正仿宋_GBK" w:hAnsi="宋体" w:eastAsia="方正仿宋_GBK" w:cs="Times New Roman"/>
          <w:color w:val="auto"/>
          <w:sz w:val="24"/>
          <w:szCs w:val="24"/>
        </w:rPr>
        <w:t>。</w:t>
      </w:r>
    </w:p>
    <w:p>
      <w:pPr>
        <w:pStyle w:val="3"/>
        <w:spacing w:line="240" w:lineRule="auto"/>
        <w:rPr>
          <w:rFonts w:hint="eastAsia" w:ascii="微软雅黑" w:hAnsi="微软雅黑" w:eastAsia="微软雅黑" w:cs="微软雅黑"/>
          <w:color w:val="auto"/>
          <w:sz w:val="24"/>
          <w:szCs w:val="24"/>
        </w:rPr>
      </w:pPr>
      <w:bookmarkStart w:id="138" w:name="_Toc16142"/>
      <w:r>
        <w:rPr>
          <w:rFonts w:hint="eastAsia" w:ascii="微软雅黑" w:hAnsi="微软雅黑" w:eastAsia="微软雅黑" w:cs="微软雅黑"/>
          <w:color w:val="auto"/>
          <w:sz w:val="24"/>
          <w:szCs w:val="24"/>
          <w:lang w:eastAsia="zh-CN"/>
        </w:rPr>
        <w:t>十一</w:t>
      </w:r>
      <w:r>
        <w:rPr>
          <w:rFonts w:hint="eastAsia" w:ascii="微软雅黑" w:hAnsi="微软雅黑" w:eastAsia="微软雅黑" w:cs="微软雅黑"/>
          <w:color w:val="auto"/>
          <w:sz w:val="24"/>
          <w:szCs w:val="24"/>
        </w:rPr>
        <w:t>、合同生效及其它</w:t>
      </w:r>
      <w:bookmarkEnd w:id="137"/>
      <w:bookmarkEnd w:id="138"/>
    </w:p>
    <w:p>
      <w:pPr>
        <w:snapToGrid w:val="0"/>
        <w:spacing w:line="400" w:lineRule="exact"/>
        <w:ind w:firstLine="480" w:firstLineChars="200"/>
        <w:jc w:val="left"/>
        <w:rPr>
          <w:rFonts w:ascii="方正仿宋_GBK" w:hAnsi="宋体" w:eastAsia="方正仿宋_GBK" w:cs="Times New Roman"/>
          <w:color w:val="auto"/>
          <w:sz w:val="24"/>
          <w:szCs w:val="24"/>
        </w:rPr>
      </w:pPr>
      <w:bookmarkStart w:id="139" w:name="_Toc7071"/>
      <w:r>
        <w:rPr>
          <w:rFonts w:hint="eastAsia" w:ascii="方正仿宋_GBK" w:hAnsi="宋体" w:eastAsia="方正仿宋_GBK" w:cs="Times New Roman"/>
          <w:color w:val="auto"/>
          <w:sz w:val="24"/>
          <w:szCs w:val="24"/>
        </w:rPr>
        <w:t>（一）合同生效及其效力应符合《中华人民共和国民法典》有关规定。</w:t>
      </w:r>
      <w:bookmarkEnd w:id="139"/>
    </w:p>
    <w:p>
      <w:pPr>
        <w:snapToGrid w:val="0"/>
        <w:spacing w:line="400" w:lineRule="exact"/>
        <w:ind w:firstLine="480" w:firstLineChars="200"/>
        <w:jc w:val="left"/>
        <w:rPr>
          <w:rFonts w:ascii="方正仿宋_GBK" w:hAnsi="宋体" w:eastAsia="方正仿宋_GBK" w:cs="Times New Roman"/>
          <w:color w:val="auto"/>
          <w:sz w:val="24"/>
          <w:szCs w:val="24"/>
        </w:rPr>
      </w:pPr>
      <w:bookmarkStart w:id="140" w:name="_Toc26923"/>
      <w:r>
        <w:rPr>
          <w:rFonts w:hint="eastAsia" w:ascii="方正仿宋_GBK" w:hAnsi="宋体" w:eastAsia="方正仿宋_GBK" w:cs="Times New Roman"/>
          <w:color w:val="auto"/>
          <w:sz w:val="24"/>
          <w:szCs w:val="24"/>
        </w:rPr>
        <w:t>（二）合同应经当事人法定代表人或委托代理人签字，加盖双方合同专用章或公章。</w:t>
      </w:r>
      <w:bookmarkEnd w:id="140"/>
    </w:p>
    <w:p>
      <w:pPr>
        <w:snapToGrid w:val="0"/>
        <w:spacing w:line="400" w:lineRule="exact"/>
        <w:ind w:firstLine="480" w:firstLineChars="200"/>
        <w:jc w:val="left"/>
        <w:rPr>
          <w:rFonts w:ascii="方正仿宋_GBK" w:hAnsi="宋体" w:eastAsia="方正仿宋_GBK" w:cs="Times New Roman"/>
          <w:color w:val="auto"/>
          <w:sz w:val="24"/>
          <w:szCs w:val="24"/>
        </w:rPr>
      </w:pPr>
      <w:bookmarkStart w:id="141" w:name="_Toc21580"/>
      <w:r>
        <w:rPr>
          <w:rFonts w:hint="eastAsia" w:ascii="方正仿宋_GBK" w:hAnsi="宋体" w:eastAsia="方正仿宋_GBK" w:cs="Times New Roman"/>
          <w:color w:val="auto"/>
          <w:sz w:val="24"/>
          <w:szCs w:val="24"/>
        </w:rPr>
        <w:t>（三）合同所包括附件，是合同不可分割的一部分，具有同等法法律效力。</w:t>
      </w:r>
      <w:bookmarkEnd w:id="141"/>
    </w:p>
    <w:p>
      <w:pPr>
        <w:snapToGrid w:val="0"/>
        <w:spacing w:line="400" w:lineRule="exact"/>
        <w:ind w:firstLine="480" w:firstLineChars="200"/>
        <w:jc w:val="left"/>
        <w:rPr>
          <w:rFonts w:ascii="方正仿宋_GBK" w:hAnsi="宋体" w:eastAsia="方正仿宋_GBK" w:cs="Times New Roman"/>
          <w:color w:val="auto"/>
          <w:sz w:val="24"/>
          <w:szCs w:val="24"/>
        </w:rPr>
      </w:pPr>
      <w:bookmarkStart w:id="142" w:name="_Toc28233"/>
      <w:r>
        <w:rPr>
          <w:rFonts w:hint="eastAsia" w:ascii="方正仿宋_GBK" w:hAnsi="宋体" w:eastAsia="方正仿宋_GBK" w:cs="Times New Roman"/>
          <w:color w:val="auto"/>
          <w:sz w:val="24"/>
          <w:szCs w:val="24"/>
        </w:rPr>
        <w:t>（四）合同需提供担保的，按《中华人民共和国担保法》规定执行。</w:t>
      </w:r>
      <w:bookmarkEnd w:id="142"/>
    </w:p>
    <w:p>
      <w:pPr>
        <w:snapToGrid w:val="0"/>
        <w:spacing w:line="400" w:lineRule="exact"/>
        <w:ind w:firstLine="480" w:firstLineChars="200"/>
        <w:jc w:val="left"/>
        <w:rPr>
          <w:rFonts w:ascii="方正仿宋_GBK" w:hAnsi="宋体" w:eastAsia="方正仿宋_GBK" w:cs="Times New Roman"/>
          <w:color w:val="auto"/>
          <w:sz w:val="24"/>
          <w:szCs w:val="24"/>
        </w:rPr>
      </w:pPr>
      <w:bookmarkStart w:id="143" w:name="_Toc18983"/>
      <w:r>
        <w:rPr>
          <w:rFonts w:hint="eastAsia" w:ascii="方正仿宋_GBK" w:hAnsi="宋体" w:eastAsia="方正仿宋_GBK" w:cs="Times New Roman"/>
          <w:color w:val="auto"/>
          <w:sz w:val="24"/>
          <w:szCs w:val="24"/>
        </w:rPr>
        <w:t>（五）本合同条件未尽事宜依照《中华人民共和国民法典》，由供需双方共同协商确定。</w:t>
      </w:r>
      <w:bookmarkEnd w:id="143"/>
    </w:p>
    <w:bookmarkEnd w:id="94"/>
    <w:bookmarkEnd w:id="95"/>
    <w:p>
      <w:pPr>
        <w:tabs>
          <w:tab w:val="left" w:pos="9000"/>
        </w:tabs>
        <w:spacing w:line="276" w:lineRule="auto"/>
        <w:jc w:val="both"/>
        <w:rPr>
          <w:rFonts w:ascii="方正仿宋_GBK" w:hAnsi="Times New Roman" w:eastAsia="方正仿宋_GBK" w:cs="Times New Roman"/>
          <w:color w:val="auto"/>
          <w:szCs w:val="21"/>
        </w:rPr>
        <w:sectPr>
          <w:pgSz w:w="11907" w:h="16840"/>
          <w:pgMar w:top="1134" w:right="1191" w:bottom="1134" w:left="1304" w:header="964" w:footer="992" w:gutter="0"/>
          <w:cols w:space="720" w:num="1"/>
          <w:docGrid w:linePitch="312" w:charSpace="0"/>
        </w:sectPr>
      </w:pPr>
    </w:p>
    <w:p>
      <w:pPr>
        <w:pStyle w:val="2"/>
        <w:jc w:val="center"/>
        <w:rPr>
          <w:rFonts w:hint="eastAsia" w:ascii="微软雅黑" w:hAnsi="微软雅黑" w:eastAsia="微软雅黑" w:cs="微软雅黑"/>
          <w:b/>
          <w:color w:val="auto"/>
          <w:sz w:val="36"/>
          <w:szCs w:val="36"/>
        </w:rPr>
      </w:pPr>
      <w:bookmarkStart w:id="144" w:name="_Hlt41879464"/>
      <w:bookmarkEnd w:id="144"/>
      <w:bookmarkStart w:id="145" w:name="_Toc12789072"/>
      <w:bookmarkStart w:id="146" w:name="_Toc485108795"/>
      <w:bookmarkStart w:id="147" w:name="_Toc13696"/>
      <w:r>
        <w:rPr>
          <w:rFonts w:hint="eastAsia" w:ascii="微软雅黑" w:hAnsi="微软雅黑" w:eastAsia="微软雅黑" w:cs="微软雅黑"/>
          <w:b/>
          <w:color w:val="auto"/>
          <w:sz w:val="36"/>
          <w:szCs w:val="36"/>
        </w:rPr>
        <w:t>第六篇  响应文件格式要求</w:t>
      </w:r>
      <w:bookmarkEnd w:id="145"/>
      <w:bookmarkEnd w:id="146"/>
      <w:bookmarkEnd w:id="147"/>
    </w:p>
    <w:p>
      <w:pPr>
        <w:pStyle w:val="3"/>
        <w:spacing w:line="240" w:lineRule="auto"/>
        <w:rPr>
          <w:rFonts w:hint="eastAsia" w:ascii="微软雅黑" w:hAnsi="微软雅黑" w:eastAsia="微软雅黑" w:cs="微软雅黑"/>
          <w:color w:val="auto"/>
          <w:sz w:val="24"/>
          <w:szCs w:val="24"/>
        </w:rPr>
      </w:pPr>
      <w:bookmarkStart w:id="148" w:name="_Toc27382"/>
      <w:r>
        <w:rPr>
          <w:rFonts w:hint="eastAsia" w:ascii="微软雅黑" w:hAnsi="微软雅黑" w:eastAsia="微软雅黑" w:cs="微软雅黑"/>
          <w:color w:val="auto"/>
          <w:sz w:val="24"/>
          <w:szCs w:val="24"/>
        </w:rPr>
        <w:t>一、经济部分</w:t>
      </w:r>
      <w:bookmarkEnd w:id="148"/>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pStyle w:val="3"/>
        <w:spacing w:line="240" w:lineRule="auto"/>
        <w:rPr>
          <w:rFonts w:hint="eastAsia" w:ascii="微软雅黑" w:hAnsi="微软雅黑" w:eastAsia="微软雅黑" w:cs="微软雅黑"/>
          <w:color w:val="auto"/>
          <w:sz w:val="24"/>
          <w:szCs w:val="24"/>
        </w:rPr>
      </w:pPr>
      <w:bookmarkStart w:id="149" w:name="_Toc6305"/>
      <w:r>
        <w:rPr>
          <w:rFonts w:hint="eastAsia" w:ascii="微软雅黑" w:hAnsi="微软雅黑" w:eastAsia="微软雅黑" w:cs="微软雅黑"/>
          <w:color w:val="auto"/>
          <w:sz w:val="24"/>
          <w:szCs w:val="24"/>
        </w:rPr>
        <w:t>二、服务部分</w:t>
      </w:r>
      <w:bookmarkEnd w:id="149"/>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（二）服务响应偏离表</w:t>
      </w:r>
    </w:p>
    <w:p>
      <w:pPr>
        <w:pStyle w:val="3"/>
        <w:spacing w:line="240" w:lineRule="auto"/>
        <w:rPr>
          <w:rFonts w:hint="eastAsia" w:ascii="微软雅黑" w:hAnsi="微软雅黑" w:eastAsia="微软雅黑" w:cs="微软雅黑"/>
          <w:color w:val="auto"/>
          <w:sz w:val="24"/>
          <w:szCs w:val="24"/>
        </w:rPr>
      </w:pPr>
      <w:bookmarkStart w:id="150" w:name="_Toc7207"/>
      <w:r>
        <w:rPr>
          <w:rFonts w:hint="eastAsia" w:ascii="微软雅黑" w:hAnsi="微软雅黑" w:eastAsia="微软雅黑" w:cs="微软雅黑"/>
          <w:color w:val="auto"/>
          <w:sz w:val="24"/>
          <w:szCs w:val="24"/>
        </w:rPr>
        <w:t>三、商务部分</w:t>
      </w:r>
      <w:bookmarkEnd w:id="150"/>
    </w:p>
    <w:p>
      <w:pPr>
        <w:snapToGrid w:val="0"/>
        <w:spacing w:line="360" w:lineRule="auto"/>
        <w:ind w:firstLine="480" w:firstLineChars="200"/>
        <w:rPr>
          <w:rFonts w:hint="eastAsia" w:ascii="微软雅黑" w:hAnsi="微软雅黑" w:eastAsia="微软雅黑" w:cs="微软雅黑"/>
          <w:color w:val="auto"/>
          <w:sz w:val="24"/>
          <w:szCs w:val="24"/>
        </w:rPr>
      </w:pPr>
      <w:bookmarkStart w:id="151" w:name="_Toc38358147"/>
      <w:bookmarkStart w:id="152" w:name="OLE_LINK11"/>
      <w:bookmarkStart w:id="153" w:name="OLE_LINK10"/>
      <w:r>
        <w:rPr>
          <w:rFonts w:hint="eastAsia" w:ascii="微软雅黑" w:hAnsi="微软雅黑" w:eastAsia="微软雅黑" w:cs="微软雅黑"/>
          <w:color w:val="auto"/>
          <w:sz w:val="24"/>
          <w:szCs w:val="24"/>
        </w:rPr>
        <w:t>（一）按照“第四篇  项目商务需求”提供相应资料</w:t>
      </w:r>
      <w:bookmarkEnd w:id="151"/>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（二）商务响应偏离表</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w:t>
      </w:r>
    </w:p>
    <w:p>
      <w:pPr>
        <w:pStyle w:val="3"/>
        <w:spacing w:line="240" w:lineRule="auto"/>
        <w:rPr>
          <w:rFonts w:hint="eastAsia" w:ascii="微软雅黑" w:hAnsi="微软雅黑" w:eastAsia="微软雅黑" w:cs="微软雅黑"/>
          <w:color w:val="auto"/>
          <w:sz w:val="24"/>
          <w:szCs w:val="24"/>
        </w:rPr>
      </w:pPr>
      <w:bookmarkStart w:id="154" w:name="_Toc18417"/>
      <w:r>
        <w:rPr>
          <w:rFonts w:hint="eastAsia" w:ascii="微软雅黑" w:hAnsi="微软雅黑" w:eastAsia="微软雅黑" w:cs="微软雅黑"/>
          <w:color w:val="auto"/>
          <w:sz w:val="24"/>
          <w:szCs w:val="24"/>
        </w:rPr>
        <w:t>四、资格条件及其他</w:t>
      </w:r>
      <w:bookmarkEnd w:id="154"/>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（二）组织机构代码证复印件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（三）法定代表人身份证明书（格式）</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（四）法定代表人授权委托书（格式）</w:t>
      </w:r>
    </w:p>
    <w:p>
      <w:pPr>
        <w:snapToGrid w:val="0"/>
        <w:spacing w:line="400" w:lineRule="exact"/>
        <w:ind w:firstLine="480" w:firstLineChars="200"/>
        <w:rPr>
          <w:rFonts w:ascii="方正仿宋_GBK" w:hAnsi="宋体" w:eastAsia="方正仿宋_GBK" w:cs="Times New Roman"/>
          <w:color w:val="auto"/>
          <w:sz w:val="24"/>
          <w:szCs w:val="24"/>
          <w:highlight w:val="yellow"/>
        </w:rPr>
      </w:pPr>
      <w:r>
        <w:rPr>
          <w:rFonts w:hint="eastAsia" w:ascii="方正仿宋_GBK" w:hAnsi="宋体" w:eastAsia="方正仿宋_GBK" w:cs="Times New Roman"/>
          <w:color w:val="auto"/>
          <w:sz w:val="24"/>
          <w:szCs w:val="24"/>
        </w:rPr>
        <w:t>（五）202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（六）书面声明（格式）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（七）税务登记证（副本）复印件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auto"/>
          <w:sz w:val="24"/>
          <w:szCs w:val="24"/>
        </w:rPr>
      </w:pPr>
      <w:r>
        <w:rPr>
          <w:rFonts w:hint="eastAsia" w:ascii="方正仿宋_GBK" w:hAnsi="宋体" w:eastAsia="方正仿宋_GBK" w:cs="Times New Roman"/>
          <w:color w:val="auto"/>
          <w:sz w:val="24"/>
          <w:szCs w:val="24"/>
        </w:rPr>
        <w:t>（九）特定资格条件证书或证明文件</w:t>
      </w:r>
      <w:r>
        <w:rPr>
          <w:rFonts w:hint="eastAsia" w:ascii="仿宋" w:hAnsi="仿宋" w:eastAsia="仿宋" w:cs="仿宋"/>
          <w:color w:val="auto"/>
          <w:sz w:val="24"/>
          <w:szCs w:val="24"/>
        </w:rPr>
        <w:t>（如果有）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（十）供应商提供 “信用中国”网站(www.creditchina.gov.cn)、"中国政府采购网"(www.ccgp.gov.cn)等渠道查询供应商信用记录的四张截图：信用中国--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--严重失信主体名单查询</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--政府采购严重违法失信行为记录名单</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--税收违法黑名单</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信用中国</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--失信被执行人</w:t>
      </w:r>
      <w:r>
        <w:rPr>
          <w:rFonts w:hint="eastAsia" w:ascii="方正仿宋_GBK" w:hAnsi="宋体" w:eastAsia="方正仿宋_GBK"/>
          <w:color w:val="auto"/>
          <w:sz w:val="24"/>
          <w:szCs w:val="24"/>
        </w:rPr>
        <w:t>（截图模板见第</w:t>
      </w:r>
      <w:r>
        <w:rPr>
          <w:rFonts w:hint="eastAsia" w:ascii="方正仿宋_GBK" w:hAnsi="宋体" w:eastAsia="方正仿宋_GBK"/>
          <w:color w:val="auto"/>
          <w:sz w:val="24"/>
          <w:szCs w:val="24"/>
          <w:lang w:eastAsia="zh-CN"/>
        </w:rPr>
        <w:t>六</w:t>
      </w:r>
      <w:r>
        <w:rPr>
          <w:rFonts w:hint="eastAsia" w:ascii="方正仿宋_GBK" w:hAnsi="宋体" w:eastAsia="方正仿宋_GBK"/>
          <w:color w:val="auto"/>
          <w:sz w:val="24"/>
          <w:szCs w:val="24"/>
        </w:rPr>
        <w:t>篇后附件模板）。</w:t>
      </w:r>
    </w:p>
    <w:p>
      <w:pPr>
        <w:pStyle w:val="3"/>
        <w:spacing w:line="240" w:lineRule="auto"/>
        <w:rPr>
          <w:rFonts w:hint="eastAsia" w:ascii="微软雅黑" w:hAnsi="微软雅黑" w:eastAsia="微软雅黑" w:cs="微软雅黑"/>
          <w:color w:val="auto"/>
          <w:sz w:val="24"/>
          <w:szCs w:val="24"/>
        </w:rPr>
      </w:pPr>
      <w:bookmarkStart w:id="155" w:name="_Toc19884"/>
      <w:r>
        <w:rPr>
          <w:rFonts w:hint="eastAsia" w:ascii="微软雅黑" w:hAnsi="微软雅黑" w:eastAsia="微软雅黑" w:cs="微软雅黑"/>
          <w:color w:val="auto"/>
          <w:sz w:val="24"/>
          <w:szCs w:val="24"/>
        </w:rPr>
        <w:t>五、其他应提供的资料</w:t>
      </w:r>
      <w:bookmarkEnd w:id="155"/>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（一）其他资料</w:t>
      </w:r>
    </w:p>
    <w:bookmarkEnd w:id="152"/>
    <w:bookmarkEnd w:id="153"/>
    <w:p>
      <w:pPr>
        <w:spacing w:line="44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1.其他与项目有关的资料</w:t>
      </w:r>
    </w:p>
    <w:p>
      <w:pPr>
        <w:snapToGrid w:val="0"/>
        <w:spacing w:line="360" w:lineRule="auto"/>
        <w:rPr>
          <w:rFonts w:ascii="宋体" w:hAnsi="宋体" w:eastAsia="宋体" w:cs="Times New Roman"/>
          <w:color w:val="auto"/>
          <w:sz w:val="24"/>
          <w:szCs w:val="24"/>
          <w:bdr w:val="single" w:color="auto" w:sz="4" w:space="0"/>
        </w:rPr>
        <w:sectPr>
          <w:pgSz w:w="11907" w:h="16840"/>
          <w:pgMar w:top="1134" w:right="1191" w:bottom="1134" w:left="1304" w:header="851" w:footer="992" w:gutter="0"/>
          <w:cols w:space="720" w:num="1"/>
          <w:docGrid w:linePitch="380" w:charSpace="-5735"/>
        </w:sectPr>
      </w:pPr>
    </w:p>
    <w:p>
      <w:pPr>
        <w:pStyle w:val="180"/>
        <w:numPr>
          <w:ilvl w:val="0"/>
          <w:numId w:val="15"/>
        </w:numPr>
        <w:ind w:firstLineChars="0"/>
        <w:rPr>
          <w:rFonts w:hint="eastAsia"/>
          <w:b/>
          <w:color w:val="auto"/>
        </w:rPr>
      </w:pPr>
      <w:bookmarkStart w:id="156" w:name="_Toc480979018"/>
      <w:bookmarkStart w:id="157" w:name="_Toc342913419"/>
      <w:bookmarkStart w:id="158" w:name="_Toc485108796"/>
      <w:bookmarkStart w:id="159" w:name="_Toc313888360"/>
      <w:bookmarkStart w:id="160" w:name="_Toc313008356"/>
      <w:bookmarkStart w:id="161" w:name="_Toc283382454"/>
      <w:bookmarkStart w:id="162" w:name="_Toc12789073"/>
      <w:r>
        <w:rPr>
          <w:rFonts w:hint="eastAsia"/>
          <w:b/>
          <w:color w:val="auto"/>
        </w:rPr>
        <w:t>经济部分</w:t>
      </w:r>
      <w:bookmarkEnd w:id="156"/>
      <w:bookmarkEnd w:id="157"/>
      <w:bookmarkEnd w:id="158"/>
      <w:bookmarkEnd w:id="159"/>
      <w:bookmarkEnd w:id="160"/>
    </w:p>
    <w:p>
      <w:pPr>
        <w:pStyle w:val="180"/>
        <w:ind w:left="450" w:firstLine="0" w:firstLineChars="0"/>
        <w:rPr>
          <w:b/>
          <w:color w:val="auto"/>
        </w:rPr>
      </w:pPr>
    </w:p>
    <w:bookmarkEnd w:id="161"/>
    <w:bookmarkEnd w:id="162"/>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tabs>
          <w:tab w:val="left" w:pos="6300"/>
        </w:tabs>
        <w:snapToGrid w:val="0"/>
        <w:spacing w:line="480" w:lineRule="exact"/>
        <w:jc w:val="center"/>
        <w:outlineLvl w:val="0"/>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比选报价函</w:t>
      </w:r>
    </w:p>
    <w:p>
      <w:pPr>
        <w:tabs>
          <w:tab w:val="left" w:pos="6300"/>
        </w:tabs>
        <w:snapToGrid w:val="0"/>
        <w:spacing w:line="312" w:lineRule="auto"/>
        <w:rPr>
          <w:rFonts w:ascii="方正仿宋_GBK" w:hAnsi="宋体" w:eastAsia="方正仿宋_GBK" w:cs="Times New Roman"/>
          <w:color w:val="auto"/>
          <w:sz w:val="24"/>
          <w:szCs w:val="24"/>
        </w:rPr>
      </w:pP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4"/>
        </w:rPr>
        <w:t>：</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1、愿意按照比选文件中的一切要求，提供本项目的技术服务、商务需求，初始报价以</w:t>
      </w:r>
      <w:r>
        <w:rPr>
          <w:rFonts w:hint="eastAsia" w:ascii="方正仿宋_GBK" w:hAnsi="宋体" w:eastAsia="方正仿宋_GBK" w:cs="Times New Roman"/>
          <w:color w:val="auto"/>
          <w:sz w:val="24"/>
          <w:szCs w:val="24"/>
          <w:lang w:eastAsia="zh-CN"/>
        </w:rPr>
        <w:t>（二）明细报价表</w:t>
      </w:r>
      <w:r>
        <w:rPr>
          <w:rFonts w:hint="eastAsia" w:ascii="方正仿宋_GBK" w:hAnsi="宋体" w:eastAsia="方正仿宋_GBK" w:cs="Times New Roman"/>
          <w:color w:val="auto"/>
          <w:sz w:val="24"/>
          <w:szCs w:val="24"/>
        </w:rPr>
        <w:t>为准。</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2、我方现提交的响应文件为：响应文件正本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份，副本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供应商（公章）：</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地址：  </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电话：                           传真：</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网址：                           邮编：</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联系人：</w:t>
      </w:r>
    </w:p>
    <w:p>
      <w:pPr>
        <w:snapToGrid w:val="0"/>
        <w:spacing w:line="360" w:lineRule="auto"/>
        <w:ind w:firstLine="480" w:firstLineChars="200"/>
        <w:rPr>
          <w:rFonts w:ascii="方正仿宋_GBK" w:hAnsi="宋体" w:eastAsia="方正仿宋_GBK" w:cs="Times New Roman"/>
          <w:color w:val="auto"/>
          <w:sz w:val="24"/>
          <w:szCs w:val="24"/>
        </w:rPr>
        <w:sectPr>
          <w:pgSz w:w="11907" w:h="16840"/>
          <w:pgMar w:top="1134" w:right="1191" w:bottom="1134" w:left="1304" w:header="851" w:footer="992" w:gutter="0"/>
          <w:cols w:space="720" w:num="1"/>
          <w:docGrid w:linePitch="380" w:charSpace="-5735"/>
        </w:sectPr>
      </w:pPr>
      <w:r>
        <w:rPr>
          <w:rFonts w:hint="eastAsia" w:ascii="方正仿宋_GBK" w:hAnsi="宋体" w:eastAsia="方正仿宋_GBK" w:cs="Times New Roman"/>
          <w:color w:val="auto"/>
          <w:sz w:val="24"/>
          <w:szCs w:val="24"/>
        </w:rPr>
        <w:t xml:space="preserve">                               年   月   日</w:t>
      </w:r>
    </w:p>
    <w:p>
      <w:pPr>
        <w:tabs>
          <w:tab w:val="left" w:pos="2895"/>
        </w:tabs>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snapToGrid w:val="0"/>
        <w:spacing w:line="360" w:lineRule="auto"/>
        <w:jc w:val="center"/>
        <w:rPr>
          <w:rFonts w:ascii="方正仿宋_GBK" w:hAnsi="Times New Roman" w:eastAsia="方正仿宋_GBK" w:cs="Times New Roman"/>
          <w:b/>
          <w:color w:val="auto"/>
          <w:sz w:val="28"/>
          <w:szCs w:val="28"/>
        </w:rPr>
      </w:pPr>
      <w:r>
        <w:rPr>
          <w:rFonts w:hint="eastAsia" w:ascii="方正仿宋_GBK" w:hAnsi="Times New Roman" w:eastAsia="方正仿宋_GBK" w:cs="Times New Roman"/>
          <w:b/>
          <w:color w:val="auto"/>
          <w:sz w:val="28"/>
          <w:szCs w:val="28"/>
        </w:rPr>
        <w:t>明细报价表</w:t>
      </w:r>
      <w:r>
        <w:rPr>
          <w:rFonts w:hint="eastAsia" w:ascii="方正仿宋_GBK" w:hAnsi="宋体" w:eastAsia="方正仿宋_GBK" w:cs="Times New Roman"/>
          <w:color w:val="auto"/>
          <w:sz w:val="24"/>
          <w:szCs w:val="24"/>
        </w:rPr>
        <w:t>（格式自定）</w:t>
      </w:r>
    </w:p>
    <w:p>
      <w:pPr>
        <w:spacing w:line="360" w:lineRule="auto"/>
        <w:rPr>
          <w:rFonts w:hint="eastAsia" w:ascii="方正仿宋_GBK" w:hAnsi="宋体" w:eastAsia="方正仿宋_GBK" w:cs="Times New Roman"/>
          <w:color w:val="auto"/>
          <w:sz w:val="24"/>
          <w:szCs w:val="24"/>
          <w:u w:val="single"/>
          <w:lang w:eastAsia="zh-CN"/>
        </w:rPr>
      </w:pPr>
      <w:r>
        <w:rPr>
          <w:rFonts w:hint="eastAsia" w:ascii="方正仿宋_GBK" w:hAnsi="宋体" w:eastAsia="方正仿宋_GBK" w:cs="Times New Roman"/>
          <w:color w:val="auto"/>
          <w:sz w:val="24"/>
          <w:szCs w:val="24"/>
        </w:rPr>
        <w:t>项目名称：</w:t>
      </w:r>
      <w:r>
        <w:rPr>
          <w:rFonts w:hint="eastAsia" w:ascii="方正仿宋_GBK" w:hAnsi="宋体" w:eastAsia="方正仿宋_GBK" w:cs="Times New Roman"/>
          <w:color w:val="auto"/>
          <w:sz w:val="24"/>
          <w:szCs w:val="24"/>
          <w:lang w:eastAsia="zh-CN"/>
        </w:rPr>
        <w:t>防火隔墙及防火门改造服务</w:t>
      </w:r>
    </w:p>
    <w:tbl>
      <w:tblPr>
        <w:tblStyle w:val="58"/>
        <w:tblW w:w="10383" w:type="dxa"/>
        <w:tblInd w:w="93" w:type="dxa"/>
        <w:tblLayout w:type="fixed"/>
        <w:tblCellMar>
          <w:top w:w="0" w:type="dxa"/>
          <w:left w:w="108" w:type="dxa"/>
          <w:bottom w:w="0" w:type="dxa"/>
          <w:right w:w="108" w:type="dxa"/>
        </w:tblCellMar>
      </w:tblPr>
      <w:tblGrid>
        <w:gridCol w:w="951"/>
        <w:gridCol w:w="1776"/>
        <w:gridCol w:w="1296"/>
        <w:gridCol w:w="1812"/>
        <w:gridCol w:w="1236"/>
        <w:gridCol w:w="1032"/>
        <w:gridCol w:w="1152"/>
        <w:gridCol w:w="1128"/>
      </w:tblGrid>
      <w:tr>
        <w:tblPrEx>
          <w:tblCellMar>
            <w:top w:w="0" w:type="dxa"/>
            <w:left w:w="108" w:type="dxa"/>
            <w:bottom w:w="0" w:type="dxa"/>
            <w:right w:w="108" w:type="dxa"/>
          </w:tblCellMar>
        </w:tblPrEx>
        <w:trPr>
          <w:trHeight w:val="420" w:hRule="atLeast"/>
        </w:trPr>
        <w:tc>
          <w:tcPr>
            <w:tcW w:w="951"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序号</w:t>
            </w:r>
          </w:p>
        </w:tc>
        <w:tc>
          <w:tcPr>
            <w:tcW w:w="17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名称</w:t>
            </w:r>
          </w:p>
        </w:tc>
        <w:tc>
          <w:tcPr>
            <w:tcW w:w="129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eastAsiaTheme="minorEastAsia"/>
                <w:kern w:val="0"/>
                <w:sz w:val="24"/>
                <w:lang w:eastAsia="zh-CN"/>
              </w:rPr>
            </w:pPr>
            <w:r>
              <w:rPr>
                <w:rFonts w:hint="eastAsia" w:ascii="宋体" w:hAnsi="宋体" w:cs="宋体"/>
                <w:kern w:val="0"/>
                <w:sz w:val="24"/>
                <w:lang w:eastAsia="zh-CN"/>
              </w:rPr>
              <w:t>品牌</w:t>
            </w:r>
          </w:p>
        </w:tc>
        <w:tc>
          <w:tcPr>
            <w:tcW w:w="181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规格型号</w:t>
            </w:r>
          </w:p>
        </w:tc>
        <w:tc>
          <w:tcPr>
            <w:tcW w:w="123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单位</w:t>
            </w:r>
          </w:p>
        </w:tc>
        <w:tc>
          <w:tcPr>
            <w:tcW w:w="103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ascii="宋体" w:hAnsi="宋体" w:cs="宋体"/>
                <w:kern w:val="0"/>
                <w:sz w:val="22"/>
                <w:szCs w:val="22"/>
              </w:rPr>
              <w:t>数量</w:t>
            </w:r>
          </w:p>
        </w:tc>
        <w:tc>
          <w:tcPr>
            <w:tcW w:w="115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cs="宋体" w:eastAsiaTheme="minorEastAsia"/>
                <w:kern w:val="0"/>
                <w:sz w:val="22"/>
                <w:szCs w:val="22"/>
                <w:lang w:eastAsia="zh-CN"/>
              </w:rPr>
            </w:pPr>
            <w:r>
              <w:rPr>
                <w:rFonts w:hint="eastAsia" w:ascii="宋体" w:hAnsi="宋体" w:cs="宋体"/>
                <w:kern w:val="0"/>
                <w:sz w:val="22"/>
                <w:szCs w:val="22"/>
                <w:lang w:eastAsia="zh-CN"/>
              </w:rPr>
              <w:t>单价（元）</w:t>
            </w:r>
          </w:p>
        </w:tc>
        <w:tc>
          <w:tcPr>
            <w:tcW w:w="11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cs="宋体" w:eastAsiaTheme="minorEastAsia"/>
                <w:kern w:val="0"/>
                <w:sz w:val="22"/>
                <w:szCs w:val="22"/>
                <w:lang w:eastAsia="zh-CN"/>
              </w:rPr>
            </w:pPr>
            <w:r>
              <w:rPr>
                <w:rFonts w:hint="eastAsia" w:ascii="宋体" w:hAnsi="宋体" w:cs="宋体"/>
                <w:kern w:val="0"/>
                <w:sz w:val="22"/>
                <w:szCs w:val="22"/>
                <w:lang w:eastAsia="zh-CN"/>
              </w:rPr>
              <w:t>金额（元）</w:t>
            </w:r>
          </w:p>
        </w:tc>
      </w:tr>
      <w:tr>
        <w:tblPrEx>
          <w:tblCellMar>
            <w:top w:w="0" w:type="dxa"/>
            <w:left w:w="108" w:type="dxa"/>
            <w:bottom w:w="0" w:type="dxa"/>
            <w:right w:w="108" w:type="dxa"/>
          </w:tblCellMar>
        </w:tblPrEx>
        <w:trPr>
          <w:trHeight w:val="420" w:hRule="atLeast"/>
        </w:trPr>
        <w:tc>
          <w:tcPr>
            <w:tcW w:w="951"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kern w:val="0"/>
                <w:sz w:val="18"/>
                <w:szCs w:val="18"/>
              </w:rPr>
            </w:pPr>
            <w:r>
              <w:rPr>
                <w:rFonts w:hint="eastAsia" w:ascii="微软雅黑" w:hAnsi="微软雅黑" w:eastAsia="微软雅黑" w:cs="宋体"/>
                <w:color w:val="000000"/>
                <w:kern w:val="0"/>
                <w:sz w:val="18"/>
                <w:szCs w:val="18"/>
              </w:rPr>
              <w:t>1</w:t>
            </w:r>
          </w:p>
        </w:tc>
        <w:tc>
          <w:tcPr>
            <w:tcW w:w="17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1"/>
              </w:rPr>
            </w:pPr>
            <w:r>
              <w:rPr>
                <w:rFonts w:hint="eastAsia" w:ascii="宋体" w:hAnsi="宋体" w:cs="宋体"/>
                <w:kern w:val="0"/>
                <w:sz w:val="22"/>
                <w:szCs w:val="21"/>
              </w:rPr>
              <w:t>防火砖</w:t>
            </w:r>
          </w:p>
        </w:tc>
        <w:tc>
          <w:tcPr>
            <w:tcW w:w="129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2"/>
                <w:szCs w:val="21"/>
              </w:rPr>
            </w:pPr>
          </w:p>
        </w:tc>
        <w:tc>
          <w:tcPr>
            <w:tcW w:w="181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1"/>
              </w:rPr>
            </w:pPr>
            <w:r>
              <w:rPr>
                <w:rFonts w:hint="eastAsia" w:ascii="宋体" w:hAnsi="宋体" w:cs="宋体"/>
                <w:kern w:val="0"/>
                <w:sz w:val="22"/>
                <w:szCs w:val="21"/>
              </w:rPr>
              <w:t>230*114*40(mm)</w:t>
            </w:r>
          </w:p>
        </w:tc>
        <w:tc>
          <w:tcPr>
            <w:tcW w:w="123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1"/>
              </w:rPr>
            </w:pPr>
            <w:r>
              <w:rPr>
                <w:rFonts w:hint="eastAsia" w:ascii="宋体" w:hAnsi="宋体" w:cs="宋体"/>
                <w:kern w:val="0"/>
                <w:sz w:val="22"/>
                <w:szCs w:val="21"/>
              </w:rPr>
              <w:t>块</w:t>
            </w:r>
          </w:p>
        </w:tc>
        <w:tc>
          <w:tcPr>
            <w:tcW w:w="103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宋体" w:hAnsi="宋体" w:cs="宋体" w:eastAsiaTheme="minorEastAsia"/>
                <w:kern w:val="0"/>
                <w:sz w:val="21"/>
                <w:szCs w:val="21"/>
                <w:lang w:val="en-US" w:eastAsia="zh-CN"/>
              </w:rPr>
            </w:pPr>
            <w:r>
              <w:rPr>
                <w:rFonts w:hint="eastAsia" w:ascii="宋体" w:hAnsi="宋体" w:cs="宋体"/>
                <w:kern w:val="0"/>
                <w:sz w:val="21"/>
                <w:szCs w:val="21"/>
                <w:lang w:val="en-US" w:eastAsia="zh-CN"/>
              </w:rPr>
              <w:t>5900</w:t>
            </w:r>
          </w:p>
        </w:tc>
        <w:tc>
          <w:tcPr>
            <w:tcW w:w="115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cs="宋体"/>
                <w:kern w:val="0"/>
                <w:sz w:val="21"/>
                <w:szCs w:val="21"/>
              </w:rPr>
            </w:pPr>
          </w:p>
        </w:tc>
        <w:tc>
          <w:tcPr>
            <w:tcW w:w="112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cs="宋体"/>
                <w:kern w:val="0"/>
                <w:sz w:val="21"/>
                <w:szCs w:val="21"/>
              </w:rPr>
            </w:pPr>
          </w:p>
        </w:tc>
      </w:tr>
      <w:tr>
        <w:tblPrEx>
          <w:tblCellMar>
            <w:top w:w="0" w:type="dxa"/>
            <w:left w:w="108" w:type="dxa"/>
            <w:bottom w:w="0" w:type="dxa"/>
            <w:right w:w="108" w:type="dxa"/>
          </w:tblCellMar>
        </w:tblPrEx>
        <w:trPr>
          <w:trHeight w:val="420" w:hRule="atLeast"/>
        </w:trPr>
        <w:tc>
          <w:tcPr>
            <w:tcW w:w="951"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kern w:val="0"/>
                <w:sz w:val="18"/>
                <w:szCs w:val="18"/>
              </w:rPr>
            </w:pPr>
            <w:r>
              <w:rPr>
                <w:rFonts w:hint="eastAsia" w:ascii="微软雅黑" w:hAnsi="微软雅黑" w:eastAsia="微软雅黑" w:cs="宋体"/>
                <w:color w:val="000000"/>
                <w:kern w:val="0"/>
                <w:sz w:val="18"/>
                <w:szCs w:val="18"/>
              </w:rPr>
              <w:t>2</w:t>
            </w:r>
          </w:p>
        </w:tc>
        <w:tc>
          <w:tcPr>
            <w:tcW w:w="17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1"/>
              </w:rPr>
            </w:pPr>
            <w:r>
              <w:rPr>
                <w:rFonts w:hint="eastAsia" w:ascii="宋体" w:hAnsi="宋体" w:cs="宋体"/>
                <w:kern w:val="0"/>
                <w:sz w:val="22"/>
                <w:szCs w:val="21"/>
              </w:rPr>
              <w:t>河沙</w:t>
            </w:r>
          </w:p>
        </w:tc>
        <w:tc>
          <w:tcPr>
            <w:tcW w:w="129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2"/>
                <w:szCs w:val="21"/>
              </w:rPr>
            </w:pPr>
          </w:p>
        </w:tc>
        <w:tc>
          <w:tcPr>
            <w:tcW w:w="181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1"/>
              </w:rPr>
            </w:pPr>
            <w:r>
              <w:rPr>
                <w:rFonts w:hint="eastAsia" w:ascii="宋体" w:hAnsi="宋体" w:cs="宋体"/>
                <w:kern w:val="0"/>
                <w:sz w:val="22"/>
                <w:szCs w:val="21"/>
              </w:rPr>
              <w:t>散装中沙</w:t>
            </w:r>
          </w:p>
        </w:tc>
        <w:tc>
          <w:tcPr>
            <w:tcW w:w="12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1"/>
              </w:rPr>
            </w:pPr>
            <w:r>
              <w:rPr>
                <w:rFonts w:hint="eastAsia" w:ascii="宋体" w:hAnsi="宋体" w:cs="宋体"/>
                <w:kern w:val="0"/>
                <w:sz w:val="22"/>
                <w:szCs w:val="21"/>
              </w:rPr>
              <w:t>立方</w:t>
            </w:r>
          </w:p>
        </w:tc>
        <w:tc>
          <w:tcPr>
            <w:tcW w:w="10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1"/>
                <w:szCs w:val="21"/>
              </w:rPr>
            </w:pPr>
            <w:r>
              <w:rPr>
                <w:rFonts w:hint="eastAsia" w:ascii="宋体" w:hAnsi="宋体" w:cs="宋体"/>
                <w:kern w:val="0"/>
                <w:sz w:val="21"/>
                <w:szCs w:val="21"/>
              </w:rPr>
              <w:t>5</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kern w:val="0"/>
                <w:sz w:val="21"/>
                <w:szCs w:val="21"/>
              </w:rPr>
            </w:pPr>
          </w:p>
        </w:tc>
        <w:tc>
          <w:tcPr>
            <w:tcW w:w="112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kern w:val="0"/>
                <w:sz w:val="21"/>
                <w:szCs w:val="21"/>
              </w:rPr>
            </w:pPr>
          </w:p>
        </w:tc>
      </w:tr>
      <w:tr>
        <w:tblPrEx>
          <w:tblCellMar>
            <w:top w:w="0" w:type="dxa"/>
            <w:left w:w="108" w:type="dxa"/>
            <w:bottom w:w="0" w:type="dxa"/>
            <w:right w:w="108" w:type="dxa"/>
          </w:tblCellMar>
        </w:tblPrEx>
        <w:trPr>
          <w:trHeight w:val="420" w:hRule="atLeast"/>
        </w:trPr>
        <w:tc>
          <w:tcPr>
            <w:tcW w:w="951"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kern w:val="0"/>
                <w:sz w:val="18"/>
                <w:szCs w:val="18"/>
              </w:rPr>
            </w:pPr>
            <w:r>
              <w:rPr>
                <w:rFonts w:hint="eastAsia" w:ascii="微软雅黑" w:hAnsi="微软雅黑" w:eastAsia="微软雅黑" w:cs="宋体"/>
                <w:color w:val="000000"/>
                <w:kern w:val="0"/>
                <w:sz w:val="18"/>
                <w:szCs w:val="18"/>
              </w:rPr>
              <w:t>3</w:t>
            </w:r>
          </w:p>
        </w:tc>
        <w:tc>
          <w:tcPr>
            <w:tcW w:w="17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1"/>
              </w:rPr>
            </w:pPr>
            <w:r>
              <w:rPr>
                <w:rFonts w:hint="eastAsia" w:ascii="宋体" w:hAnsi="宋体" w:cs="宋体"/>
                <w:kern w:val="0"/>
                <w:sz w:val="22"/>
                <w:szCs w:val="21"/>
              </w:rPr>
              <w:t>水泥</w:t>
            </w:r>
          </w:p>
        </w:tc>
        <w:tc>
          <w:tcPr>
            <w:tcW w:w="129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2"/>
                <w:szCs w:val="21"/>
              </w:rPr>
            </w:pPr>
          </w:p>
        </w:tc>
        <w:tc>
          <w:tcPr>
            <w:tcW w:w="181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1"/>
              </w:rPr>
            </w:pPr>
            <w:r>
              <w:rPr>
                <w:rFonts w:hint="eastAsia" w:ascii="宋体" w:hAnsi="宋体" w:cs="宋体"/>
                <w:kern w:val="0"/>
                <w:sz w:val="22"/>
                <w:szCs w:val="21"/>
              </w:rPr>
              <w:t>325袋装水泥</w:t>
            </w:r>
          </w:p>
        </w:tc>
        <w:tc>
          <w:tcPr>
            <w:tcW w:w="12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1"/>
              </w:rPr>
            </w:pPr>
            <w:r>
              <w:rPr>
                <w:rFonts w:hint="eastAsia" w:ascii="宋体" w:hAnsi="宋体" w:cs="宋体"/>
                <w:kern w:val="0"/>
                <w:sz w:val="22"/>
                <w:szCs w:val="21"/>
              </w:rPr>
              <w:t>包</w:t>
            </w:r>
          </w:p>
        </w:tc>
        <w:tc>
          <w:tcPr>
            <w:tcW w:w="10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1"/>
                <w:szCs w:val="21"/>
              </w:rPr>
            </w:pPr>
            <w:r>
              <w:rPr>
                <w:rFonts w:hint="eastAsia" w:ascii="宋体" w:hAnsi="宋体" w:cs="宋体"/>
                <w:kern w:val="0"/>
                <w:sz w:val="21"/>
                <w:szCs w:val="21"/>
              </w:rPr>
              <w:t>12</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kern w:val="0"/>
                <w:sz w:val="21"/>
                <w:szCs w:val="21"/>
              </w:rPr>
            </w:pPr>
          </w:p>
        </w:tc>
        <w:tc>
          <w:tcPr>
            <w:tcW w:w="112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kern w:val="0"/>
                <w:sz w:val="21"/>
                <w:szCs w:val="21"/>
              </w:rPr>
            </w:pPr>
          </w:p>
        </w:tc>
      </w:tr>
      <w:tr>
        <w:tblPrEx>
          <w:tblCellMar>
            <w:top w:w="0" w:type="dxa"/>
            <w:left w:w="108" w:type="dxa"/>
            <w:bottom w:w="0" w:type="dxa"/>
            <w:right w:w="108" w:type="dxa"/>
          </w:tblCellMar>
        </w:tblPrEx>
        <w:trPr>
          <w:trHeight w:val="420" w:hRule="atLeast"/>
        </w:trPr>
        <w:tc>
          <w:tcPr>
            <w:tcW w:w="951"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kern w:val="0"/>
                <w:sz w:val="18"/>
                <w:szCs w:val="18"/>
              </w:rPr>
            </w:pPr>
            <w:r>
              <w:rPr>
                <w:rFonts w:hint="eastAsia" w:ascii="微软雅黑" w:hAnsi="微软雅黑" w:eastAsia="微软雅黑" w:cs="宋体"/>
                <w:color w:val="000000"/>
                <w:kern w:val="0"/>
                <w:sz w:val="18"/>
                <w:szCs w:val="18"/>
              </w:rPr>
              <w:t>4</w:t>
            </w:r>
          </w:p>
        </w:tc>
        <w:tc>
          <w:tcPr>
            <w:tcW w:w="17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1"/>
              </w:rPr>
            </w:pPr>
            <w:r>
              <w:rPr>
                <w:rFonts w:hint="eastAsia" w:ascii="宋体" w:hAnsi="宋体" w:cs="宋体"/>
                <w:kern w:val="0"/>
                <w:sz w:val="22"/>
                <w:szCs w:val="21"/>
              </w:rPr>
              <w:t>砌筑墙</w:t>
            </w:r>
          </w:p>
        </w:tc>
        <w:tc>
          <w:tcPr>
            <w:tcW w:w="129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2"/>
                <w:szCs w:val="21"/>
              </w:rPr>
            </w:pPr>
          </w:p>
        </w:tc>
        <w:tc>
          <w:tcPr>
            <w:tcW w:w="181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1"/>
              </w:rPr>
            </w:pPr>
            <w:r>
              <w:rPr>
                <w:rFonts w:hint="eastAsia" w:ascii="宋体" w:hAnsi="宋体" w:cs="宋体"/>
                <w:kern w:val="0"/>
                <w:sz w:val="22"/>
                <w:szCs w:val="21"/>
              </w:rPr>
              <w:t>24mm*</w:t>
            </w:r>
            <w:r>
              <w:rPr>
                <w:rFonts w:hint="eastAsia" w:ascii="宋体" w:hAnsi="宋体" w:cs="宋体"/>
                <w:kern w:val="0"/>
                <w:sz w:val="22"/>
                <w:szCs w:val="21"/>
                <w:lang w:val="en-US" w:eastAsia="zh-CN"/>
              </w:rPr>
              <w:t>8.6</w:t>
            </w:r>
            <w:r>
              <w:rPr>
                <w:rFonts w:hint="eastAsia" w:ascii="宋体" w:hAnsi="宋体" w:cs="宋体"/>
                <w:kern w:val="0"/>
                <w:sz w:val="22"/>
                <w:szCs w:val="21"/>
              </w:rPr>
              <w:t>m*3.7m</w:t>
            </w:r>
          </w:p>
        </w:tc>
        <w:tc>
          <w:tcPr>
            <w:tcW w:w="12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1"/>
              </w:rPr>
            </w:pPr>
            <w:r>
              <w:rPr>
                <w:rFonts w:hint="eastAsia" w:ascii="宋体" w:hAnsi="宋体" w:cs="宋体"/>
                <w:kern w:val="0"/>
                <w:sz w:val="22"/>
                <w:szCs w:val="21"/>
              </w:rPr>
              <w:t>面</w:t>
            </w:r>
          </w:p>
        </w:tc>
        <w:tc>
          <w:tcPr>
            <w:tcW w:w="10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1"/>
                <w:szCs w:val="21"/>
              </w:rPr>
            </w:pPr>
            <w:r>
              <w:rPr>
                <w:rFonts w:hint="eastAsia" w:ascii="宋体" w:hAnsi="宋体" w:cs="宋体"/>
                <w:kern w:val="0"/>
                <w:sz w:val="21"/>
                <w:szCs w:val="21"/>
              </w:rPr>
              <w:t>1</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kern w:val="0"/>
                <w:sz w:val="21"/>
                <w:szCs w:val="21"/>
              </w:rPr>
            </w:pPr>
          </w:p>
        </w:tc>
        <w:tc>
          <w:tcPr>
            <w:tcW w:w="112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kern w:val="0"/>
                <w:sz w:val="21"/>
                <w:szCs w:val="21"/>
              </w:rPr>
            </w:pPr>
          </w:p>
        </w:tc>
      </w:tr>
      <w:tr>
        <w:tblPrEx>
          <w:tblCellMar>
            <w:top w:w="0" w:type="dxa"/>
            <w:left w:w="108" w:type="dxa"/>
            <w:bottom w:w="0" w:type="dxa"/>
            <w:right w:w="108" w:type="dxa"/>
          </w:tblCellMar>
        </w:tblPrEx>
        <w:trPr>
          <w:trHeight w:val="420" w:hRule="atLeast"/>
        </w:trPr>
        <w:tc>
          <w:tcPr>
            <w:tcW w:w="951"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kern w:val="0"/>
                <w:sz w:val="18"/>
                <w:szCs w:val="18"/>
              </w:rPr>
            </w:pPr>
            <w:r>
              <w:rPr>
                <w:rFonts w:hint="eastAsia" w:ascii="微软雅黑" w:hAnsi="微软雅黑" w:eastAsia="微软雅黑" w:cs="宋体"/>
                <w:color w:val="000000"/>
                <w:kern w:val="0"/>
                <w:sz w:val="18"/>
                <w:szCs w:val="18"/>
              </w:rPr>
              <w:t>5</w:t>
            </w:r>
          </w:p>
        </w:tc>
        <w:tc>
          <w:tcPr>
            <w:tcW w:w="17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1"/>
              </w:rPr>
            </w:pPr>
            <w:r>
              <w:rPr>
                <w:rFonts w:hint="eastAsia" w:ascii="宋体" w:hAnsi="宋体" w:cs="宋体"/>
                <w:kern w:val="0"/>
                <w:sz w:val="22"/>
                <w:szCs w:val="21"/>
              </w:rPr>
              <w:t>甲级钢制防火门</w:t>
            </w:r>
          </w:p>
        </w:tc>
        <w:tc>
          <w:tcPr>
            <w:tcW w:w="129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2"/>
                <w:szCs w:val="21"/>
              </w:rPr>
            </w:pPr>
          </w:p>
        </w:tc>
        <w:tc>
          <w:tcPr>
            <w:tcW w:w="181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1"/>
              </w:rPr>
            </w:pPr>
            <w:r>
              <w:rPr>
                <w:rFonts w:hint="eastAsia" w:ascii="宋体" w:hAnsi="宋体" w:cs="宋体"/>
                <w:kern w:val="0"/>
                <w:sz w:val="22"/>
                <w:szCs w:val="21"/>
              </w:rPr>
              <w:t>2100*900(mm)</w:t>
            </w:r>
          </w:p>
        </w:tc>
        <w:tc>
          <w:tcPr>
            <w:tcW w:w="12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1"/>
              </w:rPr>
            </w:pPr>
            <w:r>
              <w:rPr>
                <w:rFonts w:hint="eastAsia" w:ascii="宋体" w:hAnsi="宋体" w:cs="宋体"/>
                <w:kern w:val="0"/>
                <w:sz w:val="22"/>
                <w:szCs w:val="21"/>
              </w:rPr>
              <w:t>趟</w:t>
            </w:r>
          </w:p>
        </w:tc>
        <w:tc>
          <w:tcPr>
            <w:tcW w:w="10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1"/>
                <w:szCs w:val="21"/>
              </w:rPr>
            </w:pPr>
            <w:r>
              <w:rPr>
                <w:rFonts w:hint="eastAsia" w:ascii="宋体" w:hAnsi="宋体" w:cs="宋体"/>
                <w:kern w:val="0"/>
                <w:sz w:val="21"/>
                <w:szCs w:val="21"/>
              </w:rPr>
              <w:t>1</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kern w:val="0"/>
                <w:sz w:val="21"/>
                <w:szCs w:val="21"/>
              </w:rPr>
            </w:pPr>
          </w:p>
        </w:tc>
        <w:tc>
          <w:tcPr>
            <w:tcW w:w="112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kern w:val="0"/>
                <w:sz w:val="21"/>
                <w:szCs w:val="21"/>
              </w:rPr>
            </w:pPr>
          </w:p>
        </w:tc>
      </w:tr>
      <w:tr>
        <w:tblPrEx>
          <w:tblCellMar>
            <w:top w:w="0" w:type="dxa"/>
            <w:left w:w="108" w:type="dxa"/>
            <w:bottom w:w="0" w:type="dxa"/>
            <w:right w:w="108" w:type="dxa"/>
          </w:tblCellMar>
        </w:tblPrEx>
        <w:trPr>
          <w:trHeight w:val="420" w:hRule="atLeast"/>
        </w:trPr>
        <w:tc>
          <w:tcPr>
            <w:tcW w:w="951"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kern w:val="0"/>
                <w:sz w:val="18"/>
                <w:szCs w:val="18"/>
              </w:rPr>
            </w:pPr>
            <w:r>
              <w:rPr>
                <w:rFonts w:hint="eastAsia" w:ascii="微软雅黑" w:hAnsi="微软雅黑" w:eastAsia="微软雅黑" w:cs="宋体"/>
                <w:color w:val="000000"/>
                <w:kern w:val="0"/>
                <w:sz w:val="18"/>
                <w:szCs w:val="18"/>
              </w:rPr>
              <w:t>6</w:t>
            </w:r>
          </w:p>
        </w:tc>
        <w:tc>
          <w:tcPr>
            <w:tcW w:w="17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1"/>
              </w:rPr>
            </w:pPr>
            <w:r>
              <w:rPr>
                <w:rFonts w:hint="eastAsia" w:ascii="宋体" w:hAnsi="宋体" w:cs="宋体"/>
                <w:kern w:val="0"/>
                <w:sz w:val="22"/>
                <w:szCs w:val="21"/>
              </w:rPr>
              <w:t>甲级钢制防火门</w:t>
            </w:r>
          </w:p>
        </w:tc>
        <w:tc>
          <w:tcPr>
            <w:tcW w:w="129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2"/>
                <w:szCs w:val="21"/>
              </w:rPr>
            </w:pPr>
          </w:p>
        </w:tc>
        <w:tc>
          <w:tcPr>
            <w:tcW w:w="181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1"/>
              </w:rPr>
            </w:pPr>
            <w:r>
              <w:rPr>
                <w:rFonts w:hint="eastAsia" w:ascii="宋体" w:hAnsi="宋体" w:cs="宋体"/>
                <w:kern w:val="0"/>
                <w:sz w:val="22"/>
                <w:szCs w:val="21"/>
              </w:rPr>
              <w:t>2100*1521(mm)</w:t>
            </w:r>
          </w:p>
        </w:tc>
        <w:tc>
          <w:tcPr>
            <w:tcW w:w="12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1"/>
              </w:rPr>
            </w:pPr>
            <w:r>
              <w:rPr>
                <w:rFonts w:hint="eastAsia" w:ascii="宋体" w:hAnsi="宋体" w:cs="宋体"/>
                <w:kern w:val="0"/>
                <w:sz w:val="22"/>
                <w:szCs w:val="21"/>
              </w:rPr>
              <w:t>趟</w:t>
            </w:r>
          </w:p>
        </w:tc>
        <w:tc>
          <w:tcPr>
            <w:tcW w:w="10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1"/>
                <w:szCs w:val="21"/>
              </w:rPr>
            </w:pPr>
            <w:r>
              <w:rPr>
                <w:rFonts w:hint="eastAsia" w:ascii="宋体" w:hAnsi="宋体" w:cs="宋体"/>
                <w:kern w:val="0"/>
                <w:sz w:val="21"/>
                <w:szCs w:val="21"/>
              </w:rPr>
              <w:t>2</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kern w:val="0"/>
                <w:sz w:val="21"/>
                <w:szCs w:val="21"/>
              </w:rPr>
            </w:pPr>
          </w:p>
        </w:tc>
        <w:tc>
          <w:tcPr>
            <w:tcW w:w="112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kern w:val="0"/>
                <w:sz w:val="21"/>
                <w:szCs w:val="21"/>
              </w:rPr>
            </w:pPr>
          </w:p>
        </w:tc>
      </w:tr>
      <w:tr>
        <w:tblPrEx>
          <w:tblCellMar>
            <w:top w:w="0" w:type="dxa"/>
            <w:left w:w="108" w:type="dxa"/>
            <w:bottom w:w="0" w:type="dxa"/>
            <w:right w:w="108" w:type="dxa"/>
          </w:tblCellMar>
        </w:tblPrEx>
        <w:trPr>
          <w:trHeight w:val="420" w:hRule="atLeast"/>
        </w:trPr>
        <w:tc>
          <w:tcPr>
            <w:tcW w:w="951"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kern w:val="0"/>
                <w:sz w:val="18"/>
                <w:szCs w:val="18"/>
              </w:rPr>
            </w:pPr>
            <w:r>
              <w:rPr>
                <w:rFonts w:hint="eastAsia" w:ascii="微软雅黑" w:hAnsi="微软雅黑" w:eastAsia="微软雅黑" w:cs="宋体"/>
                <w:color w:val="000000"/>
                <w:kern w:val="0"/>
                <w:sz w:val="18"/>
                <w:szCs w:val="18"/>
              </w:rPr>
              <w:t>7</w:t>
            </w:r>
          </w:p>
        </w:tc>
        <w:tc>
          <w:tcPr>
            <w:tcW w:w="17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1"/>
              </w:rPr>
            </w:pPr>
            <w:r>
              <w:rPr>
                <w:rFonts w:hint="eastAsia" w:ascii="宋体" w:hAnsi="宋体" w:cs="宋体"/>
                <w:kern w:val="0"/>
                <w:sz w:val="22"/>
                <w:szCs w:val="21"/>
              </w:rPr>
              <w:t>墙砖</w:t>
            </w:r>
          </w:p>
        </w:tc>
        <w:tc>
          <w:tcPr>
            <w:tcW w:w="129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2"/>
                <w:szCs w:val="21"/>
              </w:rPr>
            </w:pPr>
          </w:p>
        </w:tc>
        <w:tc>
          <w:tcPr>
            <w:tcW w:w="181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1"/>
              </w:rPr>
            </w:pPr>
            <w:r>
              <w:rPr>
                <w:rFonts w:hint="eastAsia" w:ascii="宋体" w:hAnsi="宋体" w:cs="宋体"/>
                <w:kern w:val="0"/>
                <w:sz w:val="22"/>
                <w:szCs w:val="21"/>
              </w:rPr>
              <w:t>　</w:t>
            </w:r>
          </w:p>
        </w:tc>
        <w:tc>
          <w:tcPr>
            <w:tcW w:w="12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1"/>
              </w:rPr>
            </w:pPr>
            <w:r>
              <w:rPr>
                <w:rFonts w:hint="eastAsia" w:ascii="宋体" w:hAnsi="宋体" w:cs="宋体"/>
                <w:kern w:val="0"/>
                <w:sz w:val="22"/>
                <w:szCs w:val="21"/>
              </w:rPr>
              <w:t>平方</w:t>
            </w:r>
          </w:p>
        </w:tc>
        <w:tc>
          <w:tcPr>
            <w:tcW w:w="1032" w:type="dxa"/>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cs="宋体" w:eastAsiaTheme="minorEastAsia"/>
                <w:kern w:val="0"/>
                <w:sz w:val="21"/>
                <w:szCs w:val="21"/>
                <w:lang w:val="en-US" w:eastAsia="zh-CN"/>
              </w:rPr>
            </w:pPr>
            <w:r>
              <w:rPr>
                <w:rFonts w:hint="eastAsia" w:ascii="宋体" w:hAnsi="宋体" w:cs="宋体"/>
                <w:kern w:val="0"/>
                <w:sz w:val="21"/>
                <w:szCs w:val="21"/>
                <w:lang w:val="en-US" w:eastAsia="zh-CN"/>
              </w:rPr>
              <w:t>40</w:t>
            </w:r>
          </w:p>
        </w:tc>
        <w:tc>
          <w:tcPr>
            <w:tcW w:w="1152"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kern w:val="0"/>
                <w:sz w:val="21"/>
                <w:szCs w:val="21"/>
              </w:rPr>
            </w:pPr>
          </w:p>
        </w:tc>
        <w:tc>
          <w:tcPr>
            <w:tcW w:w="112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kern w:val="0"/>
                <w:sz w:val="21"/>
                <w:szCs w:val="21"/>
              </w:rPr>
            </w:pPr>
          </w:p>
        </w:tc>
      </w:tr>
      <w:tr>
        <w:tblPrEx>
          <w:tblCellMar>
            <w:top w:w="0" w:type="dxa"/>
            <w:left w:w="108" w:type="dxa"/>
            <w:bottom w:w="0" w:type="dxa"/>
            <w:right w:w="108" w:type="dxa"/>
          </w:tblCellMar>
        </w:tblPrEx>
        <w:trPr>
          <w:trHeight w:val="420" w:hRule="atLeast"/>
        </w:trPr>
        <w:tc>
          <w:tcPr>
            <w:tcW w:w="951"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hint="eastAsia" w:ascii="微软雅黑" w:hAnsi="微软雅黑" w:eastAsia="微软雅黑" w:cs="宋体"/>
                <w:color w:val="000000"/>
                <w:kern w:val="0"/>
                <w:sz w:val="18"/>
                <w:szCs w:val="18"/>
                <w:lang w:eastAsia="zh-CN"/>
              </w:rPr>
            </w:pPr>
            <w:r>
              <w:rPr>
                <w:rFonts w:hint="eastAsia" w:ascii="微软雅黑" w:hAnsi="微软雅黑" w:eastAsia="微软雅黑" w:cs="宋体"/>
                <w:color w:val="000000"/>
                <w:kern w:val="0"/>
                <w:sz w:val="18"/>
                <w:szCs w:val="18"/>
                <w:lang w:eastAsia="zh-CN"/>
              </w:rPr>
              <w:t>合计</w:t>
            </w:r>
          </w:p>
        </w:tc>
        <w:tc>
          <w:tcPr>
            <w:tcW w:w="9432"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1"/>
                <w:szCs w:val="21"/>
              </w:rPr>
            </w:pPr>
          </w:p>
        </w:tc>
      </w:tr>
      <w:tr>
        <w:tblPrEx>
          <w:tblCellMar>
            <w:top w:w="0" w:type="dxa"/>
            <w:left w:w="108" w:type="dxa"/>
            <w:bottom w:w="0" w:type="dxa"/>
            <w:right w:w="108" w:type="dxa"/>
          </w:tblCellMar>
        </w:tblPrEx>
        <w:trPr>
          <w:trHeight w:val="420" w:hRule="atLeast"/>
        </w:trPr>
        <w:tc>
          <w:tcPr>
            <w:tcW w:w="951"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hint="eastAsia" w:ascii="微软雅黑" w:hAnsi="微软雅黑" w:eastAsia="微软雅黑" w:cs="宋体"/>
                <w:color w:val="000000"/>
                <w:kern w:val="0"/>
                <w:sz w:val="18"/>
                <w:szCs w:val="18"/>
                <w:lang w:eastAsia="zh-CN"/>
              </w:rPr>
            </w:pPr>
            <w:r>
              <w:rPr>
                <w:rFonts w:hint="eastAsia" w:ascii="微软雅黑" w:hAnsi="微软雅黑" w:eastAsia="微软雅黑" w:cs="宋体"/>
                <w:color w:val="000000"/>
                <w:kern w:val="0"/>
                <w:sz w:val="18"/>
                <w:szCs w:val="18"/>
                <w:lang w:eastAsia="zh-CN"/>
              </w:rPr>
              <w:t>质保期</w:t>
            </w:r>
          </w:p>
        </w:tc>
        <w:tc>
          <w:tcPr>
            <w:tcW w:w="9432"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1"/>
                <w:szCs w:val="21"/>
              </w:rPr>
            </w:pPr>
          </w:p>
        </w:tc>
      </w:tr>
      <w:tr>
        <w:tblPrEx>
          <w:tblCellMar>
            <w:top w:w="0" w:type="dxa"/>
            <w:left w:w="108" w:type="dxa"/>
            <w:bottom w:w="0" w:type="dxa"/>
            <w:right w:w="108" w:type="dxa"/>
          </w:tblCellMar>
        </w:tblPrEx>
        <w:trPr>
          <w:trHeight w:val="420" w:hRule="atLeast"/>
        </w:trPr>
        <w:tc>
          <w:tcPr>
            <w:tcW w:w="951"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hint="eastAsia" w:ascii="微软雅黑" w:hAnsi="微软雅黑" w:eastAsia="微软雅黑" w:cs="宋体"/>
                <w:color w:val="000000"/>
                <w:kern w:val="0"/>
                <w:sz w:val="18"/>
                <w:szCs w:val="18"/>
                <w:lang w:eastAsia="zh-CN"/>
              </w:rPr>
            </w:pPr>
            <w:r>
              <w:rPr>
                <w:rFonts w:hint="eastAsia" w:ascii="微软雅黑" w:hAnsi="微软雅黑" w:eastAsia="微软雅黑" w:cs="宋体"/>
                <w:color w:val="000000"/>
                <w:kern w:val="0"/>
                <w:sz w:val="18"/>
                <w:szCs w:val="18"/>
                <w:lang w:eastAsia="zh-CN"/>
              </w:rPr>
              <w:t>工期</w:t>
            </w:r>
          </w:p>
        </w:tc>
        <w:tc>
          <w:tcPr>
            <w:tcW w:w="9432"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1"/>
                <w:szCs w:val="21"/>
              </w:rPr>
            </w:pPr>
          </w:p>
        </w:tc>
      </w:tr>
    </w:tbl>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注：</w:t>
      </w:r>
      <w:r>
        <w:rPr>
          <w:rFonts w:hint="eastAsia" w:ascii="方正仿宋_GBK" w:hAnsi="宋体" w:eastAsia="方正仿宋_GBK" w:cs="Times New Roman"/>
          <w:color w:val="auto"/>
          <w:sz w:val="24"/>
          <w:szCs w:val="28"/>
          <w:lang w:val="en-US" w:eastAsia="zh-CN"/>
        </w:rPr>
        <w:t>1、</w:t>
      </w:r>
      <w:r>
        <w:rPr>
          <w:rFonts w:hint="eastAsia" w:ascii="方正仿宋_GBK" w:hAnsi="宋体" w:eastAsia="方正仿宋_GBK" w:cs="Times New Roman"/>
          <w:color w:val="auto"/>
          <w:sz w:val="24"/>
          <w:szCs w:val="28"/>
        </w:rPr>
        <w:t>投标报价为包干价，报价包含但不限于税费、材料费、运输费、人工费、机械使用费、管理费、利润、安全文明施工费、除渣等各项费用。</w:t>
      </w:r>
    </w:p>
    <w:p>
      <w:pPr>
        <w:numPr>
          <w:ilvl w:val="0"/>
          <w:numId w:val="0"/>
        </w:numPr>
        <w:snapToGrid w:val="0"/>
        <w:spacing w:line="500" w:lineRule="exact"/>
        <w:ind w:firstLine="480" w:firstLineChars="200"/>
        <w:rPr>
          <w:rFonts w:hint="eastAsia"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lang w:val="en-US" w:eastAsia="zh-CN"/>
        </w:rPr>
        <w:t>2、</w:t>
      </w:r>
      <w:r>
        <w:rPr>
          <w:rFonts w:hint="eastAsia" w:ascii="方正仿宋_GBK" w:hAnsi="宋体" w:eastAsia="方正仿宋_GBK" w:cs="Times New Roman"/>
          <w:color w:val="auto"/>
          <w:sz w:val="24"/>
          <w:szCs w:val="28"/>
        </w:rPr>
        <w:t>请供应商</w:t>
      </w:r>
      <w:r>
        <w:rPr>
          <w:rFonts w:hint="eastAsia" w:ascii="方正仿宋_GBK" w:hAnsi="宋体" w:eastAsia="方正仿宋_GBK" w:cs="Times New Roman"/>
          <w:b/>
          <w:bCs/>
          <w:color w:val="auto"/>
          <w:sz w:val="24"/>
          <w:szCs w:val="28"/>
        </w:rPr>
        <w:t>完整填写</w:t>
      </w:r>
      <w:r>
        <w:rPr>
          <w:rFonts w:hint="eastAsia" w:ascii="方正仿宋_GBK" w:hAnsi="宋体" w:eastAsia="方正仿宋_GBK" w:cs="Times New Roman"/>
          <w:color w:val="auto"/>
          <w:sz w:val="24"/>
          <w:szCs w:val="28"/>
        </w:rPr>
        <w:t>本表。</w:t>
      </w:r>
    </w:p>
    <w:p>
      <w:pPr>
        <w:numPr>
          <w:ilvl w:val="0"/>
          <w:numId w:val="0"/>
        </w:numPr>
        <w:snapToGrid w:val="0"/>
        <w:spacing w:line="50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lang w:val="en-US" w:eastAsia="zh-CN"/>
        </w:rPr>
        <w:t>3、</w:t>
      </w:r>
      <w:r>
        <w:rPr>
          <w:rFonts w:hint="eastAsia" w:ascii="方正仿宋_GBK" w:hAnsi="宋体" w:eastAsia="方正仿宋_GBK" w:cs="Times New Roman"/>
          <w:color w:val="auto"/>
          <w:sz w:val="24"/>
          <w:szCs w:val="28"/>
        </w:rPr>
        <w:t>该表可扩展</w:t>
      </w:r>
      <w:bookmarkStart w:id="163" w:name="OLE_LINK2"/>
      <w:bookmarkStart w:id="164" w:name="OLE_LINK1"/>
      <w:r>
        <w:rPr>
          <w:rFonts w:hint="eastAsia" w:ascii="方正仿宋_GBK" w:hAnsi="宋体" w:eastAsia="方正仿宋_GBK" w:cs="Times New Roman"/>
          <w:color w:val="auto"/>
          <w:sz w:val="24"/>
          <w:szCs w:val="28"/>
        </w:rPr>
        <w:t>，并逐页签字或盖章。</w:t>
      </w:r>
      <w:bookmarkEnd w:id="163"/>
      <w:bookmarkEnd w:id="164"/>
    </w:p>
    <w:p>
      <w:pPr>
        <w:spacing w:line="360" w:lineRule="auto"/>
        <w:jc w:val="center"/>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w:t>
      </w:r>
    </w:p>
    <w:p>
      <w:pPr>
        <w:spacing w:line="360" w:lineRule="auto"/>
        <w:rPr>
          <w:rFonts w:ascii="Times New Roman" w:hAnsi="Times New Roman" w:eastAsia="宋体" w:cs="Times New Roman"/>
          <w:color w:val="auto"/>
          <w:sz w:val="28"/>
          <w:szCs w:val="20"/>
        </w:rPr>
      </w:pPr>
      <w:r>
        <w:rPr>
          <w:rFonts w:hint="eastAsia" w:ascii="方正仿宋_GBK" w:hAnsi="宋体" w:eastAsia="方正仿宋_GBK" w:cs="Times New Roman"/>
          <w:color w:val="auto"/>
          <w:sz w:val="24"/>
          <w:szCs w:val="24"/>
        </w:rPr>
        <w:t xml:space="preserve">                                              供应商名称（公章）：</w:t>
      </w:r>
    </w:p>
    <w:p>
      <w:pPr>
        <w:spacing w:line="360" w:lineRule="auto"/>
        <w:ind w:right="480" w:firstLine="6480" w:firstLineChars="27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年     月    日</w:t>
      </w:r>
    </w:p>
    <w:p>
      <w:pPr>
        <w:snapToGrid w:val="0"/>
        <w:spacing w:line="360" w:lineRule="auto"/>
        <w:ind w:firstLine="480" w:firstLineChars="200"/>
        <w:rPr>
          <w:rFonts w:ascii="方正仿宋_GBK" w:hAnsi="宋体" w:eastAsia="方正仿宋_GBK" w:cs="Times New Roman"/>
          <w:color w:val="auto"/>
          <w:sz w:val="24"/>
          <w:szCs w:val="24"/>
          <w:bdr w:val="single" w:color="auto" w:sz="4" w:space="0"/>
        </w:rPr>
        <w:sectPr>
          <w:headerReference r:id="rId7" w:type="default"/>
          <w:pgSz w:w="11907" w:h="16840"/>
          <w:pgMar w:top="1134" w:right="1191" w:bottom="1134" w:left="1304" w:header="851" w:footer="992" w:gutter="0"/>
          <w:cols w:space="720" w:num="1"/>
          <w:docGrid w:linePitch="380" w:charSpace="-5735"/>
        </w:sectPr>
      </w:pPr>
    </w:p>
    <w:p>
      <w:pPr>
        <w:rPr>
          <w:b/>
          <w:color w:val="auto"/>
        </w:rPr>
      </w:pPr>
      <w:bookmarkStart w:id="165" w:name="_Toc480979019"/>
      <w:bookmarkStart w:id="166" w:name="_Toc313888361"/>
      <w:bookmarkStart w:id="167" w:name="_Toc342913420"/>
      <w:bookmarkStart w:id="168" w:name="_Toc313008357"/>
      <w:bookmarkStart w:id="169" w:name="_Toc485108797"/>
      <w:r>
        <w:rPr>
          <w:rFonts w:hint="eastAsia"/>
          <w:b/>
          <w:color w:val="auto"/>
        </w:rPr>
        <w:t>二、服务部分</w:t>
      </w:r>
      <w:bookmarkEnd w:id="165"/>
      <w:bookmarkEnd w:id="166"/>
      <w:bookmarkEnd w:id="167"/>
      <w:bookmarkEnd w:id="168"/>
      <w:bookmarkEnd w:id="169"/>
    </w:p>
    <w:p>
      <w:pPr>
        <w:snapToGrid w:val="0"/>
        <w:spacing w:line="360" w:lineRule="auto"/>
        <w:ind w:firstLine="560" w:firstLineChars="200"/>
        <w:rPr>
          <w:rFonts w:ascii="方正仿宋_GBK" w:hAnsi="宋体" w:eastAsia="方正仿宋_GBK" w:cs="Times New Roman"/>
          <w:color w:val="auto"/>
          <w:sz w:val="28"/>
          <w:szCs w:val="28"/>
        </w:rPr>
      </w:pPr>
      <w:r>
        <w:rPr>
          <w:rFonts w:hint="eastAsia" w:ascii="方正仿宋_GBK" w:hAnsi="宋体" w:eastAsia="方正仿宋_GBK" w:cs="Times New Roman"/>
          <w:color w:val="auto"/>
          <w:sz w:val="28"/>
          <w:szCs w:val="28"/>
        </w:rPr>
        <w:t>（一）</w:t>
      </w:r>
      <w:r>
        <w:rPr>
          <w:rFonts w:hint="eastAsia" w:ascii="微软雅黑" w:hAnsi="微软雅黑" w:eastAsia="微软雅黑" w:cs="微软雅黑"/>
          <w:color w:val="auto"/>
          <w:sz w:val="28"/>
          <w:szCs w:val="28"/>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auto"/>
          <w:sz w:val="24"/>
          <w:szCs w:val="24"/>
        </w:rPr>
      </w:pPr>
      <w:r>
        <w:rPr>
          <w:rFonts w:ascii="方正仿宋_GBK" w:hAnsi="宋体" w:eastAsia="方正仿宋_GBK" w:cs="Times New Roman"/>
          <w:color w:val="auto"/>
          <w:sz w:val="28"/>
          <w:szCs w:val="24"/>
        </w:rPr>
        <w:br w:type="page"/>
      </w:r>
      <w:r>
        <w:rPr>
          <w:rFonts w:hint="eastAsia" w:ascii="方正仿宋_GBK" w:hAnsi="宋体" w:eastAsia="方正仿宋_GBK" w:cs="Times New Roman"/>
          <w:color w:val="auto"/>
          <w:sz w:val="24"/>
          <w:szCs w:val="24"/>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bl>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720" w:firstLineChars="3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0"/>
        </w:rPr>
        <w:t>5.</w:t>
      </w:r>
      <w:r>
        <w:rPr>
          <w:rFonts w:hint="eastAsia" w:ascii="方正仿宋_GBK" w:hAnsi="宋体" w:eastAsia="方正仿宋_GBK" w:cs="Times New Roman"/>
          <w:b/>
          <w:bCs/>
          <w:color w:val="auto"/>
          <w:sz w:val="24"/>
          <w:szCs w:val="20"/>
        </w:rPr>
        <w:t>若“响应情况”栏中仅填写“无偏离”或“有偏离”等内容而未作实质性参数描述，该供应商将</w:t>
      </w:r>
      <w:r>
        <w:rPr>
          <w:rFonts w:hint="eastAsia" w:ascii="方正仿宋_GBK" w:hAnsi="宋体" w:eastAsia="方正仿宋_GBK" w:cs="Times New Roman"/>
          <w:b/>
          <w:bCs/>
          <w:color w:val="auto"/>
          <w:sz w:val="24"/>
          <w:szCs w:val="24"/>
        </w:rPr>
        <w:t>失去成为成交供应商的资格，仅保留其合格供应商的身份。</w:t>
      </w:r>
    </w:p>
    <w:p>
      <w:pPr>
        <w:rPr>
          <w:b/>
          <w:color w:val="auto"/>
        </w:rPr>
      </w:pPr>
      <w:r>
        <w:rPr>
          <w:rFonts w:hAnsi="Times New Roman"/>
          <w:color w:val="auto"/>
          <w:sz w:val="32"/>
          <w:szCs w:val="20"/>
        </w:rPr>
        <w:br w:type="page"/>
      </w:r>
      <w:bookmarkStart w:id="170" w:name="_Toc342913421"/>
      <w:bookmarkStart w:id="171" w:name="_Toc480979020"/>
      <w:bookmarkStart w:id="172" w:name="_Toc313008358"/>
      <w:bookmarkStart w:id="173" w:name="_Toc313888362"/>
      <w:bookmarkStart w:id="174" w:name="_Toc485108798"/>
      <w:r>
        <w:rPr>
          <w:rFonts w:hint="eastAsia"/>
          <w:b/>
          <w:color w:val="auto"/>
        </w:rPr>
        <w:t>三、商务部分</w:t>
      </w:r>
      <w:bookmarkEnd w:id="170"/>
      <w:bookmarkEnd w:id="171"/>
      <w:bookmarkEnd w:id="172"/>
      <w:bookmarkEnd w:id="173"/>
      <w:bookmarkEnd w:id="174"/>
    </w:p>
    <w:p>
      <w:pPr>
        <w:spacing w:line="360" w:lineRule="auto"/>
        <w:ind w:firstLine="480" w:firstLineChars="200"/>
        <w:rPr>
          <w:rFonts w:hint="eastAsia" w:ascii="微软雅黑" w:hAnsi="微软雅黑" w:eastAsia="微软雅黑" w:cs="微软雅黑"/>
          <w:color w:val="auto"/>
          <w:sz w:val="28"/>
          <w:szCs w:val="28"/>
        </w:rPr>
      </w:pPr>
      <w:r>
        <w:rPr>
          <w:rFonts w:hint="eastAsia" w:ascii="方正仿宋_GBK" w:hAnsi="宋体" w:eastAsia="方正仿宋_GBK" w:cs="Times New Roman"/>
          <w:color w:val="auto"/>
          <w:sz w:val="24"/>
          <w:szCs w:val="24"/>
        </w:rPr>
        <w:t>（一）</w:t>
      </w:r>
      <w:r>
        <w:rPr>
          <w:rFonts w:hint="eastAsia" w:ascii="微软雅黑" w:hAnsi="微软雅黑" w:eastAsia="微软雅黑" w:cs="微软雅黑"/>
          <w:color w:val="auto"/>
          <w:sz w:val="28"/>
          <w:szCs w:val="28"/>
        </w:rPr>
        <w:t>按照“第四篇  项目商务需求”提供相应资料</w:t>
      </w:r>
    </w:p>
    <w:p>
      <w:pPr>
        <w:snapToGrid w:val="0"/>
        <w:spacing w:line="360" w:lineRule="auto"/>
        <w:ind w:firstLine="560" w:firstLineChars="200"/>
        <w:rPr>
          <w:rFonts w:ascii="方正仿宋_GBK" w:hAnsi="Times New Roman" w:eastAsia="方正仿宋_GBK" w:cs="Times New Roman"/>
          <w:b/>
          <w:color w:val="auto"/>
          <w:sz w:val="28"/>
          <w:szCs w:val="20"/>
        </w:rPr>
        <w:sectPr>
          <w:pgSz w:w="11907" w:h="16840"/>
          <w:pgMar w:top="1134" w:right="1191" w:bottom="1134" w:left="1304" w:header="851" w:footer="992" w:gutter="0"/>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bookmarkStart w:id="175" w:name="_Toc283382459"/>
      <w:r>
        <w:rPr>
          <w:rFonts w:hint="eastAsia" w:ascii="方正仿宋_GBK" w:hAnsi="宋体" w:eastAsia="方正仿宋_GBK" w:cs="Times New Roman"/>
          <w:color w:val="auto"/>
          <w:sz w:val="24"/>
          <w:szCs w:val="24"/>
        </w:rPr>
        <w:t>（二）商务响应偏离表</w:t>
      </w:r>
    </w:p>
    <w:p>
      <w:pPr>
        <w:snapToGrid w:val="0"/>
        <w:spacing w:line="360" w:lineRule="auto"/>
        <w:jc w:val="center"/>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商务响应偏离表</w:t>
      </w:r>
    </w:p>
    <w:p>
      <w:pPr>
        <w:snapToGrid w:val="0"/>
        <w:spacing w:line="500" w:lineRule="exact"/>
        <w:ind w:firstLine="48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项目名称：</w:t>
      </w:r>
    </w:p>
    <w:p>
      <w:pPr>
        <w:snapToGrid w:val="0"/>
        <w:spacing w:line="360" w:lineRule="auto"/>
        <w:ind w:firstLine="465"/>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bl>
    <w:p>
      <w:pPr>
        <w:snapToGrid w:val="0"/>
        <w:spacing w:line="360" w:lineRule="auto"/>
        <w:ind w:firstLine="465"/>
        <w:rPr>
          <w:rFonts w:ascii="方正仿宋_GBK" w:hAnsi="宋体" w:eastAsia="方正仿宋_GBK" w:cs="Times New Roman"/>
          <w:color w:val="auto"/>
          <w:sz w:val="24"/>
          <w:szCs w:val="24"/>
        </w:rPr>
      </w:pPr>
    </w:p>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360" w:firstLineChars="1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b/>
          <w:bCs/>
          <w:color w:val="auto"/>
          <w:sz w:val="24"/>
          <w:szCs w:val="28"/>
        </w:rPr>
      </w:pPr>
      <w:r>
        <w:rPr>
          <w:rFonts w:hint="eastAsia" w:ascii="微软雅黑" w:hAnsi="微软雅黑" w:eastAsia="微软雅黑" w:cs="微软雅黑"/>
          <w:b/>
          <w:bCs/>
          <w:color w:val="auto"/>
          <w:sz w:val="24"/>
          <w:szCs w:val="24"/>
        </w:rPr>
        <w:t>4.</w:t>
      </w:r>
      <w:r>
        <w:rPr>
          <w:rFonts w:hint="eastAsia" w:ascii="微软雅黑" w:hAnsi="微软雅黑" w:eastAsia="微软雅黑" w:cs="微软雅黑"/>
          <w:b/>
          <w:bCs/>
          <w:color w:val="auto"/>
          <w:sz w:val="24"/>
          <w:szCs w:val="28"/>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方正仿宋_GBK" w:hAnsi="宋体" w:eastAsia="方正仿宋_GBK" w:cs="Times New Roman"/>
          <w:color w:val="auto"/>
          <w:sz w:val="24"/>
          <w:szCs w:val="24"/>
        </w:rPr>
        <w:sectPr>
          <w:headerReference r:id="rId8" w:type="default"/>
          <w:pgSz w:w="11907" w:h="16840"/>
          <w:pgMar w:top="1134" w:right="1191" w:bottom="1134" w:left="1304" w:header="851" w:footer="992" w:gutter="0"/>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p>
    <w:p>
      <w:pPr>
        <w:spacing w:line="360" w:lineRule="auto"/>
        <w:ind w:firstLine="560" w:firstLineChars="200"/>
        <w:rPr>
          <w:rFonts w:ascii="方正仿宋_GBK" w:hAnsi="宋体" w:eastAsia="方正仿宋_GBK" w:cs="Times New Roman"/>
          <w:color w:val="auto"/>
          <w:sz w:val="24"/>
          <w:szCs w:val="24"/>
        </w:rPr>
      </w:pPr>
      <w:r>
        <w:rPr>
          <w:rFonts w:ascii="Times New Roman" w:hAnsi="Times New Roman" w:eastAsia="宋体" w:cs="Times New Roman"/>
          <w:color w:val="auto"/>
          <w:sz w:val="28"/>
          <w:szCs w:val="20"/>
        </w:rPr>
        <w:br w:type="page"/>
      </w:r>
    </w:p>
    <w:p>
      <w:pPr>
        <w:rPr>
          <w:b/>
          <w:color w:val="auto"/>
        </w:rPr>
      </w:pPr>
      <w:r>
        <w:rPr>
          <w:rFonts w:hint="eastAsia"/>
          <w:b/>
          <w:color w:val="auto"/>
        </w:rPr>
        <w:t>四、资格条件及其他</w:t>
      </w:r>
    </w:p>
    <w:p>
      <w:pPr>
        <w:tabs>
          <w:tab w:val="left" w:pos="6300"/>
        </w:tabs>
        <w:snapToGrid w:val="0"/>
        <w:spacing w:line="500" w:lineRule="exact"/>
        <w:ind w:firstLine="57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（一）</w:t>
      </w:r>
      <w:r>
        <w:rPr>
          <w:rFonts w:hint="eastAsia" w:ascii="方正仿宋_GBK" w:hAnsi="宋体" w:eastAsia="方正仿宋_GBK" w:cs="Times New Roman"/>
          <w:color w:val="auto"/>
          <w:sz w:val="24"/>
          <w:szCs w:val="24"/>
        </w:rPr>
        <w:t>营业执照（</w:t>
      </w:r>
      <w:r>
        <w:rPr>
          <w:rFonts w:hint="eastAsia" w:ascii="微软雅黑" w:hAnsi="微软雅黑" w:eastAsia="微软雅黑" w:cs="微软雅黑"/>
          <w:color w:val="auto"/>
          <w:sz w:val="24"/>
          <w:szCs w:val="24"/>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auto"/>
          <w:sz w:val="28"/>
          <w:szCs w:val="20"/>
        </w:rPr>
      </w:pPr>
      <w:r>
        <w:rPr>
          <w:rFonts w:ascii="方正仿宋_GBK" w:hAnsi="宋体" w:eastAsia="方正仿宋_GBK" w:cs="Times New Roman"/>
          <w:b/>
          <w:color w:val="auto"/>
          <w:sz w:val="24"/>
          <w:szCs w:val="24"/>
        </w:rPr>
        <w:br w:type="page"/>
      </w:r>
      <w:bookmarkEnd w:id="175"/>
      <w:bookmarkStart w:id="176" w:name="_Toc342913422"/>
      <w:bookmarkStart w:id="177" w:name="_Toc313888363"/>
      <w:bookmarkStart w:id="178" w:name="_Toc313008359"/>
    </w:p>
    <w:p>
      <w:pPr>
        <w:snapToGrid w:val="0"/>
        <w:spacing w:line="400" w:lineRule="exact"/>
        <w:ind w:firstLine="56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8"/>
          <w:szCs w:val="20"/>
        </w:rPr>
        <w:t>（二）</w:t>
      </w:r>
      <w:r>
        <w:rPr>
          <w:rFonts w:hint="eastAsia" w:ascii="方正仿宋_GBK" w:hAnsi="宋体" w:eastAsia="方正仿宋_GBK" w:cs="Times New Roman"/>
          <w:color w:val="auto"/>
          <w:sz w:val="24"/>
          <w:szCs w:val="24"/>
        </w:rPr>
        <w:t>组织机构代码证复印件</w:t>
      </w:r>
    </w:p>
    <w:p>
      <w:pPr>
        <w:widowControl/>
        <w:ind w:firstLine="560" w:firstLineChars="200"/>
        <w:jc w:val="left"/>
        <w:rPr>
          <w:rFonts w:ascii="方正仿宋_GBK" w:hAnsi="宋体" w:eastAsia="方正仿宋_GBK" w:cs="Times New Roman"/>
          <w:color w:val="auto"/>
          <w:sz w:val="28"/>
          <w:szCs w:val="20"/>
        </w:rPr>
      </w:pPr>
      <w:r>
        <w:rPr>
          <w:rFonts w:ascii="方正仿宋_GBK" w:hAnsi="宋体" w:eastAsia="方正仿宋_GBK" w:cs="Times New Roman"/>
          <w:color w:val="auto"/>
          <w:sz w:val="28"/>
          <w:szCs w:val="20"/>
        </w:rPr>
        <w:br w:type="page"/>
      </w:r>
      <w:bookmarkEnd w:id="176"/>
      <w:bookmarkEnd w:id="177"/>
      <w:bookmarkEnd w:id="178"/>
      <w:r>
        <w:rPr>
          <w:rFonts w:hint="eastAsia" w:ascii="方正仿宋_GBK" w:hAnsi="宋体" w:eastAsia="方正仿宋_GBK" w:cs="Times New Roman"/>
          <w:color w:val="auto"/>
          <w:sz w:val="28"/>
          <w:szCs w:val="20"/>
        </w:rPr>
        <w:t>（三）法定代表人身份证明书（格式）</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（法定代表人姓名）在</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（供应商名称）任</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（职务名称）职务，是（供应商名称）</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的法定代表人。</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特此证明。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（供应商公章）</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年   月   日</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p>
    <w:p>
      <w:pPr>
        <w:widowControl/>
        <w:ind w:firstLine="480" w:firstLineChars="200"/>
        <w:jc w:val="left"/>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8"/>
          <w:szCs w:val="20"/>
        </w:rPr>
      </w:pPr>
      <w:r>
        <w:rPr>
          <w:rFonts w:ascii="Times New Roman" w:hAnsi="Times New Roman" w:eastAsia="宋体" w:cs="Times New Roman"/>
          <w:color w:val="auto"/>
          <w:sz w:val="28"/>
          <w:szCs w:val="20"/>
        </w:rPr>
        <w:br w:type="column"/>
      </w:r>
      <w:r>
        <w:rPr>
          <w:rFonts w:hint="eastAsia" w:ascii="方正仿宋_GBK" w:hAnsi="宋体" w:eastAsia="方正仿宋_GBK" w:cs="Times New Roman"/>
          <w:color w:val="auto"/>
          <w:sz w:val="28"/>
          <w:szCs w:val="20"/>
        </w:rPr>
        <w:t>（四）法定代表人授权委托书（格式）</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（供应商法定代表人名称）是</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（供应商名称）的法定代表人，特授权</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被授权人：                                 供应商法定代表人：</w:t>
      </w:r>
    </w:p>
    <w:p>
      <w:pPr>
        <w:tabs>
          <w:tab w:val="left" w:pos="6300"/>
        </w:tabs>
        <w:snapToGrid w:val="0"/>
        <w:spacing w:line="500" w:lineRule="exact"/>
        <w:ind w:firstLine="57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（签字或盖章）                                （签字或盖章）</w:t>
      </w:r>
    </w:p>
    <w:p>
      <w:pPr>
        <w:tabs>
          <w:tab w:val="left" w:pos="6300"/>
        </w:tabs>
        <w:snapToGrid w:val="0"/>
        <w:spacing w:line="500" w:lineRule="exact"/>
        <w:ind w:firstLine="570"/>
        <w:rPr>
          <w:rFonts w:ascii="方正仿宋_GBK" w:hAnsi="宋体" w:eastAsia="方正仿宋_GBK" w:cs="Times New Roman"/>
          <w:color w:val="auto"/>
          <w:sz w:val="24"/>
          <w:szCs w:val="28"/>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（附：被授权人身份证正反面复印件）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（供应商公章）</w:t>
      </w: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年   月   日</w:t>
      </w:r>
    </w:p>
    <w:p>
      <w:pPr>
        <w:tabs>
          <w:tab w:val="left" w:pos="6300"/>
        </w:tabs>
        <w:snapToGrid w:val="0"/>
        <w:spacing w:line="500" w:lineRule="exact"/>
        <w:ind w:firstLine="480"/>
        <w:rPr>
          <w:rFonts w:ascii="宋体" w:hAnsi="宋体" w:eastAsia="宋体" w:cs="Times New Roman"/>
          <w:color w:val="auto"/>
          <w:sz w:val="24"/>
          <w:szCs w:val="24"/>
        </w:rPr>
      </w:pPr>
      <w:r>
        <w:rPr>
          <w:rFonts w:ascii="宋体" w:hAnsi="宋体" w:eastAsia="宋体" w:cs="Times New Roman"/>
          <w:color w:val="auto"/>
          <w:sz w:val="28"/>
          <w:szCs w:val="20"/>
        </w:rPr>
        <w:br w:type="column"/>
      </w:r>
      <w:r>
        <w:rPr>
          <w:rFonts w:hint="eastAsia" w:ascii="方正仿宋_GBK" w:hAnsi="宋体" w:eastAsia="方正仿宋_GBK" w:cs="Times New Roman"/>
          <w:color w:val="auto"/>
          <w:sz w:val="28"/>
          <w:szCs w:val="20"/>
        </w:rPr>
        <w:t>（五）</w:t>
      </w:r>
      <w:r>
        <w:rPr>
          <w:rFonts w:hint="eastAsia" w:ascii="方正仿宋_GBK" w:hAnsi="宋体" w:eastAsia="方正仿宋_GBK" w:cs="Times New Roman"/>
          <w:color w:val="auto"/>
          <w:sz w:val="24"/>
          <w:szCs w:val="24"/>
        </w:rPr>
        <w:t>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3220" w:firstLineChars="1150"/>
        <w:rPr>
          <w:rFonts w:hint="eastAsia"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8"/>
          <w:szCs w:val="20"/>
        </w:rPr>
        <w:t>（六）书面声明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spacing w:line="44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u w:val="single"/>
        </w:rPr>
        <w:t xml:space="preserve">                       </w:t>
      </w:r>
      <w:r>
        <w:rPr>
          <w:rFonts w:hint="eastAsia" w:ascii="方正仿宋_GBK" w:hAnsi="宋体" w:eastAsia="方正仿宋_GBK" w:cs="Times New Roman"/>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特此声明。</w:t>
      </w:r>
    </w:p>
    <w:p>
      <w:pPr>
        <w:tabs>
          <w:tab w:val="left" w:pos="6300"/>
        </w:tabs>
        <w:snapToGrid w:val="0"/>
        <w:spacing w:line="500" w:lineRule="exact"/>
        <w:jc w:val="center"/>
        <w:rPr>
          <w:rFonts w:ascii="方正仿宋_GBK" w:hAnsi="宋体" w:eastAsia="方正仿宋_GBK" w:cs="Times New Roman"/>
          <w:color w:val="auto"/>
          <w:sz w:val="24"/>
          <w:szCs w:val="28"/>
        </w:rPr>
      </w:pPr>
    </w:p>
    <w:p>
      <w:pPr>
        <w:tabs>
          <w:tab w:val="left" w:pos="6300"/>
        </w:tabs>
        <w:snapToGrid w:val="0"/>
        <w:spacing w:line="500" w:lineRule="exact"/>
        <w:rPr>
          <w:rFonts w:ascii="方正仿宋_GBK" w:hAnsi="宋体" w:eastAsia="方正仿宋_GBK" w:cs="Times New Roman"/>
          <w:color w:val="auto"/>
          <w:sz w:val="24"/>
          <w:szCs w:val="28"/>
        </w:rPr>
      </w:pPr>
    </w:p>
    <w:p>
      <w:pPr>
        <w:tabs>
          <w:tab w:val="left" w:pos="6300"/>
        </w:tabs>
        <w:snapToGrid w:val="0"/>
        <w:spacing w:line="500" w:lineRule="exact"/>
        <w:ind w:firstLine="6480" w:firstLineChars="27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auto"/>
          <w:sz w:val="24"/>
          <w:szCs w:val="28"/>
        </w:rPr>
      </w:pPr>
    </w:p>
    <w:p>
      <w:pPr>
        <w:tabs>
          <w:tab w:val="left" w:pos="6300"/>
        </w:tabs>
        <w:snapToGrid w:val="0"/>
        <w:spacing w:line="360" w:lineRule="auto"/>
        <w:ind w:right="1320" w:firstLine="480" w:firstLineChars="200"/>
        <w:jc w:val="righ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年   月   日</w:t>
      </w: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360" w:lineRule="auto"/>
        <w:ind w:firstLine="560" w:firstLineChars="200"/>
        <w:rPr>
          <w:rFonts w:ascii="仿宋" w:hAnsi="仿宋" w:eastAsia="仿宋" w:cs="仿宋"/>
          <w:color w:val="auto"/>
          <w:sz w:val="28"/>
          <w:szCs w:val="28"/>
        </w:rPr>
      </w:pPr>
      <w:bookmarkStart w:id="179" w:name="OLE_LINK4"/>
      <w:bookmarkStart w:id="180" w:name="OLE_LINK7"/>
      <w:r>
        <w:rPr>
          <w:rFonts w:hint="eastAsia" w:ascii="方正仿宋_GBK" w:hAnsi="宋体" w:eastAsia="方正仿宋_GBK" w:cs="Times New Roman"/>
          <w:color w:val="auto"/>
          <w:sz w:val="28"/>
          <w:szCs w:val="20"/>
        </w:rPr>
        <w:t>（七）</w:t>
      </w:r>
      <w:r>
        <w:rPr>
          <w:rFonts w:hint="eastAsia" w:ascii="微软雅黑" w:hAnsi="微软雅黑" w:eastAsia="微软雅黑" w:cs="微软雅黑"/>
          <w:color w:val="auto"/>
          <w:sz w:val="28"/>
          <w:szCs w:val="28"/>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微软雅黑" w:hAnsi="微软雅黑" w:eastAsia="微软雅黑" w:cs="微软雅黑"/>
          <w:color w:val="auto"/>
          <w:sz w:val="28"/>
          <w:szCs w:val="28"/>
        </w:rPr>
        <w:t>（八）</w:t>
      </w:r>
      <w:r>
        <w:rPr>
          <w:rFonts w:hint="eastAsia" w:ascii="方正仿宋_GBK" w:hAnsi="宋体" w:eastAsia="方正仿宋_GBK" w:cs="Times New Roman"/>
          <w:color w:val="auto"/>
          <w:sz w:val="28"/>
          <w:szCs w:val="20"/>
        </w:rPr>
        <w:t>社会保险缴纳证明材料</w:t>
      </w:r>
    </w:p>
    <w:p>
      <w:pPr>
        <w:widowControl/>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bookmarkEnd w:id="179"/>
    <w:bookmarkEnd w:id="180"/>
    <w:p>
      <w:pPr>
        <w:widowControl/>
        <w:ind w:firstLine="560" w:firstLineChars="200"/>
        <w:jc w:val="left"/>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（九）特定资格条件证书或证明文件</w:t>
      </w:r>
      <w:r>
        <w:rPr>
          <w:rFonts w:hint="eastAsia" w:ascii="微软雅黑" w:hAnsi="微软雅黑" w:eastAsia="微软雅黑" w:cs="微软雅黑"/>
          <w:color w:val="auto"/>
          <w:szCs w:val="28"/>
        </w:rPr>
        <w:t>（如果有）</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--严重失信主体名单查询</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--政府采购严重违法失信行为记录名单</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0"/>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--税收违法黑名单</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--失信被执行人</w:t>
      </w: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default" w:ascii="方正仿宋_GBK" w:hAnsi="宋体" w:eastAsia="方正仿宋_GBK" w:cs="Times New Roman"/>
          <w:color w:val="auto"/>
          <w:sz w:val="28"/>
          <w:szCs w:val="28"/>
          <w:lang w:val="en-US" w:eastAsia="zh-CN"/>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pageBreakBefore/>
        <w:tabs>
          <w:tab w:val="left" w:pos="6300"/>
        </w:tabs>
        <w:snapToGrid w:val="0"/>
        <w:spacing w:line="480" w:lineRule="exact"/>
        <w:outlineLvl w:val="0"/>
        <w:rPr>
          <w:rFonts w:hint="eastAsia" w:ascii="方正仿宋_GBK" w:hAnsi="Arial" w:eastAsia="方正仿宋_GBK"/>
          <w:b/>
        </w:rPr>
      </w:pPr>
      <w:r>
        <w:rPr>
          <w:rFonts w:hint="eastAsia" w:ascii="方正仿宋_GBK" w:hAnsi="Arial" w:eastAsia="方正仿宋_GBK"/>
          <w:b/>
        </w:rPr>
        <w:t>其他资料</w:t>
      </w:r>
    </w:p>
    <w:p>
      <w:pPr>
        <w:rPr>
          <w:rFonts w:hint="eastAsia" w:ascii="方正仿宋_GBK" w:eastAsia="方正仿宋_GBK"/>
        </w:rPr>
      </w:pPr>
      <w:r>
        <w:rPr>
          <w:rFonts w:hint="eastAsia" w:ascii="方正仿宋_GBK" w:hAnsi="宋体" w:eastAsia="方正仿宋_GBK"/>
          <w:szCs w:val="28"/>
        </w:rPr>
        <w:t>（一）中小微企业声明函、监狱企业证明文件、残疾人福利性单位声明函</w:t>
      </w:r>
    </w:p>
    <w:p>
      <w:pPr>
        <w:jc w:val="center"/>
        <w:rPr>
          <w:rFonts w:hint="eastAsia" w:ascii="方正仿宋_GBK" w:hAnsi="宋体" w:eastAsia="方正仿宋_GBK"/>
          <w:sz w:val="32"/>
          <w:szCs w:val="32"/>
        </w:rPr>
      </w:pPr>
      <w:r>
        <w:rPr>
          <w:rFonts w:hint="eastAsia" w:ascii="方正仿宋_GBK" w:hAnsi="宋体" w:eastAsia="方正仿宋_GBK"/>
          <w:sz w:val="32"/>
          <w:szCs w:val="32"/>
        </w:rPr>
        <w:t>中小微企业声明函</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本公司郑重声明，根据《政府采购促进中小企业发展管理办法》（财库〔2020〕46号）的规定，本公司参加</w:t>
      </w:r>
      <w:r>
        <w:rPr>
          <w:rFonts w:hint="eastAsia" w:ascii="楷体" w:hAnsi="楷体" w:eastAsia="楷体" w:cs="宋体"/>
          <w:sz w:val="24"/>
          <w:szCs w:val="24"/>
          <w:u w:val="single"/>
        </w:rPr>
        <w:t>重庆医科大学附属永川医院</w:t>
      </w:r>
      <w:r>
        <w:rPr>
          <w:rFonts w:hint="eastAsia" w:ascii="楷体" w:hAnsi="楷体" w:eastAsia="楷体" w:cs="宋体"/>
          <w:i/>
          <w:sz w:val="24"/>
          <w:szCs w:val="24"/>
          <w:u w:val="single"/>
        </w:rPr>
        <w:t>（单位名称）</w:t>
      </w:r>
      <w:r>
        <w:rPr>
          <w:rFonts w:hint="eastAsia" w:ascii="楷体" w:hAnsi="楷体" w:eastAsia="楷体" w:cs="宋体"/>
          <w:sz w:val="24"/>
          <w:szCs w:val="24"/>
        </w:rPr>
        <w:t>的</w:t>
      </w:r>
      <w:r>
        <w:rPr>
          <w:rFonts w:hint="eastAsia" w:ascii="楷体" w:hAnsi="楷体" w:eastAsia="楷体" w:cs="宋体"/>
          <w:i/>
          <w:sz w:val="24"/>
          <w:szCs w:val="24"/>
          <w:u w:val="single"/>
        </w:rPr>
        <w:t>（项目名称）</w:t>
      </w:r>
      <w:r>
        <w:rPr>
          <w:rFonts w:hint="eastAsia" w:ascii="楷体" w:hAnsi="楷体" w:eastAsia="楷体" w:cs="宋体"/>
          <w:sz w:val="24"/>
          <w:szCs w:val="24"/>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1.</w:t>
      </w:r>
      <w:r>
        <w:rPr>
          <w:rFonts w:hint="eastAsia" w:ascii="楷体" w:hAnsi="楷体" w:eastAsia="楷体" w:cs="宋体"/>
          <w:i/>
          <w:sz w:val="24"/>
          <w:szCs w:val="24"/>
          <w:u w:val="single"/>
        </w:rPr>
        <w:t>（</w:t>
      </w:r>
      <w:r>
        <w:rPr>
          <w:rFonts w:hint="eastAsia" w:ascii="楷体" w:hAnsi="楷体" w:eastAsia="楷体" w:cs="宋体"/>
          <w:sz w:val="24"/>
          <w:szCs w:val="24"/>
          <w:u w:val="single"/>
        </w:rPr>
        <w:t>重庆医科大学附属永川医院</w:t>
      </w:r>
      <w:r>
        <w:rPr>
          <w:rFonts w:hint="eastAsia" w:ascii="楷体" w:hAnsi="楷体" w:eastAsia="楷体" w:cs="宋体"/>
          <w:i/>
          <w:sz w:val="24"/>
          <w:szCs w:val="24"/>
          <w:u w:val="single"/>
        </w:rPr>
        <w:t>***</w:t>
      </w:r>
      <w:r>
        <w:rPr>
          <w:rFonts w:hint="eastAsia" w:ascii="楷体" w:hAnsi="楷体" w:eastAsia="楷体" w:cs="宋体"/>
          <w:sz w:val="24"/>
          <w:szCs w:val="24"/>
          <w:u w:val="single"/>
        </w:rPr>
        <w:t>项目</w:t>
      </w:r>
      <w:r>
        <w:rPr>
          <w:rFonts w:hint="eastAsia" w:ascii="楷体" w:hAnsi="楷体" w:eastAsia="楷体" w:cs="宋体"/>
          <w:i/>
          <w:sz w:val="24"/>
          <w:szCs w:val="24"/>
          <w:u w:val="single"/>
        </w:rPr>
        <w:t>）</w:t>
      </w:r>
      <w:r>
        <w:rPr>
          <w:rFonts w:hint="eastAsia" w:ascii="楷体" w:hAnsi="楷体" w:eastAsia="楷体" w:cs="宋体"/>
          <w:sz w:val="24"/>
          <w:szCs w:val="24"/>
        </w:rPr>
        <w:t xml:space="preserve">，属于（工业 ） </w:t>
      </w:r>
      <w:r>
        <w:rPr>
          <w:rFonts w:hint="eastAsia" w:ascii="楷体" w:hAnsi="楷体" w:eastAsia="楷体" w:cs="宋体"/>
          <w:i/>
          <w:sz w:val="24"/>
          <w:szCs w:val="24"/>
          <w:u w:val="single"/>
        </w:rPr>
        <w:t>（采购文件中明确的所属行业）</w:t>
      </w:r>
      <w:r>
        <w:rPr>
          <w:rFonts w:hint="eastAsia" w:ascii="楷体" w:hAnsi="楷体" w:eastAsia="楷体" w:cs="宋体"/>
          <w:sz w:val="24"/>
          <w:szCs w:val="24"/>
        </w:rPr>
        <w:t xml:space="preserve">；承接企业为  </w:t>
      </w:r>
      <w:r>
        <w:rPr>
          <w:rFonts w:hint="eastAsia" w:ascii="楷体" w:hAnsi="楷体" w:eastAsia="楷体" w:cs="宋体"/>
          <w:sz w:val="24"/>
          <w:szCs w:val="24"/>
          <w:u w:val="single"/>
        </w:rPr>
        <w:t xml:space="preserve">                       </w:t>
      </w:r>
      <w:r>
        <w:rPr>
          <w:rFonts w:hint="eastAsia" w:ascii="楷体" w:hAnsi="楷体" w:eastAsia="楷体" w:cs="宋体"/>
          <w:i/>
          <w:sz w:val="24"/>
          <w:szCs w:val="24"/>
          <w:u w:val="single"/>
        </w:rPr>
        <w:t>（企业名称）</w:t>
      </w:r>
      <w:r>
        <w:rPr>
          <w:rFonts w:hint="eastAsia" w:ascii="楷体" w:hAnsi="楷体" w:eastAsia="楷体" w:cs="宋体"/>
          <w:sz w:val="24"/>
          <w:szCs w:val="24"/>
        </w:rPr>
        <w:t>，    从业人员</w:t>
      </w:r>
      <w:r>
        <w:rPr>
          <w:rFonts w:hint="eastAsia" w:ascii="楷体" w:hAnsi="楷体" w:eastAsia="楷体" w:cs="宋体"/>
          <w:sz w:val="24"/>
          <w:szCs w:val="24"/>
          <w:u w:val="single"/>
        </w:rPr>
        <w:t xml:space="preserve">      </w:t>
      </w:r>
      <w:r>
        <w:rPr>
          <w:rFonts w:hint="eastAsia" w:ascii="楷体" w:hAnsi="楷体" w:eastAsia="楷体" w:cs="宋体"/>
          <w:sz w:val="24"/>
          <w:szCs w:val="24"/>
        </w:rPr>
        <w:t>人，营业收入为</w:t>
      </w:r>
      <w:r>
        <w:rPr>
          <w:rFonts w:hint="eastAsia" w:ascii="楷体" w:hAnsi="楷体" w:eastAsia="楷体" w:cs="宋体"/>
          <w:sz w:val="24"/>
          <w:szCs w:val="24"/>
          <w:u w:val="single"/>
        </w:rPr>
        <w:t xml:space="preserve">    </w:t>
      </w:r>
      <w:r>
        <w:rPr>
          <w:rFonts w:hint="eastAsia" w:ascii="楷体" w:hAnsi="楷体" w:eastAsia="楷体" w:cs="宋体"/>
          <w:sz w:val="24"/>
          <w:szCs w:val="24"/>
        </w:rPr>
        <w:t>万元，资产总额为</w:t>
      </w:r>
      <w:r>
        <w:rPr>
          <w:rFonts w:hint="eastAsia" w:ascii="楷体" w:hAnsi="楷体" w:eastAsia="楷体" w:cs="宋体"/>
          <w:sz w:val="24"/>
          <w:szCs w:val="24"/>
          <w:u w:val="single"/>
        </w:rPr>
        <w:t xml:space="preserve">    </w:t>
      </w:r>
      <w:r>
        <w:rPr>
          <w:rFonts w:hint="eastAsia" w:ascii="楷体" w:hAnsi="楷体" w:eastAsia="楷体" w:cs="宋体"/>
          <w:sz w:val="24"/>
          <w:szCs w:val="24"/>
        </w:rPr>
        <w:t>万元，属于</w:t>
      </w:r>
      <w:r>
        <w:rPr>
          <w:rFonts w:hint="eastAsia" w:ascii="楷体" w:hAnsi="楷体" w:eastAsia="楷体" w:cs="宋体"/>
          <w:sz w:val="24"/>
          <w:szCs w:val="24"/>
          <w:u w:val="single"/>
        </w:rPr>
        <w:t xml:space="preserve">    </w:t>
      </w:r>
      <w:r>
        <w:rPr>
          <w:rFonts w:hint="eastAsia" w:ascii="楷体" w:hAnsi="楷体" w:eastAsia="楷体" w:cs="宋体"/>
          <w:sz w:val="24"/>
          <w:szCs w:val="24"/>
        </w:rPr>
        <w:t xml:space="preserve"> </w:t>
      </w:r>
      <w:r>
        <w:rPr>
          <w:rFonts w:hint="eastAsia" w:ascii="楷体" w:hAnsi="楷体" w:eastAsia="楷体" w:cs="宋体"/>
          <w:i/>
          <w:sz w:val="24"/>
          <w:szCs w:val="24"/>
        </w:rPr>
        <w:t>（中型企业、小型企业、微型企业）</w:t>
      </w:r>
      <w:r>
        <w:rPr>
          <w:rFonts w:hint="eastAsia" w:ascii="楷体" w:hAnsi="楷体" w:eastAsia="楷体" w:cs="宋体"/>
          <w:sz w:val="24"/>
          <w:szCs w:val="24"/>
        </w:rPr>
        <w:t>；</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为本标的提供的服务人员</w:t>
      </w:r>
      <w:r>
        <w:rPr>
          <w:rFonts w:hint="eastAsia" w:ascii="楷体" w:hAnsi="楷体" w:eastAsia="楷体" w:cs="宋体"/>
          <w:sz w:val="24"/>
          <w:szCs w:val="24"/>
          <w:u w:val="single"/>
        </w:rPr>
        <w:t xml:space="preserve">   </w:t>
      </w:r>
      <w:r>
        <w:rPr>
          <w:rFonts w:hint="eastAsia" w:ascii="楷体" w:hAnsi="楷体" w:eastAsia="楷体" w:cs="宋体"/>
          <w:sz w:val="24"/>
          <w:szCs w:val="24"/>
        </w:rPr>
        <w:t>人，其中与本企业签订劳动合同</w:t>
      </w:r>
      <w:r>
        <w:rPr>
          <w:rFonts w:hint="eastAsia" w:ascii="楷体" w:hAnsi="楷体" w:eastAsia="楷体" w:cs="宋体"/>
          <w:sz w:val="24"/>
          <w:szCs w:val="24"/>
          <w:u w:val="single"/>
        </w:rPr>
        <w:t xml:space="preserve">   </w:t>
      </w:r>
      <w:r>
        <w:rPr>
          <w:rFonts w:hint="eastAsia" w:ascii="楷体" w:hAnsi="楷体" w:eastAsia="楷体" w:cs="宋体"/>
          <w:sz w:val="24"/>
          <w:szCs w:val="24"/>
        </w:rPr>
        <w:t>人，其他人员</w:t>
      </w:r>
      <w:r>
        <w:rPr>
          <w:rFonts w:hint="eastAsia" w:ascii="楷体" w:hAnsi="楷体" w:eastAsia="楷体" w:cs="宋体"/>
          <w:sz w:val="24"/>
          <w:szCs w:val="24"/>
          <w:u w:val="single"/>
        </w:rPr>
        <w:t xml:space="preserve">   </w:t>
      </w:r>
      <w:r>
        <w:rPr>
          <w:rFonts w:hint="eastAsia" w:ascii="楷体" w:hAnsi="楷体" w:eastAsia="楷体" w:cs="宋体"/>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2.</w:t>
      </w:r>
      <w:r>
        <w:rPr>
          <w:rFonts w:hint="eastAsia" w:ascii="楷体" w:hAnsi="楷体" w:eastAsia="楷体" w:cs="宋体"/>
          <w:i/>
          <w:sz w:val="24"/>
          <w:szCs w:val="24"/>
          <w:u w:val="single"/>
        </w:rPr>
        <w:t xml:space="preserve"> （</w:t>
      </w:r>
      <w:r>
        <w:rPr>
          <w:rFonts w:hint="eastAsia" w:ascii="楷体" w:hAnsi="楷体" w:eastAsia="楷体" w:cs="宋体"/>
          <w:sz w:val="24"/>
          <w:szCs w:val="24"/>
          <w:u w:val="single"/>
        </w:rPr>
        <w:t>重庆医科大学附属永川医院</w:t>
      </w:r>
      <w:r>
        <w:rPr>
          <w:rFonts w:hint="eastAsia" w:ascii="楷体" w:hAnsi="楷体" w:eastAsia="楷体" w:cs="宋体"/>
          <w:i/>
          <w:sz w:val="24"/>
          <w:szCs w:val="24"/>
          <w:u w:val="single"/>
        </w:rPr>
        <w:t>***</w:t>
      </w:r>
      <w:r>
        <w:rPr>
          <w:rFonts w:hint="eastAsia" w:ascii="楷体" w:hAnsi="楷体" w:eastAsia="楷体" w:cs="宋体"/>
          <w:sz w:val="24"/>
          <w:szCs w:val="24"/>
          <w:u w:val="single"/>
        </w:rPr>
        <w:t>项目）</w:t>
      </w:r>
      <w:r>
        <w:rPr>
          <w:rFonts w:hint="eastAsia" w:ascii="楷体" w:hAnsi="楷体" w:eastAsia="楷体" w:cs="宋体"/>
          <w:sz w:val="24"/>
          <w:szCs w:val="24"/>
        </w:rPr>
        <w:t>，属于（   ）</w:t>
      </w:r>
      <w:r>
        <w:rPr>
          <w:rFonts w:hint="eastAsia" w:ascii="楷体" w:hAnsi="楷体" w:eastAsia="楷体" w:cs="宋体"/>
          <w:i/>
          <w:sz w:val="24"/>
          <w:szCs w:val="24"/>
          <w:u w:val="single"/>
        </w:rPr>
        <w:t>（采购文件中明确的所属行业）</w:t>
      </w:r>
      <w:r>
        <w:rPr>
          <w:rFonts w:hint="eastAsia" w:ascii="楷体" w:hAnsi="楷体" w:eastAsia="楷体" w:cs="宋体"/>
          <w:sz w:val="24"/>
          <w:szCs w:val="24"/>
        </w:rPr>
        <w:t>；承接企业为</w:t>
      </w:r>
      <w:r>
        <w:rPr>
          <w:rFonts w:hint="eastAsia" w:ascii="楷体" w:hAnsi="楷体" w:eastAsia="楷体" w:cs="宋体"/>
          <w:i/>
          <w:sz w:val="24"/>
          <w:szCs w:val="24"/>
          <w:u w:val="single"/>
        </w:rPr>
        <w:t>（企业名称）</w:t>
      </w:r>
      <w:r>
        <w:rPr>
          <w:rFonts w:hint="eastAsia" w:ascii="楷体" w:hAnsi="楷体" w:eastAsia="楷体" w:cs="宋体"/>
          <w:sz w:val="24"/>
          <w:szCs w:val="24"/>
        </w:rPr>
        <w:t>，从业人员</w:t>
      </w:r>
      <w:r>
        <w:rPr>
          <w:rFonts w:hint="eastAsia" w:ascii="楷体" w:hAnsi="楷体" w:eastAsia="楷体" w:cs="宋体"/>
          <w:sz w:val="24"/>
          <w:szCs w:val="24"/>
          <w:u w:val="single"/>
        </w:rPr>
        <w:t xml:space="preserve">      </w:t>
      </w:r>
      <w:r>
        <w:rPr>
          <w:rFonts w:hint="eastAsia" w:ascii="楷体" w:hAnsi="楷体" w:eastAsia="楷体" w:cs="宋体"/>
          <w:sz w:val="24"/>
          <w:szCs w:val="24"/>
        </w:rPr>
        <w:t>人，营业收入为</w:t>
      </w:r>
      <w:r>
        <w:rPr>
          <w:rFonts w:hint="eastAsia" w:ascii="楷体" w:hAnsi="楷体" w:eastAsia="楷体" w:cs="宋体"/>
          <w:sz w:val="24"/>
          <w:szCs w:val="24"/>
          <w:u w:val="single"/>
        </w:rPr>
        <w:t xml:space="preserve">    </w:t>
      </w:r>
      <w:r>
        <w:rPr>
          <w:rFonts w:hint="eastAsia" w:ascii="楷体" w:hAnsi="楷体" w:eastAsia="楷体" w:cs="宋体"/>
          <w:sz w:val="24"/>
          <w:szCs w:val="24"/>
        </w:rPr>
        <w:t>万元，资产总额为</w:t>
      </w:r>
      <w:r>
        <w:rPr>
          <w:rFonts w:hint="eastAsia" w:ascii="楷体" w:hAnsi="楷体" w:eastAsia="楷体" w:cs="宋体"/>
          <w:sz w:val="24"/>
          <w:szCs w:val="24"/>
          <w:u w:val="single"/>
        </w:rPr>
        <w:t xml:space="preserve">    </w:t>
      </w:r>
      <w:r>
        <w:rPr>
          <w:rFonts w:hint="eastAsia" w:ascii="楷体" w:hAnsi="楷体" w:eastAsia="楷体" w:cs="宋体"/>
          <w:sz w:val="24"/>
          <w:szCs w:val="24"/>
        </w:rPr>
        <w:t>万元，属于（      ）</w:t>
      </w:r>
      <w:r>
        <w:rPr>
          <w:rFonts w:hint="eastAsia" w:ascii="楷体" w:hAnsi="楷体" w:eastAsia="楷体" w:cs="宋体"/>
          <w:i/>
          <w:sz w:val="24"/>
          <w:szCs w:val="24"/>
          <w:u w:val="single"/>
        </w:rPr>
        <w:t>（中型企业、小型企业、微型企业）</w:t>
      </w:r>
      <w:r>
        <w:rPr>
          <w:rFonts w:hint="eastAsia" w:ascii="楷体" w:hAnsi="楷体" w:eastAsia="楷体" w:cs="宋体"/>
          <w:sz w:val="24"/>
          <w:szCs w:val="24"/>
        </w:rPr>
        <w:t>；</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为本标的提供的服务人员</w:t>
      </w:r>
      <w:r>
        <w:rPr>
          <w:rFonts w:hint="eastAsia" w:ascii="楷体" w:hAnsi="楷体" w:eastAsia="楷体" w:cs="宋体"/>
          <w:sz w:val="24"/>
          <w:szCs w:val="24"/>
          <w:u w:val="single"/>
        </w:rPr>
        <w:t xml:space="preserve">   </w:t>
      </w:r>
      <w:r>
        <w:rPr>
          <w:rFonts w:hint="eastAsia" w:ascii="楷体" w:hAnsi="楷体" w:eastAsia="楷体" w:cs="宋体"/>
          <w:sz w:val="24"/>
          <w:szCs w:val="24"/>
        </w:rPr>
        <w:t>人，其中与本企业签订劳动合同</w:t>
      </w:r>
      <w:r>
        <w:rPr>
          <w:rFonts w:hint="eastAsia" w:ascii="楷体" w:hAnsi="楷体" w:eastAsia="楷体" w:cs="宋体"/>
          <w:sz w:val="24"/>
          <w:szCs w:val="24"/>
          <w:u w:val="single"/>
        </w:rPr>
        <w:t xml:space="preserve">   </w:t>
      </w:r>
      <w:r>
        <w:rPr>
          <w:rFonts w:hint="eastAsia" w:ascii="楷体" w:hAnsi="楷体" w:eastAsia="楷体" w:cs="宋体"/>
          <w:sz w:val="24"/>
          <w:szCs w:val="24"/>
        </w:rPr>
        <w:t>人，其他人员</w:t>
      </w:r>
      <w:r>
        <w:rPr>
          <w:rFonts w:hint="eastAsia" w:ascii="楷体" w:hAnsi="楷体" w:eastAsia="楷体" w:cs="宋体"/>
          <w:sz w:val="24"/>
          <w:szCs w:val="24"/>
          <w:u w:val="single"/>
        </w:rPr>
        <w:t xml:space="preserve">   </w:t>
      </w:r>
      <w:r>
        <w:rPr>
          <w:rFonts w:hint="eastAsia" w:ascii="楷体" w:hAnsi="楷体" w:eastAsia="楷体" w:cs="宋体"/>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本企业对上述声明内容的真实性负责。如有虚假，将依法承担相应责任。</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 xml:space="preserve">                                                    </w:t>
      </w:r>
    </w:p>
    <w:p>
      <w:pPr>
        <w:tabs>
          <w:tab w:val="left" w:pos="6300"/>
        </w:tabs>
        <w:snapToGrid w:val="0"/>
        <w:spacing w:line="500" w:lineRule="exact"/>
        <w:ind w:firstLine="3120" w:firstLineChars="1300"/>
        <w:rPr>
          <w:rFonts w:hint="eastAsia" w:ascii="楷体" w:hAnsi="楷体" w:eastAsia="楷体" w:cs="宋体"/>
          <w:sz w:val="24"/>
          <w:szCs w:val="24"/>
        </w:rPr>
      </w:pPr>
      <w:r>
        <w:rPr>
          <w:rFonts w:hint="eastAsia" w:ascii="楷体" w:hAnsi="楷体" w:eastAsia="楷体" w:cs="宋体"/>
          <w:sz w:val="24"/>
          <w:szCs w:val="24"/>
        </w:rPr>
        <w:t xml:space="preserve">企业名称（盖章）： </w:t>
      </w:r>
    </w:p>
    <w:p>
      <w:pPr>
        <w:tabs>
          <w:tab w:val="left" w:pos="6300"/>
        </w:tabs>
        <w:snapToGrid w:val="0"/>
        <w:spacing w:line="500" w:lineRule="exact"/>
        <w:ind w:firstLine="3600" w:firstLineChars="1500"/>
        <w:rPr>
          <w:rFonts w:hint="eastAsia" w:ascii="楷体" w:hAnsi="楷体" w:eastAsia="楷体" w:cs="宋体"/>
          <w:sz w:val="24"/>
          <w:szCs w:val="24"/>
        </w:rPr>
      </w:pPr>
      <w:r>
        <w:rPr>
          <w:rFonts w:hint="eastAsia" w:ascii="楷体" w:hAnsi="楷体" w:eastAsia="楷体" w:cs="宋体"/>
          <w:sz w:val="24"/>
          <w:szCs w:val="24"/>
        </w:rPr>
        <w:t>日期：</w:t>
      </w:r>
    </w:p>
    <w:p>
      <w:pPr>
        <w:tabs>
          <w:tab w:val="left" w:pos="6300"/>
        </w:tabs>
        <w:snapToGrid w:val="0"/>
        <w:spacing w:line="420" w:lineRule="exact"/>
        <w:rPr>
          <w:rFonts w:hint="eastAsia" w:ascii="楷体" w:hAnsi="楷体" w:eastAsia="楷体" w:cs="宋体"/>
          <w:kern w:val="0"/>
          <w:sz w:val="24"/>
          <w:szCs w:val="24"/>
        </w:rPr>
      </w:pPr>
    </w:p>
    <w:p>
      <w:pPr>
        <w:tabs>
          <w:tab w:val="left" w:pos="6300"/>
        </w:tabs>
        <w:snapToGrid w:val="0"/>
        <w:spacing w:line="420" w:lineRule="exact"/>
        <w:rPr>
          <w:rFonts w:hint="eastAsia" w:ascii="楷体" w:hAnsi="楷体" w:eastAsia="楷体" w:cs="宋体"/>
          <w:kern w:val="0"/>
          <w:sz w:val="24"/>
          <w:szCs w:val="24"/>
        </w:rPr>
      </w:pPr>
    </w:p>
    <w:p>
      <w:pPr>
        <w:tabs>
          <w:tab w:val="left" w:pos="6300"/>
        </w:tabs>
        <w:snapToGrid w:val="0"/>
        <w:spacing w:line="420" w:lineRule="exact"/>
        <w:rPr>
          <w:rFonts w:hint="eastAsia" w:ascii="楷体" w:hAnsi="楷体" w:eastAsia="楷体" w:cs="宋体"/>
          <w:kern w:val="0"/>
          <w:sz w:val="24"/>
          <w:szCs w:val="24"/>
        </w:rPr>
      </w:pPr>
      <w:r>
        <w:rPr>
          <w:rFonts w:hint="eastAsia" w:ascii="楷体" w:hAnsi="楷体" w:eastAsia="楷体" w:cs="宋体"/>
          <w:kern w:val="0"/>
          <w:sz w:val="24"/>
          <w:szCs w:val="24"/>
        </w:rPr>
        <w:t>填写时应注意以下事项：</w:t>
      </w:r>
    </w:p>
    <w:p>
      <w:pPr>
        <w:tabs>
          <w:tab w:val="left" w:pos="6300"/>
        </w:tabs>
        <w:snapToGrid w:val="0"/>
        <w:spacing w:line="420" w:lineRule="exact"/>
        <w:ind w:firstLine="480" w:firstLineChars="200"/>
        <w:rPr>
          <w:rFonts w:hint="eastAsia" w:ascii="楷体" w:hAnsi="楷体" w:eastAsia="楷体" w:cs="宋体"/>
          <w:kern w:val="0"/>
          <w:sz w:val="24"/>
          <w:szCs w:val="24"/>
        </w:rPr>
      </w:pPr>
      <w:r>
        <w:rPr>
          <w:rFonts w:hint="eastAsia" w:ascii="楷体" w:hAnsi="楷体" w:eastAsia="楷体" w:cs="宋体"/>
          <w:kern w:val="0"/>
          <w:sz w:val="24"/>
          <w:szCs w:val="24"/>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楷体" w:hAnsi="楷体" w:eastAsia="楷体" w:cs="宋体"/>
          <w:b/>
          <w:kern w:val="0"/>
          <w:sz w:val="24"/>
          <w:szCs w:val="24"/>
          <w:u w:val="single"/>
        </w:rPr>
      </w:pPr>
      <w:r>
        <w:rPr>
          <w:rFonts w:hint="eastAsia" w:ascii="楷体" w:hAnsi="楷体" w:eastAsia="楷体" w:cs="宋体"/>
          <w:b/>
          <w:kern w:val="0"/>
          <w:sz w:val="24"/>
          <w:szCs w:val="24"/>
          <w:u w:val="single"/>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楷体" w:hAnsi="楷体" w:eastAsia="楷体" w:cs="宋体"/>
          <w:b/>
          <w:kern w:val="0"/>
          <w:sz w:val="24"/>
          <w:szCs w:val="24"/>
          <w:u w:val="single"/>
        </w:rPr>
      </w:pPr>
      <w:r>
        <w:rPr>
          <w:rFonts w:hint="eastAsia" w:ascii="楷体" w:hAnsi="楷体" w:eastAsia="楷体" w:cs="宋体"/>
          <w:b/>
          <w:kern w:val="0"/>
          <w:sz w:val="24"/>
          <w:szCs w:val="24"/>
          <w:u w:val="single"/>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楷体" w:hAnsi="楷体" w:eastAsia="楷体" w:cs="宋体"/>
          <w:b/>
          <w:kern w:val="0"/>
          <w:sz w:val="24"/>
          <w:szCs w:val="24"/>
          <w:u w:val="single"/>
        </w:rPr>
      </w:pPr>
      <w:r>
        <w:rPr>
          <w:rFonts w:hint="eastAsia" w:ascii="楷体" w:hAnsi="楷体" w:eastAsia="楷体" w:cs="宋体"/>
          <w:b/>
          <w:kern w:val="0"/>
          <w:sz w:val="24"/>
          <w:szCs w:val="24"/>
          <w:u w:val="single"/>
        </w:rPr>
        <w:t>4.本声明函“企业名称（盖章）”处为投标人盖章。</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注：各行业划型标准：</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楷体" w:hAnsi="楷体" w:eastAsia="楷体"/>
          <w:sz w:val="24"/>
          <w:szCs w:val="24"/>
        </w:rPr>
      </w:pPr>
      <w:r>
        <w:rPr>
          <w:rFonts w:hint="eastAsia" w:ascii="楷体" w:hAnsi="楷体" w:eastAsia="楷体" w:cs="宋体"/>
          <w:sz w:val="24"/>
          <w:szCs w:val="24"/>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方正仿宋_GBK" w:hAnsi="仿宋" w:eastAsia="方正仿宋_GBK"/>
          <w:sz w:val="32"/>
          <w:szCs w:val="32"/>
        </w:rPr>
      </w:pPr>
    </w:p>
    <w:p>
      <w:pPr>
        <w:ind w:firstLine="640" w:firstLineChars="200"/>
        <w:jc w:val="center"/>
        <w:rPr>
          <w:rFonts w:hint="eastAsia" w:ascii="方正仿宋_GBK" w:hAnsi="仿宋" w:eastAsia="方正仿宋_GBK"/>
          <w:sz w:val="32"/>
          <w:szCs w:val="32"/>
        </w:rPr>
      </w:pPr>
    </w:p>
    <w:p>
      <w:pPr>
        <w:ind w:firstLine="640" w:firstLineChars="200"/>
        <w:jc w:val="center"/>
        <w:rPr>
          <w:rFonts w:hint="eastAsia" w:ascii="方正仿宋_GBK" w:hAnsi="仿宋" w:eastAsia="方正仿宋_GBK"/>
          <w:sz w:val="32"/>
          <w:szCs w:val="32"/>
        </w:rPr>
      </w:pPr>
      <w:r>
        <w:rPr>
          <w:rFonts w:hint="eastAsia" w:ascii="方正仿宋_GBK" w:hAnsi="仿宋" w:eastAsia="方正仿宋_GBK"/>
          <w:sz w:val="32"/>
          <w:szCs w:val="32"/>
        </w:rPr>
        <w:t>监狱企业证明文件</w:t>
      </w:r>
    </w:p>
    <w:p>
      <w:pPr>
        <w:ind w:firstLine="480" w:firstLineChars="200"/>
        <w:jc w:val="left"/>
        <w:rPr>
          <w:rFonts w:hint="eastAsia" w:ascii="方正仿宋_GBK" w:eastAsia="方正仿宋_GBK"/>
        </w:rPr>
      </w:pPr>
      <w:r>
        <w:rPr>
          <w:rFonts w:hint="eastAsia" w:ascii="方正仿宋_GBK" w:hAnsi="仿宋" w:eastAsia="方正仿宋_GBK"/>
          <w:sz w:val="24"/>
        </w:rPr>
        <w:t>以省级以上监狱管理局、戒毒管理局（含新疆生产建设兵团）出具的属于监狱企业的证明文件为准。</w:t>
      </w:r>
    </w:p>
    <w:p>
      <w:pPr>
        <w:ind w:firstLine="420" w:firstLineChars="200"/>
        <w:jc w:val="center"/>
        <w:rPr>
          <w:rFonts w:hint="eastAsia" w:ascii="方正仿宋_GBK" w:hAnsi="仿宋" w:eastAsia="方正仿宋_GBK"/>
          <w:sz w:val="32"/>
          <w:szCs w:val="32"/>
        </w:rPr>
      </w:pPr>
      <w:r>
        <w:rPr>
          <w:rFonts w:ascii="方正仿宋_GBK" w:eastAsia="方正仿宋_GBK"/>
        </w:rPr>
        <w:br w:type="page"/>
      </w:r>
      <w:r>
        <w:rPr>
          <w:rFonts w:hint="eastAsia" w:ascii="方正仿宋_GBK" w:hAnsi="仿宋" w:eastAsia="方正仿宋_GBK"/>
          <w:sz w:val="32"/>
          <w:szCs w:val="32"/>
        </w:rPr>
        <w:t>残疾人福利性单位声明函</w:t>
      </w:r>
    </w:p>
    <w:p>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本单位对上述声明的真实性负责。如有虚假，将依法承担相应责任。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sz w:val="24"/>
        </w:rPr>
      </w:pPr>
    </w:p>
    <w:p>
      <w:pPr>
        <w:tabs>
          <w:tab w:val="left" w:pos="6300"/>
        </w:tabs>
        <w:snapToGrid w:val="0"/>
        <w:spacing w:line="500" w:lineRule="exact"/>
        <w:ind w:firstLine="480" w:firstLineChars="200"/>
        <w:rPr>
          <w:rFonts w:hint="eastAsia" w:ascii="方正仿宋_GBK" w:hAnsi="仿宋" w:eastAsia="方正仿宋_GBK"/>
          <w:sz w:val="24"/>
        </w:rPr>
      </w:pPr>
    </w:p>
    <w:p>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 xml:space="preserve">                                                 供应商名称（盖章）：</w:t>
      </w:r>
    </w:p>
    <w:p>
      <w:pPr>
        <w:jc w:val="center"/>
        <w:rPr>
          <w:rFonts w:hint="eastAsia" w:ascii="方正仿宋_GBK" w:eastAsia="方正仿宋_GBK"/>
        </w:rPr>
      </w:pPr>
      <w:r>
        <w:rPr>
          <w:rFonts w:hint="eastAsia" w:ascii="方正仿宋_GBK" w:hAnsi="仿宋" w:eastAsia="方正仿宋_GBK"/>
          <w:sz w:val="24"/>
        </w:rPr>
        <w:t xml:space="preserve">                                                  日  期：</w:t>
      </w:r>
    </w:p>
    <w:p>
      <w:pPr>
        <w:rPr>
          <w:color w:val="auto"/>
        </w:rPr>
      </w:pPr>
    </w:p>
    <w:sectPr>
      <w:pgSz w:w="11907" w:h="16840"/>
      <w:pgMar w:top="1134" w:right="1191" w:bottom="1134" w:left="1304" w:header="851" w:footer="992" w:gutter="0"/>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0000000000000000000"/>
    <w:charset w:val="86"/>
    <w:family w:val="auto"/>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仿宋_GBK">
    <w:altName w:val="微软雅黑"/>
    <w:panose1 w:val="00000000000000000000"/>
    <w:charset w:val="86"/>
    <w:family w:val="script"/>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fldChar w:fldCharType="begin"/>
    </w:r>
    <w:r>
      <w:instrText xml:space="preserve"> PAGE   \* MERGEFORMAT </w:instrText>
    </w:r>
    <w:r>
      <w:fldChar w:fldCharType="separate"/>
    </w:r>
    <w:r>
      <w:rPr>
        <w:lang w:val="zh-CN"/>
      </w:rPr>
      <w:t>1</w:t>
    </w:r>
    <w:r>
      <w:fldChar w:fldCharType="end"/>
    </w:r>
  </w:p>
  <w:p>
    <w:pPr>
      <w:pStyle w:val="35"/>
      <w:jc w:val="right"/>
      <w:rPr>
        <w:sz w:val="24"/>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82BF8E"/>
    <w:multiLevelType w:val="singleLevel"/>
    <w:tmpl w:val="A882BF8E"/>
    <w:lvl w:ilvl="0" w:tentative="0">
      <w:start w:val="3"/>
      <w:numFmt w:val="chineseCounting"/>
      <w:suff w:val="nothing"/>
      <w:lvlText w:val="%1、"/>
      <w:lvlJc w:val="left"/>
      <w:rPr>
        <w:rFonts w:hint="eastAsia"/>
      </w:rPr>
    </w:lvl>
  </w:abstractNum>
  <w:abstractNum w:abstractNumId="1">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4">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5">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7">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0E1EAF18"/>
    <w:multiLevelType w:val="singleLevel"/>
    <w:tmpl w:val="0E1EAF18"/>
    <w:lvl w:ilvl="0" w:tentative="0">
      <w:start w:val="1"/>
      <w:numFmt w:val="chineseCounting"/>
      <w:suff w:val="nothing"/>
      <w:lvlText w:val="（%1）"/>
      <w:lvlJc w:val="left"/>
      <w:rPr>
        <w:rFonts w:hint="eastAsia"/>
      </w:rPr>
    </w:lvl>
  </w:abstractNum>
  <w:abstractNum w:abstractNumId="14">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4"/>
  </w:num>
  <w:num w:numId="3">
    <w:abstractNumId w:val="10"/>
  </w:num>
  <w:num w:numId="4">
    <w:abstractNumId w:val="7"/>
  </w:num>
  <w:num w:numId="5">
    <w:abstractNumId w:val="6"/>
  </w:num>
  <w:num w:numId="6">
    <w:abstractNumId w:val="2"/>
  </w:num>
  <w:num w:numId="7">
    <w:abstractNumId w:val="8"/>
  </w:num>
  <w:num w:numId="8">
    <w:abstractNumId w:val="1"/>
  </w:num>
  <w:num w:numId="9">
    <w:abstractNumId w:val="3"/>
  </w:num>
  <w:num w:numId="10">
    <w:abstractNumId w:val="12"/>
  </w:num>
  <w:num w:numId="11">
    <w:abstractNumId w:val="5"/>
  </w:num>
  <w:num w:numId="12">
    <w:abstractNumId w:val="11"/>
  </w:num>
  <w:num w:numId="13">
    <w:abstractNumId w:val="0"/>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IzZjNmZmI1ZDIwN2IxYTgxYjUxMDNmMWU4NGI5Mjc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AA1AC9"/>
    <w:rsid w:val="02FE0C09"/>
    <w:rsid w:val="04DA26C6"/>
    <w:rsid w:val="074B1659"/>
    <w:rsid w:val="07C5765D"/>
    <w:rsid w:val="07F26429"/>
    <w:rsid w:val="0ACF458A"/>
    <w:rsid w:val="0B4B7E79"/>
    <w:rsid w:val="0B6F68C5"/>
    <w:rsid w:val="0BDC31C7"/>
    <w:rsid w:val="0E0E625A"/>
    <w:rsid w:val="0E4D3D6E"/>
    <w:rsid w:val="0E5721EA"/>
    <w:rsid w:val="0E5A796A"/>
    <w:rsid w:val="0FAB0EE6"/>
    <w:rsid w:val="104D689B"/>
    <w:rsid w:val="109D57E0"/>
    <w:rsid w:val="134E0964"/>
    <w:rsid w:val="14C6168E"/>
    <w:rsid w:val="159F57C6"/>
    <w:rsid w:val="18130842"/>
    <w:rsid w:val="19B7492C"/>
    <w:rsid w:val="1AD928F8"/>
    <w:rsid w:val="1CED540D"/>
    <w:rsid w:val="1CF736B7"/>
    <w:rsid w:val="1D632E00"/>
    <w:rsid w:val="1DD87EDC"/>
    <w:rsid w:val="1F6D6E4A"/>
    <w:rsid w:val="1FCE723D"/>
    <w:rsid w:val="204C6181"/>
    <w:rsid w:val="20FB0BC7"/>
    <w:rsid w:val="21C45BE8"/>
    <w:rsid w:val="21F678C9"/>
    <w:rsid w:val="23743B1F"/>
    <w:rsid w:val="25B7688A"/>
    <w:rsid w:val="25B91E1A"/>
    <w:rsid w:val="26380176"/>
    <w:rsid w:val="275D539C"/>
    <w:rsid w:val="28CD4235"/>
    <w:rsid w:val="28E31299"/>
    <w:rsid w:val="2BBD2276"/>
    <w:rsid w:val="2F2348BD"/>
    <w:rsid w:val="2F6F1AD9"/>
    <w:rsid w:val="2FD06C0B"/>
    <w:rsid w:val="30A44277"/>
    <w:rsid w:val="32050A97"/>
    <w:rsid w:val="3361798A"/>
    <w:rsid w:val="35E87A5C"/>
    <w:rsid w:val="361A70BE"/>
    <w:rsid w:val="369E4A52"/>
    <w:rsid w:val="38442273"/>
    <w:rsid w:val="38C010B0"/>
    <w:rsid w:val="391C67AE"/>
    <w:rsid w:val="39A3534F"/>
    <w:rsid w:val="3B30241A"/>
    <w:rsid w:val="3C4F6F1A"/>
    <w:rsid w:val="3DD60FEB"/>
    <w:rsid w:val="41007A8F"/>
    <w:rsid w:val="415869FC"/>
    <w:rsid w:val="42030507"/>
    <w:rsid w:val="461B60BF"/>
    <w:rsid w:val="475461C4"/>
    <w:rsid w:val="477A0BC3"/>
    <w:rsid w:val="492C6FBB"/>
    <w:rsid w:val="499D1F70"/>
    <w:rsid w:val="49E91344"/>
    <w:rsid w:val="4A1025A8"/>
    <w:rsid w:val="4AD41B9B"/>
    <w:rsid w:val="4BE8259F"/>
    <w:rsid w:val="4C4E289A"/>
    <w:rsid w:val="4F2E0C11"/>
    <w:rsid w:val="514069D9"/>
    <w:rsid w:val="51D77CAA"/>
    <w:rsid w:val="52514894"/>
    <w:rsid w:val="5288688A"/>
    <w:rsid w:val="52ED493F"/>
    <w:rsid w:val="55297C80"/>
    <w:rsid w:val="56FF2E93"/>
    <w:rsid w:val="576E5BA8"/>
    <w:rsid w:val="58B574EB"/>
    <w:rsid w:val="593509FB"/>
    <w:rsid w:val="59E56370"/>
    <w:rsid w:val="5B3E21DC"/>
    <w:rsid w:val="5BC414F3"/>
    <w:rsid w:val="5CAE15E3"/>
    <w:rsid w:val="5F3F2DAC"/>
    <w:rsid w:val="5FB15C3A"/>
    <w:rsid w:val="6022194E"/>
    <w:rsid w:val="60F4333C"/>
    <w:rsid w:val="611A50B4"/>
    <w:rsid w:val="619C43F3"/>
    <w:rsid w:val="6269072D"/>
    <w:rsid w:val="62A30CCB"/>
    <w:rsid w:val="645A13DB"/>
    <w:rsid w:val="66815672"/>
    <w:rsid w:val="6972525B"/>
    <w:rsid w:val="69EE74C3"/>
    <w:rsid w:val="69FC5E8B"/>
    <w:rsid w:val="6B217424"/>
    <w:rsid w:val="6B28360F"/>
    <w:rsid w:val="6B9F4D55"/>
    <w:rsid w:val="6BAA3DD9"/>
    <w:rsid w:val="6D5D0BE7"/>
    <w:rsid w:val="6DC70D5C"/>
    <w:rsid w:val="6E45126B"/>
    <w:rsid w:val="6F062BB9"/>
    <w:rsid w:val="70E64A50"/>
    <w:rsid w:val="71231A63"/>
    <w:rsid w:val="73B34AD5"/>
    <w:rsid w:val="783A1618"/>
    <w:rsid w:val="7908485F"/>
    <w:rsid w:val="793F0B2C"/>
    <w:rsid w:val="797D07AB"/>
    <w:rsid w:val="79AC25AE"/>
    <w:rsid w:val="7B306E47"/>
    <w:rsid w:val="7B742A76"/>
    <w:rsid w:val="7C683BAE"/>
    <w:rsid w:val="7CBD0742"/>
    <w:rsid w:val="7E3C60AD"/>
    <w:rsid w:val="7FE102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qFormat/>
    <w:uiPriority w:val="0"/>
    <w:pPr>
      <w:ind w:left="2520" w:leftChars="1200"/>
    </w:pPr>
    <w:rPr>
      <w:rFonts w:ascii="Times New Roman" w:hAnsi="Times New Roman" w:eastAsia="宋体" w:cs="Times New Roman"/>
      <w:sz w:val="28"/>
      <w:szCs w:val="20"/>
    </w:rPr>
  </w:style>
  <w:style w:type="paragraph" w:styleId="13">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qFormat/>
    <w:uiPriority w:val="0"/>
    <w:pPr>
      <w:spacing w:before="120"/>
    </w:pPr>
    <w:rPr>
      <w:rFonts w:ascii="Arial" w:hAnsi="Arial" w:eastAsia="宋体" w:cs="Times New Roman"/>
      <w:sz w:val="24"/>
      <w:szCs w:val="20"/>
    </w:rPr>
  </w:style>
  <w:style w:type="paragraph" w:styleId="19">
    <w:name w:val="annotation text"/>
    <w:basedOn w:val="1"/>
    <w:link w:val="130"/>
    <w:unhideWhenUsed/>
    <w:qFormat/>
    <w:uiPriority w:val="0"/>
    <w:pPr>
      <w:jc w:val="left"/>
    </w:pPr>
  </w:style>
  <w:style w:type="paragraph" w:styleId="20">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3"/>
    <w:qFormat/>
    <w:uiPriority w:val="0"/>
    <w:rPr>
      <w:rFonts w:ascii="仿宋_GB2312" w:hAnsi="Times New Roman" w:eastAsia="仿宋_GB2312" w:cs="Times New Roman"/>
      <w:sz w:val="32"/>
      <w:szCs w:val="20"/>
    </w:rPr>
  </w:style>
  <w:style w:type="paragraph" w:styleId="23">
    <w:name w:val="Body Text Indent"/>
    <w:basedOn w:val="1"/>
    <w:link w:val="10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qFormat/>
    <w:uiPriority w:val="0"/>
    <w:pPr>
      <w:ind w:left="1680" w:leftChars="800"/>
    </w:pPr>
    <w:rPr>
      <w:rFonts w:ascii="Times New Roman" w:hAnsi="Times New Roman" w:eastAsia="宋体" w:cs="Times New Roman"/>
      <w:sz w:val="28"/>
      <w:szCs w:val="20"/>
    </w:rPr>
  </w:style>
  <w:style w:type="paragraph" w:styleId="29">
    <w:name w:val="toc 3"/>
    <w:basedOn w:val="1"/>
    <w:next w:val="1"/>
    <w:qFormat/>
    <w:uiPriority w:val="39"/>
    <w:pPr>
      <w:ind w:left="840" w:leftChars="400"/>
    </w:pPr>
    <w:rPr>
      <w:rFonts w:ascii="Times New Roman" w:hAnsi="Times New Roman" w:eastAsia="宋体" w:cs="Times New Roman"/>
      <w:sz w:val="28"/>
      <w:szCs w:val="20"/>
    </w:rPr>
  </w:style>
  <w:style w:type="paragraph" w:styleId="30">
    <w:name w:val="Plain Text"/>
    <w:basedOn w:val="1"/>
    <w:link w:val="91"/>
    <w:qFormat/>
    <w:uiPriority w:val="0"/>
    <w:rPr>
      <w:rFonts w:ascii="宋体" w:hAnsi="Courier New"/>
    </w:rPr>
  </w:style>
  <w:style w:type="paragraph" w:styleId="31">
    <w:name w:val="toc 8"/>
    <w:basedOn w:val="1"/>
    <w:next w:val="1"/>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qFormat/>
    <w:uiPriority w:val="0"/>
    <w:rPr>
      <w:sz w:val="28"/>
    </w:rPr>
  </w:style>
  <w:style w:type="paragraph" w:styleId="33">
    <w:name w:val="Body Text Indent 2"/>
    <w:basedOn w:val="1"/>
    <w:link w:val="77"/>
    <w:qFormat/>
    <w:uiPriority w:val="0"/>
    <w:pPr>
      <w:snapToGrid w:val="0"/>
      <w:spacing w:line="560" w:lineRule="atLeast"/>
      <w:ind w:firstLine="540"/>
    </w:pPr>
    <w:rPr>
      <w:sz w:val="28"/>
    </w:rPr>
  </w:style>
  <w:style w:type="paragraph" w:styleId="34">
    <w:name w:val="Balloon Text"/>
    <w:basedOn w:val="1"/>
    <w:link w:val="132"/>
    <w:qFormat/>
    <w:uiPriority w:val="0"/>
    <w:rPr>
      <w:rFonts w:ascii="Times New Roman" w:hAnsi="Times New Roman" w:eastAsia="宋体" w:cs="Times New Roman"/>
      <w:sz w:val="18"/>
      <w:szCs w:val="20"/>
    </w:rPr>
  </w:style>
  <w:style w:type="paragraph" w:styleId="35">
    <w:name w:val="footer"/>
    <w:basedOn w:val="1"/>
    <w:link w:val="105"/>
    <w:qFormat/>
    <w:uiPriority w:val="99"/>
    <w:pPr>
      <w:tabs>
        <w:tab w:val="center" w:pos="4153"/>
        <w:tab w:val="right" w:pos="8306"/>
      </w:tabs>
      <w:snapToGrid w:val="0"/>
      <w:jc w:val="left"/>
    </w:pPr>
    <w:rPr>
      <w:sz w:val="18"/>
    </w:rPr>
  </w:style>
  <w:style w:type="paragraph" w:styleId="36">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qFormat/>
    <w:uiPriority w:val="0"/>
    <w:pPr>
      <w:spacing w:line="360" w:lineRule="auto"/>
    </w:pPr>
    <w:rPr>
      <w:sz w:val="18"/>
    </w:rPr>
  </w:style>
  <w:style w:type="paragraph" w:styleId="41">
    <w:name w:val="toc 6"/>
    <w:basedOn w:val="1"/>
    <w:next w:val="1"/>
    <w:qFormat/>
    <w:uiPriority w:val="0"/>
    <w:pPr>
      <w:ind w:left="2100" w:leftChars="1000"/>
    </w:pPr>
    <w:rPr>
      <w:rFonts w:ascii="Times New Roman" w:hAnsi="Times New Roman" w:eastAsia="宋体" w:cs="Times New Roman"/>
      <w:sz w:val="28"/>
      <w:szCs w:val="20"/>
    </w:rPr>
  </w:style>
  <w:style w:type="paragraph" w:styleId="42">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qFormat/>
    <w:uiPriority w:val="39"/>
    <w:pPr>
      <w:ind w:left="420" w:leftChars="200"/>
    </w:pPr>
    <w:rPr>
      <w:rFonts w:ascii="Times New Roman" w:hAnsi="Times New Roman" w:eastAsia="宋体" w:cs="Times New Roman"/>
      <w:sz w:val="28"/>
      <w:szCs w:val="20"/>
    </w:rPr>
  </w:style>
  <w:style w:type="paragraph" w:styleId="46">
    <w:name w:val="toc 9"/>
    <w:basedOn w:val="1"/>
    <w:next w:val="1"/>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qFormat/>
    <w:uiPriority w:val="0"/>
    <w:rPr>
      <w:sz w:val="24"/>
    </w:rPr>
  </w:style>
  <w:style w:type="paragraph" w:styleId="56">
    <w:name w:val="Body Text First Indent"/>
    <w:basedOn w:val="1"/>
    <w:link w:val="133"/>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qFormat/>
    <w:uiPriority w:val="0"/>
    <w:pPr>
      <w:spacing w:after="120" w:line="240" w:lineRule="auto"/>
      <w:ind w:left="420" w:leftChars="200" w:firstLine="420" w:firstLineChars="200"/>
    </w:pPr>
  </w:style>
  <w:style w:type="table" w:styleId="59">
    <w:name w:val="Table Grid"/>
    <w:basedOn w:val="5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2"/>
    <w:qFormat/>
    <w:uiPriority w:val="0"/>
    <w:rPr>
      <w:rFonts w:ascii="宋体" w:hAnsi="Times New Roman" w:eastAsia="宋体" w:cs="Times New Roman"/>
      <w:sz w:val="28"/>
      <w:szCs w:val="20"/>
    </w:rPr>
  </w:style>
  <w:style w:type="character" w:customStyle="1" w:styleId="69">
    <w:name w:val="标题 2 Char"/>
    <w:basedOn w:val="60"/>
    <w:link w:val="3"/>
    <w:qFormat/>
    <w:uiPriority w:val="0"/>
    <w:rPr>
      <w:rFonts w:ascii="Arial" w:hAnsi="Arial" w:eastAsia="黑体" w:cs="Times New Roman"/>
      <w:b/>
      <w:sz w:val="32"/>
      <w:szCs w:val="20"/>
    </w:rPr>
  </w:style>
  <w:style w:type="character" w:customStyle="1" w:styleId="70">
    <w:name w:val="标题 3 Char"/>
    <w:basedOn w:val="60"/>
    <w:link w:val="4"/>
    <w:qFormat/>
    <w:uiPriority w:val="0"/>
    <w:rPr>
      <w:rFonts w:ascii="Times New Roman" w:hAnsi="Times New Roman" w:eastAsia="宋体" w:cs="Times New Roman"/>
      <w:b/>
      <w:sz w:val="32"/>
      <w:szCs w:val="20"/>
    </w:rPr>
  </w:style>
  <w:style w:type="character" w:customStyle="1" w:styleId="71">
    <w:name w:val="标题 4 Char"/>
    <w:basedOn w:val="60"/>
    <w:link w:val="5"/>
    <w:qFormat/>
    <w:uiPriority w:val="0"/>
    <w:rPr>
      <w:rFonts w:ascii="Arial" w:hAnsi="Arial" w:eastAsia="黑体" w:cs="Times New Roman"/>
      <w:b/>
      <w:sz w:val="28"/>
      <w:szCs w:val="20"/>
    </w:rPr>
  </w:style>
  <w:style w:type="character" w:customStyle="1" w:styleId="72">
    <w:name w:val="标题 5 Char"/>
    <w:basedOn w:val="60"/>
    <w:link w:val="6"/>
    <w:qFormat/>
    <w:uiPriority w:val="0"/>
    <w:rPr>
      <w:rFonts w:ascii="Times New Roman" w:hAnsi="Times New Roman" w:eastAsia="宋体" w:cs="Times New Roman"/>
      <w:b/>
      <w:sz w:val="28"/>
      <w:szCs w:val="20"/>
    </w:rPr>
  </w:style>
  <w:style w:type="character" w:customStyle="1" w:styleId="73">
    <w:name w:val="标题 6 Char"/>
    <w:basedOn w:val="60"/>
    <w:link w:val="7"/>
    <w:qFormat/>
    <w:uiPriority w:val="0"/>
    <w:rPr>
      <w:rFonts w:ascii="Arial" w:hAnsi="Arial" w:eastAsia="黑体" w:cs="Times New Roman"/>
      <w:b/>
      <w:sz w:val="24"/>
      <w:szCs w:val="20"/>
    </w:rPr>
  </w:style>
  <w:style w:type="character" w:customStyle="1" w:styleId="74">
    <w:name w:val="标题 7 Char"/>
    <w:basedOn w:val="60"/>
    <w:link w:val="8"/>
    <w:qFormat/>
    <w:uiPriority w:val="0"/>
    <w:rPr>
      <w:rFonts w:ascii="Arial" w:hAnsi="Arial" w:eastAsia="黑体" w:cs="Times New Roman"/>
      <w:b/>
      <w:sz w:val="24"/>
      <w:szCs w:val="20"/>
    </w:rPr>
  </w:style>
  <w:style w:type="character" w:customStyle="1" w:styleId="75">
    <w:name w:val="标题 8 Char"/>
    <w:basedOn w:val="60"/>
    <w:link w:val="9"/>
    <w:qFormat/>
    <w:uiPriority w:val="0"/>
    <w:rPr>
      <w:rFonts w:ascii="Arial" w:hAnsi="Arial" w:eastAsia="黑体" w:cs="Times New Roman"/>
      <w:b/>
      <w:sz w:val="24"/>
      <w:szCs w:val="20"/>
    </w:rPr>
  </w:style>
  <w:style w:type="character" w:customStyle="1" w:styleId="76">
    <w:name w:val="标题 9 Char"/>
    <w:basedOn w:val="60"/>
    <w:link w:val="10"/>
    <w:qFormat/>
    <w:uiPriority w:val="0"/>
    <w:rPr>
      <w:rFonts w:ascii="Arial" w:hAnsi="Arial" w:eastAsia="黑体" w:cs="Times New Roman"/>
      <w:b/>
      <w:sz w:val="24"/>
      <w:szCs w:val="20"/>
    </w:rPr>
  </w:style>
  <w:style w:type="character" w:customStyle="1" w:styleId="77">
    <w:name w:val="正文文本缩进 2 Char"/>
    <w:link w:val="33"/>
    <w:qFormat/>
    <w:uiPriority w:val="0"/>
    <w:rPr>
      <w:sz w:val="28"/>
    </w:rPr>
  </w:style>
  <w:style w:type="character" w:customStyle="1" w:styleId="78">
    <w:name w:val="脚注文本 Char"/>
    <w:link w:val="40"/>
    <w:qFormat/>
    <w:uiPriority w:val="0"/>
    <w:rPr>
      <w:sz w:val="18"/>
    </w:rPr>
  </w:style>
  <w:style w:type="character" w:customStyle="1" w:styleId="79">
    <w:name w:val="批注主题 Char"/>
    <w:basedOn w:val="80"/>
    <w:link w:val="55"/>
    <w:qFormat/>
    <w:uiPriority w:val="0"/>
    <w:rPr>
      <w:sz w:val="24"/>
    </w:rPr>
  </w:style>
  <w:style w:type="character" w:customStyle="1" w:styleId="80">
    <w:name w:val="批注文字 Char"/>
    <w:qFormat/>
    <w:uiPriority w:val="0"/>
    <w:rPr>
      <w:sz w:val="24"/>
    </w:rPr>
  </w:style>
  <w:style w:type="character" w:customStyle="1" w:styleId="81">
    <w:name w:val="Char Char4"/>
    <w:qFormat/>
    <w:uiPriority w:val="0"/>
    <w:rPr>
      <w:rFonts w:eastAsia="宋体"/>
      <w:b/>
      <w:kern w:val="2"/>
      <w:sz w:val="21"/>
      <w:lang w:val="en-US" w:eastAsia="zh-CN"/>
    </w:rPr>
  </w:style>
  <w:style w:type="character" w:customStyle="1" w:styleId="82">
    <w:name w:val="文字 Char"/>
    <w:link w:val="83"/>
    <w:qFormat/>
    <w:uiPriority w:val="0"/>
    <w:rPr>
      <w:rFonts w:ascii="宋体"/>
      <w:sz w:val="28"/>
    </w:rPr>
  </w:style>
  <w:style w:type="paragraph" w:customStyle="1" w:styleId="83">
    <w:name w:val="文字"/>
    <w:basedOn w:val="1"/>
    <w:link w:val="82"/>
    <w:qFormat/>
    <w:uiPriority w:val="0"/>
    <w:pPr>
      <w:tabs>
        <w:tab w:val="left" w:pos="8520"/>
      </w:tabs>
      <w:spacing w:line="312" w:lineRule="auto"/>
      <w:ind w:right="-210" w:firstLine="556"/>
    </w:pPr>
    <w:rPr>
      <w:rFonts w:ascii="宋体"/>
      <w:sz w:val="28"/>
    </w:rPr>
  </w:style>
  <w:style w:type="character" w:customStyle="1" w:styleId="84">
    <w:name w:val="content-white1"/>
    <w:qFormat/>
    <w:uiPriority w:val="0"/>
    <w:rPr>
      <w:color w:val="auto"/>
      <w:sz w:val="18"/>
      <w:u w:val="none"/>
    </w:rPr>
  </w:style>
  <w:style w:type="character" w:customStyle="1" w:styleId="85">
    <w:name w:val="top-det1"/>
    <w:qFormat/>
    <w:uiPriority w:val="0"/>
    <w:rPr>
      <w:b/>
      <w:color w:val="000000"/>
    </w:rPr>
  </w:style>
  <w:style w:type="character" w:customStyle="1" w:styleId="86">
    <w:name w:val="正文 + 三号 Char"/>
    <w:qFormat/>
    <w:uiPriority w:val="0"/>
    <w:rPr>
      <w:rFonts w:eastAsia="宋体"/>
      <w:kern w:val="2"/>
      <w:sz w:val="21"/>
      <w:lang w:val="en-US" w:eastAsia="zh-CN"/>
    </w:rPr>
  </w:style>
  <w:style w:type="character" w:customStyle="1" w:styleId="87">
    <w:name w:val="Char Char11"/>
    <w:qFormat/>
    <w:uiPriority w:val="0"/>
    <w:rPr>
      <w:rFonts w:ascii="宋体"/>
      <w:kern w:val="2"/>
      <w:sz w:val="28"/>
    </w:rPr>
  </w:style>
  <w:style w:type="character" w:customStyle="1" w:styleId="88">
    <w:name w:val="Char Char6"/>
    <w:qFormat/>
    <w:uiPriority w:val="0"/>
    <w:rPr>
      <w:rFonts w:ascii="仿宋_GB2312" w:eastAsia="仿宋_GB2312"/>
      <w:kern w:val="2"/>
      <w:sz w:val="32"/>
    </w:rPr>
  </w:style>
  <w:style w:type="character" w:customStyle="1" w:styleId="89">
    <w:name w:val="Char Char5"/>
    <w:qFormat/>
    <w:uiPriority w:val="0"/>
    <w:rPr>
      <w:rFonts w:ascii="Arial" w:hAnsi="Arial" w:eastAsia="宋体"/>
      <w:b/>
      <w:smallCaps/>
      <w:kern w:val="28"/>
      <w:sz w:val="36"/>
      <w:lang w:val="en-US" w:eastAsia="en-US"/>
    </w:rPr>
  </w:style>
  <w:style w:type="character" w:customStyle="1" w:styleId="90">
    <w:name w:val="标书正文:  0.74 厘米 Char1"/>
    <w:qFormat/>
    <w:uiPriority w:val="0"/>
    <w:rPr>
      <w:rFonts w:eastAsia="宋体"/>
      <w:kern w:val="2"/>
      <w:sz w:val="24"/>
      <w:lang w:val="en-US" w:eastAsia="zh-CN"/>
    </w:rPr>
  </w:style>
  <w:style w:type="character" w:customStyle="1" w:styleId="91">
    <w:name w:val="纯文本 Char"/>
    <w:link w:val="30"/>
    <w:qFormat/>
    <w:uiPriority w:val="0"/>
    <w:rPr>
      <w:rFonts w:ascii="宋体" w:hAnsi="Courier New"/>
    </w:rPr>
  </w:style>
  <w:style w:type="character" w:customStyle="1" w:styleId="92">
    <w:name w:val="crowed11"/>
    <w:qFormat/>
    <w:uiPriority w:val="0"/>
    <w:rPr>
      <w:rFonts w:hint="default"/>
      <w:sz w:val="24"/>
    </w:rPr>
  </w:style>
  <w:style w:type="character" w:customStyle="1" w:styleId="93">
    <w:name w:val="Table Text Char Char Char Char"/>
    <w:link w:val="94"/>
    <w:qFormat/>
    <w:uiPriority w:val="0"/>
    <w:rPr>
      <w:rFonts w:ascii="Arial" w:hAnsi="Arial"/>
      <w:sz w:val="18"/>
    </w:rPr>
  </w:style>
  <w:style w:type="paragraph" w:customStyle="1" w:styleId="94">
    <w:name w:val="Table Text Char Char Char"/>
    <w:link w:val="93"/>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qFormat/>
    <w:uiPriority w:val="0"/>
    <w:rPr>
      <w:rFonts w:ascii="宋体" w:hAnsi="宋体" w:eastAsia="宋体"/>
      <w:kern w:val="2"/>
      <w:sz w:val="28"/>
    </w:rPr>
  </w:style>
  <w:style w:type="character" w:customStyle="1" w:styleId="96">
    <w:name w:val="未命名11"/>
    <w:qFormat/>
    <w:uiPriority w:val="0"/>
    <w:rPr>
      <w:color w:val="77FFFF"/>
      <w:sz w:val="24"/>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Char Char3"/>
    <w:qFormat/>
    <w:uiPriority w:val="0"/>
    <w:rPr>
      <w:rFonts w:eastAsia="宋体"/>
      <w:kern w:val="2"/>
      <w:sz w:val="18"/>
      <w:lang w:val="en-US" w:eastAsia="zh-CN"/>
    </w:rPr>
  </w:style>
  <w:style w:type="character" w:customStyle="1" w:styleId="99">
    <w:name w:val="title_emph1"/>
    <w:qFormat/>
    <w:uiPriority w:val="0"/>
    <w:rPr>
      <w:rFonts w:hint="default" w:ascii="Arial" w:hAnsi="Arial"/>
      <w:b/>
      <w:sz w:val="20"/>
    </w:rPr>
  </w:style>
  <w:style w:type="character" w:customStyle="1" w:styleId="100">
    <w:name w:val="Table Text Char"/>
    <w:link w:val="101"/>
    <w:qFormat/>
    <w:uiPriority w:val="0"/>
    <w:rPr>
      <w:rFonts w:ascii="Arial" w:hAnsi="Arial"/>
      <w:sz w:val="18"/>
    </w:rPr>
  </w:style>
  <w:style w:type="paragraph" w:customStyle="1" w:styleId="101">
    <w:name w:val="Table Text"/>
    <w:link w:val="1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qFormat/>
    <w:uiPriority w:val="0"/>
    <w:rPr>
      <w:rFonts w:ascii="宋体" w:hAnsi="宋体" w:eastAsia="宋体"/>
      <w:sz w:val="28"/>
    </w:rPr>
  </w:style>
  <w:style w:type="character" w:customStyle="1" w:styleId="103">
    <w:name w:val="正文首行缩进 2 Char"/>
    <w:basedOn w:val="104"/>
    <w:link w:val="57"/>
    <w:qFormat/>
    <w:uiPriority w:val="0"/>
    <w:rPr>
      <w:sz w:val="44"/>
    </w:rPr>
  </w:style>
  <w:style w:type="character" w:customStyle="1" w:styleId="104">
    <w:name w:val="正文文本缩进 Char"/>
    <w:link w:val="23"/>
    <w:qFormat/>
    <w:uiPriority w:val="0"/>
    <w:rPr>
      <w:sz w:val="44"/>
    </w:rPr>
  </w:style>
  <w:style w:type="character" w:customStyle="1" w:styleId="105">
    <w:name w:val="页脚 Char"/>
    <w:link w:val="35"/>
    <w:qFormat/>
    <w:uiPriority w:val="99"/>
    <w:rPr>
      <w:sz w:val="18"/>
    </w:rPr>
  </w:style>
  <w:style w:type="character" w:customStyle="1" w:styleId="106">
    <w:name w:val="Table Heading Char Char"/>
    <w:qFormat/>
    <w:uiPriority w:val="0"/>
    <w:rPr>
      <w:rFonts w:ascii="Arial" w:hAnsi="Arial" w:eastAsia="黑体"/>
      <w:kern w:val="2"/>
      <w:sz w:val="18"/>
      <w:lang w:val="en-US" w:eastAsia="zh-CN"/>
    </w:rPr>
  </w:style>
  <w:style w:type="character" w:customStyle="1" w:styleId="107">
    <w:name w:val="日期 Char"/>
    <w:link w:val="32"/>
    <w:qFormat/>
    <w:uiPriority w:val="0"/>
    <w:rPr>
      <w:sz w:val="28"/>
    </w:rPr>
  </w:style>
  <w:style w:type="character" w:customStyle="1" w:styleId="108">
    <w:name w:val="font1"/>
    <w:qFormat/>
    <w:uiPriority w:val="0"/>
    <w:rPr>
      <w:color w:val="000000"/>
      <w:sz w:val="18"/>
    </w:rPr>
  </w:style>
  <w:style w:type="character" w:customStyle="1" w:styleId="109">
    <w:name w:val="Char Char2"/>
    <w:qFormat/>
    <w:uiPriority w:val="0"/>
    <w:rPr>
      <w:rFonts w:eastAsia="宋体"/>
      <w:kern w:val="2"/>
      <w:sz w:val="18"/>
      <w:lang w:val="en-US" w:eastAsia="zh-CN"/>
    </w:rPr>
  </w:style>
  <w:style w:type="character" w:customStyle="1" w:styleId="110">
    <w:name w:val="H2 Char"/>
    <w:qFormat/>
    <w:uiPriority w:val="0"/>
    <w:rPr>
      <w:rFonts w:ascii="Arial" w:hAnsi="Arial" w:eastAsia="宋体"/>
      <w:kern w:val="2"/>
      <w:sz w:val="28"/>
      <w:lang w:val="en-US" w:eastAsia="zh-CN"/>
    </w:rPr>
  </w:style>
  <w:style w:type="character" w:customStyle="1" w:styleId="111">
    <w:name w:val="v151"/>
    <w:qFormat/>
    <w:uiPriority w:val="0"/>
    <w:rPr>
      <w:sz w:val="18"/>
    </w:rPr>
  </w:style>
  <w:style w:type="character" w:customStyle="1" w:styleId="112">
    <w:name w:val="Table Text Char1 Char"/>
    <w:qFormat/>
    <w:uiPriority w:val="0"/>
    <w:rPr>
      <w:rFonts w:ascii="Arial" w:hAnsi="Arial"/>
      <w:kern w:val="2"/>
      <w:sz w:val="18"/>
      <w:lang w:val="en-US" w:eastAsia="zh-CN" w:bidi="ar-SA"/>
    </w:rPr>
  </w:style>
  <w:style w:type="character" w:customStyle="1" w:styleId="113">
    <w:name w:val="HTML 预设格式 Char"/>
    <w:link w:val="50"/>
    <w:qFormat/>
    <w:uiPriority w:val="0"/>
    <w:rPr>
      <w:rFonts w:ascii="宋体" w:hAnsi="宋体" w:cs="宋体"/>
      <w:sz w:val="24"/>
      <w:szCs w:val="24"/>
    </w:rPr>
  </w:style>
  <w:style w:type="character" w:customStyle="1" w:styleId="114">
    <w:name w:val="Char Char"/>
    <w:qFormat/>
    <w:uiPriority w:val="0"/>
    <w:rPr>
      <w:rFonts w:ascii="宋体" w:hAnsi="宋体" w:eastAsia="宋体"/>
      <w:kern w:val="2"/>
      <w:sz w:val="24"/>
      <w:lang w:val="en-US" w:eastAsia="zh-CN" w:bidi="ar-SA"/>
    </w:rPr>
  </w:style>
  <w:style w:type="character" w:customStyle="1" w:styleId="115">
    <w:name w:val="脚注文本 Char1"/>
    <w:basedOn w:val="60"/>
    <w:semiHidden/>
    <w:qFormat/>
    <w:uiPriority w:val="99"/>
    <w:rPr>
      <w:sz w:val="18"/>
      <w:szCs w:val="18"/>
    </w:rPr>
  </w:style>
  <w:style w:type="character" w:customStyle="1" w:styleId="116">
    <w:name w:val="页眉 Char"/>
    <w:basedOn w:val="60"/>
    <w:link w:val="36"/>
    <w:qFormat/>
    <w:uiPriority w:val="0"/>
    <w:rPr>
      <w:rFonts w:ascii="Times New Roman" w:hAnsi="Times New Roman" w:eastAsia="宋体" w:cs="Times New Roman"/>
      <w:sz w:val="18"/>
      <w:szCs w:val="20"/>
    </w:rPr>
  </w:style>
  <w:style w:type="character" w:customStyle="1" w:styleId="117">
    <w:name w:val="正文文本缩进 Char1"/>
    <w:basedOn w:val="60"/>
    <w:semiHidden/>
    <w:qFormat/>
    <w:uiPriority w:val="99"/>
  </w:style>
  <w:style w:type="character" w:customStyle="1" w:styleId="118">
    <w:name w:val="文档结构图 Char"/>
    <w:basedOn w:val="60"/>
    <w:link w:val="17"/>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semiHidden/>
    <w:qFormat/>
    <w:uiPriority w:val="99"/>
    <w:rPr>
      <w:sz w:val="18"/>
      <w:szCs w:val="18"/>
    </w:rPr>
  </w:style>
  <w:style w:type="character" w:customStyle="1" w:styleId="120">
    <w:name w:val="正文文本缩进 3 Char"/>
    <w:basedOn w:val="60"/>
    <w:link w:val="43"/>
    <w:qFormat/>
    <w:uiPriority w:val="0"/>
    <w:rPr>
      <w:rFonts w:ascii="黑体" w:hAnsi="Times New Roman" w:eastAsia="黑体" w:cs="Times New Roman"/>
      <w:sz w:val="28"/>
      <w:szCs w:val="20"/>
    </w:rPr>
  </w:style>
  <w:style w:type="character" w:customStyle="1" w:styleId="121">
    <w:name w:val="正文文本 3 Char"/>
    <w:basedOn w:val="60"/>
    <w:link w:val="20"/>
    <w:qFormat/>
    <w:uiPriority w:val="0"/>
    <w:rPr>
      <w:rFonts w:ascii="Times New Roman" w:hAnsi="Times New Roman" w:eastAsia="宋体" w:cs="Times New Roman"/>
      <w:sz w:val="16"/>
      <w:szCs w:val="20"/>
    </w:rPr>
  </w:style>
  <w:style w:type="character" w:customStyle="1" w:styleId="122">
    <w:name w:val="正文文本 2 Char"/>
    <w:basedOn w:val="60"/>
    <w:link w:val="47"/>
    <w:qFormat/>
    <w:uiPriority w:val="0"/>
    <w:rPr>
      <w:rFonts w:ascii="Times New Roman" w:hAnsi="Times New Roman" w:eastAsia="宋体" w:cs="Times New Roman"/>
      <w:sz w:val="24"/>
      <w:szCs w:val="20"/>
    </w:rPr>
  </w:style>
  <w:style w:type="character" w:customStyle="1" w:styleId="123">
    <w:name w:val="正文文本 Char"/>
    <w:basedOn w:val="60"/>
    <w:link w:val="22"/>
    <w:qFormat/>
    <w:uiPriority w:val="0"/>
    <w:rPr>
      <w:rFonts w:ascii="仿宋_GB2312" w:hAnsi="Times New Roman" w:eastAsia="仿宋_GB2312" w:cs="Times New Roman"/>
      <w:sz w:val="32"/>
      <w:szCs w:val="20"/>
    </w:rPr>
  </w:style>
  <w:style w:type="character" w:customStyle="1" w:styleId="124">
    <w:name w:val="正文文本缩进 2 Char1"/>
    <w:basedOn w:val="60"/>
    <w:semiHidden/>
    <w:qFormat/>
    <w:uiPriority w:val="99"/>
  </w:style>
  <w:style w:type="character" w:customStyle="1" w:styleId="125">
    <w:name w:val="正文首行缩进 2 Char1"/>
    <w:basedOn w:val="117"/>
    <w:semiHidden/>
    <w:qFormat/>
    <w:uiPriority w:val="99"/>
  </w:style>
  <w:style w:type="character" w:customStyle="1" w:styleId="126">
    <w:name w:val="标题 Char"/>
    <w:basedOn w:val="60"/>
    <w:link w:val="54"/>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semiHidden/>
    <w:qFormat/>
    <w:uiPriority w:val="99"/>
    <w:rPr>
      <w:rFonts w:ascii="Courier New" w:hAnsi="Courier New" w:cs="Courier New"/>
      <w:sz w:val="20"/>
      <w:szCs w:val="20"/>
    </w:rPr>
  </w:style>
  <w:style w:type="character" w:customStyle="1" w:styleId="128">
    <w:name w:val="日期 Char1"/>
    <w:basedOn w:val="60"/>
    <w:semiHidden/>
    <w:qFormat/>
    <w:uiPriority w:val="99"/>
  </w:style>
  <w:style w:type="character" w:customStyle="1" w:styleId="129">
    <w:name w:val="纯文本 Char1"/>
    <w:basedOn w:val="60"/>
    <w:semiHidden/>
    <w:qFormat/>
    <w:uiPriority w:val="99"/>
    <w:rPr>
      <w:rFonts w:ascii="宋体" w:hAnsi="Courier New" w:eastAsia="宋体" w:cs="Courier New"/>
      <w:szCs w:val="21"/>
    </w:rPr>
  </w:style>
  <w:style w:type="character" w:customStyle="1" w:styleId="130">
    <w:name w:val="批注文字 Char1"/>
    <w:basedOn w:val="60"/>
    <w:link w:val="19"/>
    <w:semiHidden/>
    <w:qFormat/>
    <w:uiPriority w:val="99"/>
  </w:style>
  <w:style w:type="character" w:customStyle="1" w:styleId="131">
    <w:name w:val="批注主题 Char1"/>
    <w:basedOn w:val="130"/>
    <w:semiHidden/>
    <w:qFormat/>
    <w:uiPriority w:val="99"/>
    <w:rPr>
      <w:b/>
      <w:bCs/>
    </w:rPr>
  </w:style>
  <w:style w:type="character" w:customStyle="1" w:styleId="132">
    <w:name w:val="批注框文本 Char"/>
    <w:basedOn w:val="60"/>
    <w:link w:val="34"/>
    <w:qFormat/>
    <w:uiPriority w:val="0"/>
    <w:rPr>
      <w:rFonts w:ascii="Times New Roman" w:hAnsi="Times New Roman" w:eastAsia="宋体" w:cs="Times New Roman"/>
      <w:sz w:val="18"/>
      <w:szCs w:val="20"/>
    </w:rPr>
  </w:style>
  <w:style w:type="character" w:customStyle="1" w:styleId="133">
    <w:name w:val="正文首行缩进 Char"/>
    <w:basedOn w:val="123"/>
    <w:link w:val="56"/>
    <w:qFormat/>
    <w:uiPriority w:val="0"/>
    <w:rPr>
      <w:rFonts w:ascii="宋体" w:hAnsi="宋体" w:eastAsia="宋体" w:cs="Times New Roman"/>
      <w:sz w:val="24"/>
      <w:szCs w:val="20"/>
    </w:rPr>
  </w:style>
  <w:style w:type="paragraph" w:customStyle="1" w:styleId="134">
    <w:name w:val="正文 + 三号"/>
    <w:basedOn w:val="1"/>
    <w:qFormat/>
    <w:uiPriority w:val="0"/>
    <w:rPr>
      <w:rFonts w:ascii="Times New Roman" w:hAnsi="Times New Roman" w:eastAsia="宋体" w:cs="Times New Roman"/>
      <w:szCs w:val="20"/>
    </w:rPr>
  </w:style>
  <w:style w:type="paragraph" w:customStyle="1" w:styleId="135">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49">
    <w:name w:val="Revision"/>
    <w:qFormat/>
    <w:uiPriority w:val="0"/>
    <w:rPr>
      <w:rFonts w:ascii="Times New Roman" w:hAnsi="Times New Roman" w:eastAsia="宋体" w:cs="Times New Roman"/>
      <w:kern w:val="2"/>
      <w:sz w:val="21"/>
      <w:szCs w:val="20"/>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0"/>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2"/>
    <w:qFormat/>
    <w:uiPriority w:val="0"/>
    <w:pPr>
      <w:suppressAutoHyphens/>
      <w:jc w:val="left"/>
    </w:pPr>
    <w:rPr>
      <w:rFonts w:ascii="Times New Roman" w:eastAsia="Times New Roman"/>
      <w:kern w:val="0"/>
      <w:sz w:val="24"/>
    </w:rPr>
  </w:style>
  <w:style w:type="paragraph" w:customStyle="1" w:styleId="188">
    <w:name w:val="Char Char Char"/>
    <w:basedOn w:val="1"/>
    <w:qFormat/>
    <w:uiPriority w:val="0"/>
    <w:rPr>
      <w:rFonts w:ascii="Tahoma" w:hAnsi="Tahoma" w:eastAsia="宋体" w:cs="Times New Roman"/>
      <w:sz w:val="24"/>
      <w:szCs w:val="20"/>
    </w:rPr>
  </w:style>
  <w:style w:type="paragraph" w:customStyle="1" w:styleId="189">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qFormat/>
    <w:uiPriority w:val="0"/>
    <w:pPr>
      <w:spacing w:before="720"/>
    </w:pPr>
  </w:style>
  <w:style w:type="paragraph" w:customStyle="1" w:styleId="192">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4">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qFormat/>
    <w:uiPriority w:val="0"/>
    <w:pPr>
      <w:ind w:left="840"/>
      <w:outlineLvl w:val="3"/>
    </w:pPr>
  </w:style>
  <w:style w:type="paragraph" w:customStyle="1" w:styleId="203">
    <w:name w:val="一级条标题"/>
    <w:basedOn w:val="204"/>
    <w:next w:val="150"/>
    <w:qFormat/>
    <w:uiPriority w:val="0"/>
    <w:pPr>
      <w:numPr>
        <w:numId w:val="0"/>
      </w:numPr>
      <w:spacing w:before="0" w:beforeLines="0" w:after="0" w:afterLines="0"/>
      <w:ind w:left="525"/>
      <w:outlineLvl w:val="2"/>
    </w:pPr>
    <w:rPr>
      <w:sz w:val="21"/>
    </w:rPr>
  </w:style>
  <w:style w:type="paragraph" w:customStyle="1" w:styleId="204">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qFormat/>
    <w:uiPriority w:val="0"/>
    <w:rPr>
      <w:rFonts w:ascii="宋体" w:hAnsi="Courier New" w:eastAsia="宋体" w:cs="Times New Roman"/>
      <w:szCs w:val="20"/>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qFormat/>
    <w:uiPriority w:val="0"/>
    <w:rPr>
      <w:rFonts w:ascii="Tahoma" w:hAnsi="Tahoma" w:eastAsia="宋体" w:cs="Times New Roman"/>
      <w:sz w:val="24"/>
      <w:szCs w:val="20"/>
    </w:rPr>
  </w:style>
  <w:style w:type="paragraph" w:customStyle="1" w:styleId="217">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qFormat/>
    <w:uiPriority w:val="0"/>
    <w:pPr>
      <w:widowControl/>
      <w:adjustRightInd/>
      <w:snapToGrid/>
      <w:spacing w:before="156" w:beforeLines="50"/>
      <w:jc w:val="left"/>
    </w:pPr>
    <w:rPr>
      <w:snapToGrid w:val="0"/>
      <w:kern w:val="24"/>
      <w:sz w:val="28"/>
    </w:rPr>
  </w:style>
  <w:style w:type="paragraph" w:customStyle="1" w:styleId="221">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qFormat/>
    <w:uiPriority w:val="0"/>
    <w:pPr>
      <w:numPr>
        <w:ilvl w:val="0"/>
        <w:numId w:val="10"/>
      </w:numPr>
      <w:spacing w:before="560" w:line="400" w:lineRule="exact"/>
      <w:jc w:val="center"/>
      <w:outlineLvl w:val="0"/>
    </w:pPr>
    <w:rPr>
      <w:b w:val="0"/>
      <w:sz w:val="44"/>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qFormat/>
    <w:uiPriority w:val="0"/>
    <w:rPr>
      <w:rFonts w:ascii="Tahoma" w:hAnsi="Tahoma"/>
      <w:sz w:val="24"/>
    </w:rPr>
  </w:style>
  <w:style w:type="paragraph" w:customStyle="1" w:styleId="225">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qFormat/>
    <w:uiPriority w:val="0"/>
    <w:rPr>
      <w:rFonts w:ascii="Tahoma" w:hAnsi="Tahoma" w:eastAsia="宋体" w:cs="Times New Roman"/>
      <w:sz w:val="24"/>
      <w:szCs w:val="24"/>
    </w:rPr>
  </w:style>
  <w:style w:type="paragraph" w:customStyle="1" w:styleId="228">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qFormat/>
    <w:uiPriority w:val="0"/>
    <w:rPr>
      <w:rFonts w:ascii="Tahoma" w:hAnsi="Tahoma" w:eastAsia="宋体" w:cs="Times New Roman"/>
      <w:sz w:val="30"/>
      <w:szCs w:val="20"/>
    </w:rPr>
  </w:style>
  <w:style w:type="paragraph" w:customStyle="1" w:styleId="234">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qFormat/>
    <w:uiPriority w:val="0"/>
    <w:pPr>
      <w:ind w:firstLine="480" w:firstLineChars="200"/>
    </w:pPr>
  </w:style>
  <w:style w:type="paragraph" w:customStyle="1" w:styleId="237">
    <w:name w:val="可研正文"/>
    <w:basedOn w:val="22"/>
    <w:qFormat/>
    <w:uiPriority w:val="0"/>
    <w:pPr>
      <w:adjustRightInd w:val="0"/>
      <w:snapToGrid w:val="0"/>
      <w:spacing w:line="440" w:lineRule="exact"/>
      <w:ind w:firstLine="567"/>
    </w:pPr>
    <w:rPr>
      <w:sz w:val="28"/>
    </w:rPr>
  </w:style>
  <w:style w:type="paragraph" w:customStyle="1" w:styleId="238">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qFormat/>
    <w:uiPriority w:val="0"/>
    <w:pPr>
      <w:spacing w:before="240" w:after="720"/>
    </w:pPr>
    <w:rPr>
      <w:sz w:val="28"/>
    </w:rPr>
  </w:style>
  <w:style w:type="paragraph" w:customStyle="1" w:styleId="240">
    <w:name w:val="标题3——2"/>
    <w:basedOn w:val="4"/>
    <w:next w:val="56"/>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qFormat/>
    <w:uiPriority w:val="0"/>
    <w:pPr>
      <w:adjustRightInd w:val="0"/>
      <w:snapToGrid w:val="0"/>
    </w:pPr>
  </w:style>
  <w:style w:type="paragraph" w:customStyle="1" w:styleId="24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qFormat/>
    <w:uiPriority w:val="0"/>
    <w:rPr>
      <w:rFonts w:ascii="Times New Roman" w:hAnsi="Times New Roman" w:eastAsia="宋体" w:cs="Times New Roman"/>
      <w:szCs w:val="24"/>
    </w:rPr>
  </w:style>
  <w:style w:type="paragraph" w:customStyle="1" w:styleId="24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qFormat/>
    <w:uiPriority w:val="0"/>
    <w:rPr>
      <w:rFonts w:ascii="宋体" w:hAnsi="Tahoma"/>
    </w:rPr>
  </w:style>
  <w:style w:type="paragraph" w:customStyle="1" w:styleId="262">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正文-田"/>
    <w:basedOn w:val="1"/>
    <w:qFormat/>
    <w:uiPriority w:val="0"/>
    <w:rPr>
      <w:rFonts w:eastAsia="仿宋"/>
      <w:sz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16906</Words>
  <Characters>17581</Characters>
  <Lines>182</Lines>
  <Paragraphs>51</Paragraphs>
  <TotalTime>10</TotalTime>
  <ScaleCrop>false</ScaleCrop>
  <LinksUpToDate>false</LinksUpToDate>
  <CharactersWithSpaces>18856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hold 初心</cp:lastModifiedBy>
  <dcterms:modified xsi:type="dcterms:W3CDTF">2023-03-20T02:59:46Z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D90EFDEDCD294DEAB041A069E42458C9</vt:lpwstr>
  </property>
</Properties>
</file>