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2023FW006</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防雷装置安全检测服务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三</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485108766"/>
      <w:bookmarkStart w:id="1" w:name="_Toc12789052"/>
      <w:bookmarkStart w:id="2" w:name="_Toc25875"/>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防雷装置安全检测服务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3893526"/>
      <w:bookmarkStart w:id="7" w:name="_Toc317775175"/>
      <w:bookmarkStart w:id="8" w:name="_Toc28443"/>
      <w:bookmarkStart w:id="9" w:name="_Toc485108767"/>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防雷装置安全检测服务</w:t>
            </w:r>
          </w:p>
        </w:tc>
        <w:tc>
          <w:tcPr>
            <w:tcW w:w="2661"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pStyle w:val="3"/>
        <w:keepNext/>
        <w:keepLines/>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16" w:name="_Toc6"/>
      <w:bookmarkStart w:id="17" w:name="_Toc11958"/>
      <w:bookmarkStart w:id="18" w:name="_Toc102227313"/>
      <w:bookmarkStart w:id="19" w:name="_Toc485108774"/>
      <w:r>
        <w:rPr>
          <w:rFonts w:hint="eastAsia" w:ascii="方正仿宋_GBK" w:hAnsi="宋体" w:eastAsia="方正仿宋_GBK" w:cs="Times New Roman"/>
          <w:b w:val="0"/>
          <w:color w:val="auto"/>
          <w:kern w:val="2"/>
          <w:sz w:val="24"/>
          <w:szCs w:val="24"/>
          <w:lang w:val="en-US" w:eastAsia="zh-CN" w:bidi="ar-SA"/>
        </w:rPr>
        <w:t>有效的三证合一营业执照、雷电防护装置检测资质甲级。</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20</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20</w:t>
      </w:r>
      <w:r>
        <w:rPr>
          <w:rFonts w:hint="eastAsia" w:ascii="方正仿宋_GBK" w:hAnsi="宋体" w:eastAsia="方正仿宋_GBK"/>
          <w:color w:val="auto"/>
          <w:sz w:val="24"/>
          <w:szCs w:val="24"/>
        </w:rPr>
        <w:t>日1</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0时至2023年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（六）响应文件递交开始时间：2023年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28</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0时</w:t>
      </w:r>
      <w:r>
        <w:rPr>
          <w:rFonts w:hint="eastAsia" w:ascii="方正仿宋_GBK" w:hAnsi="宋体" w:eastAsia="方正仿宋_GBK" w:cs="Times New Roman"/>
          <w:color w:val="auto"/>
          <w:sz w:val="24"/>
          <w:szCs w:val="24"/>
          <w:lang w:eastAsia="zh-CN"/>
        </w:rPr>
        <w:t>。</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rPr>
        <w:t>2023年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28</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w:t>
      </w:r>
      <w:r>
        <w:rPr>
          <w:rFonts w:hint="eastAsia" w:ascii="方正仿宋_GBK" w:hAnsi="宋体" w:eastAsia="方正仿宋_GBK" w:cs="Times New Roman"/>
          <w:color w:val="auto"/>
          <w:sz w:val="24"/>
          <w:szCs w:val="24"/>
          <w:lang w:eastAsia="zh-CN"/>
        </w:rPr>
        <w:t>。</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rPr>
        <w:t>2023年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28</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w:t>
      </w:r>
      <w:r>
        <w:rPr>
          <w:rFonts w:hint="eastAsia" w:ascii="方正仿宋_GBK" w:hAnsi="宋体" w:eastAsia="方正仿宋_GBK" w:cs="Times New Roman"/>
          <w:color w:val="auto"/>
          <w:sz w:val="24"/>
          <w:szCs w:val="24"/>
          <w:lang w:eastAsia="zh-CN"/>
        </w:rPr>
        <w:t>。</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bookmarkStart w:id="180" w:name="_GoBack"/>
      <w:bookmarkEnd w:id="180"/>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服务方根据对本项目每年检测一次的费用进行报价，</w:t>
      </w:r>
      <w:r>
        <w:rPr>
          <w:rFonts w:hint="eastAsia" w:ascii="方正仿宋_GBK" w:hAnsi="宋体" w:eastAsia="方正仿宋_GBK" w:cs="Times New Roman"/>
          <w:color w:val="auto"/>
          <w:sz w:val="24"/>
          <w:szCs w:val="24"/>
          <w:lang w:eastAsia="zh-CN"/>
        </w:rPr>
        <w:t>检测项目</w:t>
      </w:r>
      <w:r>
        <w:rPr>
          <w:rFonts w:hint="eastAsia" w:ascii="方正仿宋_GBK" w:hAnsi="宋体" w:eastAsia="方正仿宋_GBK" w:cs="Times New Roman"/>
          <w:color w:val="auto"/>
          <w:sz w:val="24"/>
          <w:szCs w:val="24"/>
        </w:rPr>
        <w:t>见附件报价表。</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服务方统一进行现场勘查，联系人：杨洪，电话：13594380905。</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投标报价为包干价，包含但不限于检测费、保险费、税费等各项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5" w:name="_Toc29479"/>
      <w:bookmarkStart w:id="66" w:name="_Toc15659"/>
      <w:bookmarkStart w:id="67" w:name="_Toc7675"/>
      <w:r>
        <w:rPr>
          <w:rFonts w:hint="eastAsia" w:ascii="微软雅黑" w:hAnsi="微软雅黑" w:eastAsia="微软雅黑" w:cs="微软雅黑"/>
          <w:color w:val="auto"/>
          <w:sz w:val="24"/>
          <w:szCs w:val="24"/>
        </w:rPr>
        <w:t>十、其他</w:t>
      </w:r>
      <w:bookmarkEnd w:id="65"/>
      <w:bookmarkEnd w:id="66"/>
      <w:bookmarkEnd w:id="6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8" w:name="_Toc485108784"/>
      <w:bookmarkStart w:id="69"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8"/>
      <w:bookmarkEnd w:id="69"/>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0" w:name="_Toc485108785"/>
      <w:bookmarkStart w:id="71" w:name="_Toc766"/>
      <w:bookmarkStart w:id="72" w:name="_Toc12789058"/>
      <w:r>
        <w:rPr>
          <w:rFonts w:hint="eastAsia" w:ascii="微软雅黑" w:hAnsi="微软雅黑" w:eastAsia="微软雅黑" w:cs="微软雅黑"/>
          <w:color w:val="auto"/>
          <w:sz w:val="24"/>
          <w:szCs w:val="24"/>
        </w:rPr>
        <w:t>一、</w:t>
      </w:r>
      <w:bookmarkEnd w:id="70"/>
      <w:r>
        <w:rPr>
          <w:rFonts w:hint="eastAsia" w:ascii="微软雅黑" w:hAnsi="微软雅黑" w:eastAsia="微软雅黑" w:cs="微软雅黑"/>
          <w:color w:val="auto"/>
          <w:sz w:val="24"/>
          <w:szCs w:val="24"/>
        </w:rPr>
        <w:t>项目一览表</w:t>
      </w:r>
      <w:bookmarkEnd w:id="71"/>
    </w:p>
    <w:tbl>
      <w:tblPr>
        <w:tblStyle w:val="58"/>
        <w:tblW w:w="8647" w:type="dxa"/>
        <w:tblInd w:w="534" w:type="dxa"/>
        <w:tblLayout w:type="fixed"/>
        <w:tblCellMar>
          <w:top w:w="0" w:type="dxa"/>
          <w:left w:w="108" w:type="dxa"/>
          <w:bottom w:w="0" w:type="dxa"/>
          <w:right w:w="108" w:type="dxa"/>
        </w:tblCellMar>
      </w:tblPr>
      <w:tblGrid>
        <w:gridCol w:w="2838"/>
        <w:gridCol w:w="3168"/>
        <w:gridCol w:w="2641"/>
      </w:tblGrid>
      <w:tr>
        <w:tblPrEx>
          <w:tblCellMar>
            <w:top w:w="0" w:type="dxa"/>
            <w:left w:w="108" w:type="dxa"/>
            <w:bottom w:w="0" w:type="dxa"/>
            <w:right w:w="108" w:type="dxa"/>
          </w:tblCellMar>
        </w:tblPrEx>
        <w:tc>
          <w:tcPr>
            <w:tcW w:w="283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3168"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eastAsia="zh-CN"/>
              </w:rPr>
            </w:pPr>
            <w:r>
              <w:rPr>
                <w:rFonts w:hint="eastAsia" w:ascii="方正仿宋_GBK" w:hAnsi="仿宋" w:eastAsia="方正仿宋_GBK" w:cs="仿宋"/>
                <w:color w:val="auto"/>
                <w:sz w:val="24"/>
                <w:szCs w:val="24"/>
              </w:rPr>
              <w:t>成交供应商数量</w:t>
            </w:r>
            <w:r>
              <w:rPr>
                <w:rFonts w:hint="eastAsia" w:ascii="方正仿宋_GBK" w:hAnsi="仿宋" w:eastAsia="方正仿宋_GBK" w:cs="仿宋"/>
                <w:color w:val="auto"/>
                <w:sz w:val="24"/>
                <w:szCs w:val="24"/>
                <w:lang w:eastAsia="zh-CN"/>
              </w:rPr>
              <w:t>（名）</w:t>
            </w:r>
          </w:p>
        </w:tc>
        <w:tc>
          <w:tcPr>
            <w:tcW w:w="2641"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283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
                <w:color w:val="auto"/>
                <w:sz w:val="24"/>
                <w:szCs w:val="24"/>
              </w:rPr>
            </w:pPr>
            <w:r>
              <w:rPr>
                <w:rFonts w:hint="eastAsia" w:ascii="方正仿宋_GBK" w:hAnsi="宋体" w:eastAsia="方正仿宋_GBK"/>
                <w:color w:val="auto"/>
                <w:szCs w:val="21"/>
                <w:lang w:val="en-US" w:eastAsia="zh-CN"/>
              </w:rPr>
              <w:t>防雷装置安全检测服务</w:t>
            </w:r>
          </w:p>
        </w:tc>
        <w:tc>
          <w:tcPr>
            <w:tcW w:w="3168"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1</w:t>
            </w:r>
          </w:p>
        </w:tc>
        <w:tc>
          <w:tcPr>
            <w:tcW w:w="2641"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val="en-US" w:eastAsia="zh-CN"/>
              </w:rPr>
            </w:pPr>
            <w:r>
              <w:rPr>
                <w:rFonts w:hint="eastAsia" w:ascii="方正仿宋_GBK" w:hAnsi="宋体" w:eastAsia="方正仿宋_GBK"/>
                <w:color w:val="auto"/>
                <w:szCs w:val="21"/>
                <w:lang w:val="en-US" w:eastAsia="zh-CN"/>
              </w:rPr>
              <w:t>检测项目详见报价表</w:t>
            </w:r>
          </w:p>
        </w:tc>
      </w:tr>
    </w:tbl>
    <w:p>
      <w:pPr>
        <w:pStyle w:val="3"/>
        <w:spacing w:line="240" w:lineRule="auto"/>
        <w:rPr>
          <w:rFonts w:hint="eastAsia" w:ascii="微软雅黑" w:hAnsi="微软雅黑" w:eastAsia="微软雅黑" w:cs="微软雅黑"/>
          <w:color w:val="auto"/>
          <w:sz w:val="24"/>
          <w:szCs w:val="24"/>
        </w:rPr>
      </w:pPr>
      <w:bookmarkStart w:id="73" w:name="_Toc485108786"/>
      <w:bookmarkStart w:id="74" w:name="_Toc18590"/>
      <w:r>
        <w:rPr>
          <w:rFonts w:hint="eastAsia" w:ascii="微软雅黑" w:hAnsi="微软雅黑" w:eastAsia="微软雅黑" w:cs="微软雅黑"/>
          <w:color w:val="auto"/>
          <w:sz w:val="24"/>
          <w:szCs w:val="24"/>
        </w:rPr>
        <w:t>二、服务要求</w:t>
      </w:r>
      <w:bookmarkEnd w:id="73"/>
      <w:bookmarkEnd w:id="74"/>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1、服务地点：重庆医科大学附属永川医院院本部（含家属区）、教学部、保健所、护理学院。</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服务方定期（每年一次）对我院需检测的房屋建筑、设备及时开展防雷防静电接地等相关检测工作，在完成的相关检测后向我方提交质量技术监督局认可的正式检测报告。不合格的需出具整改意见，整改完成后免费复检。</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施工人员须具备相应的从业资质，开展各项工作须符合国家及行业的相关标准、规程及要求。在服务过程中，服务方应采取有效的安全措施，保证工作人员和其他人员的人身安全，并承担因安全事故导致的一切经济和法律责任。如有损坏财产须照价赔偿。</w:t>
      </w:r>
    </w:p>
    <w:p>
      <w:pPr>
        <w:snapToGrid w:val="0"/>
        <w:spacing w:line="400" w:lineRule="exact"/>
        <w:jc w:val="left"/>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5" w:name="_Toc28327"/>
      <w:bookmarkStart w:id="76"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72"/>
      <w:bookmarkEnd w:id="75"/>
      <w:bookmarkEnd w:id="76"/>
      <w:bookmarkStart w:id="77" w:name="_Toc11641055"/>
      <w:bookmarkStart w:id="78" w:name="_Toc12789059"/>
    </w:p>
    <w:p>
      <w:pPr>
        <w:pStyle w:val="3"/>
        <w:spacing w:line="240" w:lineRule="auto"/>
        <w:rPr>
          <w:rFonts w:hint="eastAsia" w:ascii="微软雅黑" w:hAnsi="微软雅黑" w:eastAsia="微软雅黑" w:cs="微软雅黑"/>
          <w:color w:val="auto"/>
          <w:sz w:val="24"/>
          <w:szCs w:val="24"/>
        </w:rPr>
      </w:pPr>
      <w:bookmarkStart w:id="79" w:name="_Toc485108788"/>
      <w:bookmarkStart w:id="80" w:name="_Toc2302"/>
      <w:bookmarkStart w:id="81"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eastAsia="zh-CN"/>
        </w:rPr>
        <w:t>时间、</w:t>
      </w:r>
      <w:r>
        <w:rPr>
          <w:rFonts w:hint="eastAsia" w:ascii="微软雅黑" w:hAnsi="微软雅黑" w:eastAsia="微软雅黑" w:cs="微软雅黑"/>
          <w:color w:val="auto"/>
          <w:sz w:val="24"/>
          <w:szCs w:val="24"/>
        </w:rPr>
        <w:t>地点及验收方式</w:t>
      </w:r>
      <w:bookmarkEnd w:id="79"/>
      <w:bookmarkEnd w:id="80"/>
    </w:p>
    <w:p>
      <w:pPr>
        <w:spacing w:line="40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服务时间</w:t>
      </w:r>
      <w:r>
        <w:rPr>
          <w:rFonts w:hint="eastAsia" w:ascii="方正仿宋_GBK" w:hAnsi="宋体" w:eastAsia="方正仿宋_GBK" w:cs="Times New Roman"/>
          <w:b w:val="0"/>
          <w:color w:val="auto"/>
          <w:kern w:val="2"/>
          <w:sz w:val="24"/>
          <w:szCs w:val="24"/>
          <w:lang w:val="en-US" w:eastAsia="zh-CN" w:bidi="ar-SA"/>
        </w:rPr>
        <w:t>：服务期限三年。</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b w:val="0"/>
          <w:color w:val="auto"/>
          <w:kern w:val="2"/>
          <w:sz w:val="24"/>
          <w:szCs w:val="24"/>
          <w:lang w:val="en-US" w:eastAsia="zh-CN" w:bidi="ar-SA"/>
        </w:rPr>
        <w:t>（二）</w:t>
      </w:r>
      <w:r>
        <w:rPr>
          <w:rFonts w:hint="eastAsia" w:ascii="方正仿宋_GBK" w:hAnsi="宋体" w:eastAsia="方正仿宋_GBK" w:cs="Times New Roman"/>
          <w:color w:val="auto"/>
          <w:sz w:val="24"/>
          <w:szCs w:val="24"/>
        </w:rPr>
        <w:t xml:space="preserve">服务地点：重庆医科大学附属永川医院院本部（含家属区）、教学部、保健所、护理学院。 </w:t>
      </w:r>
    </w:p>
    <w:bookmarkEnd w:id="81"/>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82" w:name="_Toc485108789"/>
      <w:bookmarkStart w:id="83" w:name="_Toc279"/>
      <w:bookmarkStart w:id="84" w:name="_Toc485108790"/>
      <w:bookmarkStart w:id="85" w:name="_Toc344475122"/>
      <w:r>
        <w:rPr>
          <w:rFonts w:hint="eastAsia" w:ascii="方正仿宋_GBK" w:hAnsi="宋体" w:eastAsia="方正仿宋_GBK" w:cs="Times New Roman"/>
          <w:b w:val="0"/>
          <w:color w:val="auto"/>
          <w:kern w:val="2"/>
          <w:sz w:val="24"/>
          <w:szCs w:val="24"/>
          <w:lang w:val="en-US" w:eastAsia="zh-CN" w:bidi="ar-SA"/>
        </w:rPr>
        <w:t>（三）验收方式：完成的相关检测后向我方提交质量技术监督局认可的正式检测报告。</w:t>
      </w:r>
    </w:p>
    <w:bookmarkEnd w:id="82"/>
    <w:bookmarkEnd w:id="83"/>
    <w:p>
      <w:pPr>
        <w:pStyle w:val="3"/>
        <w:spacing w:line="240" w:lineRule="auto"/>
        <w:rPr>
          <w:rFonts w:hint="eastAsia" w:ascii="微软雅黑" w:hAnsi="微软雅黑" w:eastAsia="微软雅黑" w:cs="微软雅黑"/>
          <w:color w:val="auto"/>
          <w:sz w:val="24"/>
          <w:szCs w:val="24"/>
        </w:rPr>
      </w:pPr>
      <w:bookmarkStart w:id="86" w:name="_Toc15905"/>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84"/>
      <w:bookmarkEnd w:id="85"/>
      <w:bookmarkEnd w:id="86"/>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服务方根据对本项目每年检测一次的费用进行报价，报价表见附件。投标报价为包干价，包含检测费、保险费、税费等各项费用。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bookmarkStart w:id="87" w:name="_Toc403569795"/>
      <w:bookmarkStart w:id="88" w:name="_Toc7358"/>
      <w:bookmarkStart w:id="89" w:name="_Toc485108793"/>
      <w:r>
        <w:rPr>
          <w:rFonts w:hint="eastAsia" w:ascii="方正仿宋_GBK" w:hAnsi="宋体" w:eastAsia="方正仿宋_GBK" w:cs="宋体"/>
          <w:color w:val="auto"/>
          <w:kern w:val="0"/>
          <w:sz w:val="24"/>
          <w:szCs w:val="24"/>
        </w:rPr>
        <w:t>合同签订后，服务方每年按时完成全部工作并出具正式的检测报告后，采购方凭服务方提供的正式发票于60日内转账支付服务费用。</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三</w:t>
      </w:r>
      <w:bookmarkStart w:id="90" w:name="_Toc11645"/>
      <w:r>
        <w:rPr>
          <w:rFonts w:hint="eastAsia" w:ascii="微软雅黑" w:hAnsi="微软雅黑" w:eastAsia="微软雅黑" w:cs="微软雅黑"/>
          <w:color w:val="auto"/>
          <w:sz w:val="24"/>
          <w:szCs w:val="24"/>
        </w:rPr>
        <w:t>、知识产权</w:t>
      </w:r>
      <w:bookmarkEnd w:id="9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87"/>
      <w:bookmarkEnd w:id="88"/>
      <w:bookmarkEnd w:id="89"/>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7"/>
      <w:bookmarkEnd w:id="78"/>
      <w:bookmarkStart w:id="91" w:name="_Toc14840"/>
      <w:bookmarkStart w:id="92" w:name="_Toc485108794"/>
      <w:bookmarkStart w:id="93" w:name="_Toc403569796"/>
      <w:bookmarkStart w:id="94" w:name="_Toc303945820"/>
      <w:bookmarkStart w:id="95" w:name="_Toc148265480"/>
      <w:r>
        <w:rPr>
          <w:rFonts w:hint="eastAsia" w:ascii="微软雅黑" w:hAnsi="微软雅黑" w:eastAsia="微软雅黑" w:cs="微软雅黑"/>
          <w:b/>
          <w:color w:val="auto"/>
          <w:sz w:val="36"/>
          <w:szCs w:val="36"/>
        </w:rPr>
        <w:t>第五篇  合同草案条款</w:t>
      </w:r>
      <w:bookmarkEnd w:id="91"/>
      <w:bookmarkEnd w:id="92"/>
      <w:bookmarkEnd w:id="93"/>
    </w:p>
    <w:p>
      <w:pPr>
        <w:pStyle w:val="3"/>
        <w:spacing w:line="240" w:lineRule="auto"/>
        <w:rPr>
          <w:rFonts w:hint="eastAsia" w:ascii="微软雅黑" w:hAnsi="微软雅黑" w:eastAsia="微软雅黑" w:cs="微软雅黑"/>
          <w:color w:val="auto"/>
          <w:sz w:val="24"/>
          <w:szCs w:val="24"/>
        </w:rPr>
      </w:pPr>
      <w:bookmarkStart w:id="96" w:name="_Toc30815"/>
      <w:bookmarkStart w:id="97" w:name="_Toc54718202"/>
      <w:r>
        <w:rPr>
          <w:rFonts w:hint="eastAsia" w:ascii="微软雅黑" w:hAnsi="微软雅黑" w:eastAsia="微软雅黑" w:cs="微软雅黑"/>
          <w:color w:val="auto"/>
          <w:sz w:val="24"/>
          <w:szCs w:val="24"/>
        </w:rPr>
        <w:t>一、定义</w:t>
      </w:r>
      <w:bookmarkEnd w:id="96"/>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988"/>
      <w:r>
        <w:rPr>
          <w:rFonts w:hint="eastAsia" w:ascii="方正仿宋_GBK" w:hAnsi="宋体" w:eastAsia="方正仿宋_GBK" w:cs="Times New Roman"/>
          <w:color w:val="auto"/>
          <w:sz w:val="24"/>
          <w:szCs w:val="24"/>
        </w:rPr>
        <w:t>（一）甲方（需方）即重庆医科大学附属永川医院。</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2"/>
    </w:p>
    <w:p>
      <w:pPr>
        <w:pStyle w:val="3"/>
        <w:spacing w:line="240" w:lineRule="auto"/>
        <w:rPr>
          <w:rFonts w:hint="eastAsia" w:ascii="微软雅黑" w:hAnsi="微软雅黑" w:eastAsia="微软雅黑" w:cs="微软雅黑"/>
          <w:color w:val="auto"/>
          <w:sz w:val="24"/>
          <w:szCs w:val="24"/>
        </w:rPr>
      </w:pPr>
      <w:bookmarkStart w:id="103" w:name="_Toc54718203"/>
      <w:bookmarkStart w:id="104"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03"/>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28967"/>
      <w:r>
        <w:rPr>
          <w:rFonts w:hint="eastAsia" w:ascii="方正仿宋_GBK" w:hAnsi="宋体" w:eastAsia="方正仿宋_GBK" w:cs="Times New Roman"/>
          <w:color w:val="auto"/>
          <w:sz w:val="24"/>
          <w:szCs w:val="24"/>
        </w:rPr>
        <w:t>合同包括以下内容：</w:t>
      </w:r>
      <w:bookmarkEnd w:id="105"/>
      <w:r>
        <w:rPr>
          <w:rFonts w:hint="eastAsia" w:ascii="微软雅黑" w:hAnsi="微软雅黑" w:eastAsia="微软雅黑" w:cs="微软雅黑"/>
          <w:b w:val="0"/>
          <w:color w:val="auto"/>
          <w:kern w:val="2"/>
          <w:sz w:val="24"/>
          <w:szCs w:val="24"/>
          <w:lang w:val="en-US" w:eastAsia="zh-CN" w:bidi="ar-SA"/>
        </w:rPr>
        <w:t>检测内容、服务要求、验收方式、安全责任</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6" w:name="_Toc54718204"/>
      <w:bookmarkStart w:id="107" w:name="_Toc8853"/>
      <w:r>
        <w:rPr>
          <w:rFonts w:hint="eastAsia" w:ascii="微软雅黑" w:hAnsi="微软雅黑" w:eastAsia="微软雅黑" w:cs="微软雅黑"/>
          <w:color w:val="auto"/>
          <w:sz w:val="24"/>
          <w:szCs w:val="24"/>
        </w:rPr>
        <w:t>三、合同价格</w:t>
      </w:r>
      <w:bookmarkEnd w:id="106"/>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5177"/>
      <w:bookmarkStart w:id="109"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w:t>
      </w:r>
      <w:r>
        <w:rPr>
          <w:rFonts w:hint="eastAsia" w:ascii="方正仿宋_GBK" w:hAnsi="宋体" w:eastAsia="方正仿宋_GBK" w:cs="Times New Roman"/>
          <w:color w:val="auto"/>
          <w:sz w:val="24"/>
          <w:szCs w:val="24"/>
          <w:lang w:val="en-US" w:eastAsia="zh-CN"/>
        </w:rPr>
        <w:t>总价</w:t>
      </w:r>
      <w:r>
        <w:rPr>
          <w:rFonts w:hint="eastAsia" w:ascii="方正仿宋_GBK" w:hAnsi="宋体" w:eastAsia="方正仿宋_GBK" w:cs="Times New Roman"/>
          <w:color w:val="auto"/>
          <w:sz w:val="24"/>
          <w:szCs w:val="24"/>
        </w:rPr>
        <w:t>。</w:t>
      </w:r>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3890"/>
      <w:r>
        <w:rPr>
          <w:rFonts w:hint="eastAsia" w:ascii="方正仿宋_GBK" w:hAnsi="宋体" w:eastAsia="方正仿宋_GBK" w:cs="Times New Roman"/>
          <w:color w:val="auto"/>
          <w:sz w:val="24"/>
          <w:szCs w:val="24"/>
        </w:rPr>
        <w:t>（二）合同价格包含但不限</w:t>
      </w:r>
      <w:r>
        <w:rPr>
          <w:rFonts w:hint="eastAsia" w:ascii="方正仿宋_GBK" w:hAnsi="宋体" w:eastAsia="方正仿宋_GBK" w:cs="Times New Roman"/>
          <w:color w:val="auto"/>
          <w:sz w:val="24"/>
          <w:szCs w:val="24"/>
          <w:lang w:eastAsia="zh-CN"/>
        </w:rPr>
        <w:t>人检测费、保险费等各项费用，</w:t>
      </w:r>
      <w:r>
        <w:rPr>
          <w:rFonts w:hint="eastAsia" w:ascii="方正仿宋_GBK" w:hAnsi="宋体" w:eastAsia="方正仿宋_GBK" w:cs="Times New Roman"/>
          <w:color w:val="auto"/>
          <w:sz w:val="24"/>
          <w:szCs w:val="24"/>
        </w:rPr>
        <w:t>所有税费由乙方负担。</w:t>
      </w:r>
      <w:bookmarkEnd w:id="110"/>
    </w:p>
    <w:p>
      <w:pPr>
        <w:pStyle w:val="3"/>
        <w:spacing w:line="240" w:lineRule="auto"/>
        <w:rPr>
          <w:rFonts w:hint="eastAsia" w:ascii="微软雅黑" w:hAnsi="微软雅黑" w:eastAsia="微软雅黑" w:cs="微软雅黑"/>
          <w:color w:val="auto"/>
          <w:sz w:val="24"/>
          <w:szCs w:val="24"/>
        </w:rPr>
      </w:pPr>
      <w:bookmarkStart w:id="111" w:name="_Toc24410"/>
      <w:r>
        <w:rPr>
          <w:rFonts w:hint="eastAsia" w:ascii="微软雅黑" w:hAnsi="微软雅黑" w:eastAsia="微软雅黑" w:cs="微软雅黑"/>
          <w:color w:val="auto"/>
          <w:sz w:val="24"/>
          <w:szCs w:val="24"/>
        </w:rPr>
        <w:t>四、转包或分包</w:t>
      </w:r>
      <w:bookmarkEnd w:id="109"/>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4"/>
    </w:p>
    <w:p>
      <w:pPr>
        <w:pStyle w:val="3"/>
        <w:spacing w:line="240" w:lineRule="auto"/>
        <w:rPr>
          <w:rFonts w:hint="eastAsia" w:ascii="微软雅黑" w:hAnsi="微软雅黑" w:eastAsia="微软雅黑" w:cs="微软雅黑"/>
          <w:color w:val="auto"/>
          <w:sz w:val="24"/>
          <w:szCs w:val="24"/>
        </w:rPr>
      </w:pPr>
      <w:bookmarkStart w:id="115" w:name="_Toc54718206"/>
      <w:bookmarkStart w:id="116" w:name="_Toc2241"/>
      <w:r>
        <w:rPr>
          <w:rFonts w:hint="eastAsia" w:ascii="微软雅黑" w:hAnsi="微软雅黑" w:eastAsia="微软雅黑" w:cs="微软雅黑"/>
          <w:color w:val="auto"/>
          <w:sz w:val="24"/>
          <w:szCs w:val="24"/>
        </w:rPr>
        <w:t>五、质量保证及售后服务</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7" w:name="_Toc12985"/>
      <w:bookmarkStart w:id="118"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7"/>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8"/>
    </w:p>
    <w:p>
      <w:pPr>
        <w:pStyle w:val="3"/>
        <w:spacing w:line="240" w:lineRule="auto"/>
        <w:rPr>
          <w:rFonts w:hint="eastAsia" w:ascii="微软雅黑" w:hAnsi="微软雅黑" w:eastAsia="微软雅黑" w:cs="微软雅黑"/>
          <w:color w:val="auto"/>
          <w:sz w:val="24"/>
          <w:szCs w:val="24"/>
        </w:rPr>
      </w:pPr>
      <w:bookmarkStart w:id="119" w:name="_Toc9053"/>
      <w:bookmarkStart w:id="120" w:name="_Toc54718207"/>
      <w:r>
        <w:rPr>
          <w:rFonts w:hint="eastAsia" w:ascii="微软雅黑" w:hAnsi="微软雅黑" w:eastAsia="微软雅黑" w:cs="微软雅黑"/>
          <w:color w:val="auto"/>
          <w:sz w:val="24"/>
          <w:szCs w:val="24"/>
        </w:rPr>
        <w:t>六、付款</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3183"/>
      <w:r>
        <w:rPr>
          <w:rFonts w:hint="eastAsia" w:ascii="方正仿宋_GBK" w:hAnsi="宋体" w:eastAsia="方正仿宋_GBK" w:cs="Times New Roman"/>
          <w:color w:val="auto"/>
          <w:sz w:val="24"/>
          <w:szCs w:val="24"/>
        </w:rPr>
        <w:t>（一）本合同使用货币币制如未作特别说明均为人民币。</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8880"/>
      <w:r>
        <w:rPr>
          <w:rFonts w:hint="eastAsia" w:ascii="方正仿宋_GBK" w:hAnsi="宋体" w:eastAsia="方正仿宋_GBK" w:cs="Times New Roman"/>
          <w:color w:val="auto"/>
          <w:sz w:val="24"/>
          <w:szCs w:val="24"/>
        </w:rPr>
        <w:t>（二）付款方式：银行转账。</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3"/>
    </w:p>
    <w:p>
      <w:pPr>
        <w:pStyle w:val="3"/>
        <w:spacing w:line="240" w:lineRule="auto"/>
        <w:rPr>
          <w:rFonts w:hint="eastAsia" w:ascii="微软雅黑" w:hAnsi="微软雅黑" w:eastAsia="微软雅黑" w:cs="微软雅黑"/>
          <w:color w:val="auto"/>
          <w:sz w:val="24"/>
          <w:szCs w:val="24"/>
        </w:rPr>
      </w:pPr>
      <w:bookmarkStart w:id="124" w:name="_Toc54718211"/>
      <w:bookmarkStart w:id="125"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4"/>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5382"/>
      <w:r>
        <w:rPr>
          <w:rFonts w:hint="eastAsia" w:ascii="方正仿宋_GBK" w:hAnsi="宋体" w:eastAsia="方正仿宋_GBK" w:cs="Times New Roman"/>
          <w:color w:val="auto"/>
          <w:sz w:val="24"/>
          <w:szCs w:val="24"/>
        </w:rPr>
        <w:t>（一）当事人友好协商达成一致</w:t>
      </w:r>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29926"/>
      <w:r>
        <w:rPr>
          <w:rFonts w:hint="eastAsia" w:ascii="方正仿宋_GBK" w:hAnsi="宋体" w:eastAsia="方正仿宋_GBK" w:cs="Times New Roman"/>
          <w:color w:val="auto"/>
          <w:sz w:val="24"/>
          <w:szCs w:val="24"/>
        </w:rPr>
        <w:t>（二）</w:t>
      </w:r>
      <w:bookmarkEnd w:id="127"/>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rPr>
          <w:rFonts w:hint="eastAsia" w:ascii="方正仿宋_GBK" w:hAnsi="宋体" w:eastAsia="方正仿宋_GBK"/>
          <w:b/>
          <w:bCs/>
          <w:color w:val="auto"/>
          <w:sz w:val="24"/>
          <w:szCs w:val="24"/>
        </w:rPr>
      </w:pPr>
      <w:bookmarkStart w:id="128" w:name="_Toc26580"/>
      <w:bookmarkStart w:id="129" w:name="_Toc54718212"/>
      <w:r>
        <w:rPr>
          <w:rFonts w:hint="eastAsia" w:ascii="方正仿宋_GBK" w:hAnsi="宋体" w:eastAsia="方正仿宋_GBK"/>
          <w:b/>
          <w:bCs/>
          <w:color w:val="auto"/>
          <w:sz w:val="24"/>
          <w:szCs w:val="24"/>
        </w:rPr>
        <w:t>八、索赔</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供方对货物与合同要求不符负有责任，并且需方已于规定交货内和质量保证期内提出索赔，供方应按需方同意的下述一种或多种方法解决索赔事宜。</w:t>
      </w:r>
    </w:p>
    <w:p>
      <w:pPr>
        <w:snapToGrid w:val="0"/>
        <w:spacing w:line="400" w:lineRule="exact"/>
        <w:ind w:firstLine="480" w:firstLineChars="200"/>
        <w:rPr>
          <w:rFonts w:hint="eastAsia" w:ascii="方正仿宋_GBK" w:hAnsi="宋体" w:eastAsia="方正仿宋_GBK"/>
          <w:color w:val="auto"/>
          <w:sz w:val="24"/>
          <w:szCs w:val="24"/>
        </w:rPr>
      </w:pPr>
      <w:bookmarkStart w:id="130" w:name="_Toc2616"/>
      <w:r>
        <w:rPr>
          <w:rFonts w:hint="eastAsia" w:ascii="方正仿宋_GBK" w:hAnsi="宋体" w:eastAsia="方正仿宋_GBK"/>
          <w:color w:val="auto"/>
          <w:sz w:val="24"/>
          <w:szCs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0"/>
    </w:p>
    <w:p>
      <w:pPr>
        <w:snapToGrid w:val="0"/>
        <w:spacing w:line="400" w:lineRule="exact"/>
        <w:ind w:firstLine="480" w:firstLineChars="200"/>
        <w:outlineLvl w:val="1"/>
        <w:rPr>
          <w:rFonts w:hint="eastAsia" w:ascii="方正仿宋_GBK" w:hAnsi="宋体" w:eastAsia="方正仿宋_GBK"/>
          <w:b/>
          <w:bCs/>
          <w:color w:val="auto"/>
          <w:sz w:val="24"/>
          <w:szCs w:val="24"/>
        </w:rPr>
      </w:pPr>
      <w:bookmarkStart w:id="131" w:name="_Toc32371"/>
      <w:r>
        <w:rPr>
          <w:rFonts w:hint="eastAsia" w:ascii="方正仿宋_GBK" w:hAnsi="宋体" w:eastAsia="方正仿宋_GBK"/>
          <w:color w:val="auto"/>
          <w:sz w:val="24"/>
          <w:szCs w:val="24"/>
        </w:rPr>
        <w:t>（二）根据货物的疵劣和受损程度以及需方遭受损失的金额，经双方同意降低货物价格。</w:t>
      </w:r>
      <w:bookmarkEnd w:id="131"/>
    </w:p>
    <w:p>
      <w:pPr>
        <w:snapToGrid w:val="0"/>
        <w:spacing w:line="400" w:lineRule="exact"/>
        <w:outlineLvl w:val="1"/>
        <w:rPr>
          <w:rFonts w:hint="eastAsia" w:ascii="方正仿宋_GBK" w:hAnsi="宋体" w:eastAsia="方正仿宋_GBK"/>
          <w:b/>
          <w:bCs/>
          <w:color w:val="auto"/>
          <w:sz w:val="24"/>
          <w:szCs w:val="24"/>
        </w:rPr>
      </w:pPr>
      <w:bookmarkStart w:id="132" w:name="_Toc54718210"/>
      <w:bookmarkStart w:id="133" w:name="_Toc31719"/>
      <w:r>
        <w:rPr>
          <w:rFonts w:hint="eastAsia" w:ascii="方正仿宋_GBK" w:hAnsi="宋体" w:eastAsia="方正仿宋_GBK"/>
          <w:b/>
          <w:bCs/>
          <w:color w:val="auto"/>
          <w:sz w:val="24"/>
          <w:szCs w:val="24"/>
        </w:rPr>
        <w:t>九、知识产权</w:t>
      </w:r>
      <w:bookmarkEnd w:id="132"/>
      <w:bookmarkEnd w:id="133"/>
    </w:p>
    <w:p>
      <w:pPr>
        <w:snapToGrid w:val="0"/>
        <w:spacing w:line="400" w:lineRule="exact"/>
        <w:ind w:firstLine="480" w:firstLineChars="200"/>
        <w:rPr>
          <w:rFonts w:hint="eastAsia" w:ascii="方正仿宋_GBK" w:hAnsi="宋体" w:eastAsia="方正仿宋_GBK"/>
          <w:color w:val="auto"/>
          <w:sz w:val="24"/>
          <w:szCs w:val="24"/>
        </w:rPr>
      </w:pPr>
      <w:bookmarkStart w:id="134"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4"/>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35" w:name="_Toc17287"/>
      <w:r>
        <w:rPr>
          <w:rFonts w:hint="eastAsia" w:ascii="方正仿宋_GBK" w:hAnsi="宋体" w:eastAsia="方正仿宋_GBK"/>
          <w:color w:val="auto"/>
          <w:sz w:val="24"/>
          <w:szCs w:val="24"/>
        </w:rPr>
        <w:t>（二）若涉及软件开发等服务类项目知识产权的，知识产权归医院所有。</w:t>
      </w:r>
      <w:bookmarkEnd w:id="135"/>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、违约责任</w:t>
      </w:r>
      <w:bookmarkEnd w:id="128"/>
      <w:bookmarkEnd w:id="12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6"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7" w:name="_Toc16142"/>
      <w:r>
        <w:rPr>
          <w:rFonts w:hint="eastAsia" w:ascii="微软雅黑" w:hAnsi="微软雅黑" w:eastAsia="微软雅黑" w:cs="微软雅黑"/>
          <w:color w:val="auto"/>
          <w:sz w:val="24"/>
          <w:szCs w:val="24"/>
          <w:lang w:eastAsia="zh-CN"/>
        </w:rPr>
        <w:t>十一</w:t>
      </w:r>
      <w:r>
        <w:rPr>
          <w:rFonts w:hint="eastAsia" w:ascii="微软雅黑" w:hAnsi="微软雅黑" w:eastAsia="微软雅黑" w:cs="微软雅黑"/>
          <w:color w:val="auto"/>
          <w:sz w:val="24"/>
          <w:szCs w:val="24"/>
        </w:rPr>
        <w:t>、合同生效及其它</w:t>
      </w:r>
      <w:bookmarkEnd w:id="136"/>
      <w:bookmarkEnd w:id="137"/>
    </w:p>
    <w:p>
      <w:pPr>
        <w:snapToGrid w:val="0"/>
        <w:spacing w:line="400" w:lineRule="exact"/>
        <w:ind w:firstLine="480" w:firstLineChars="200"/>
        <w:jc w:val="left"/>
        <w:rPr>
          <w:rFonts w:ascii="方正仿宋_GBK" w:hAnsi="宋体" w:eastAsia="方正仿宋_GBK" w:cs="Times New Roman"/>
          <w:color w:val="auto"/>
          <w:sz w:val="24"/>
          <w:szCs w:val="24"/>
        </w:rPr>
      </w:pPr>
      <w:bookmarkStart w:id="138" w:name="_Toc7071"/>
      <w:r>
        <w:rPr>
          <w:rFonts w:hint="eastAsia" w:ascii="方正仿宋_GBK" w:hAnsi="宋体" w:eastAsia="方正仿宋_GBK" w:cs="Times New Roman"/>
          <w:color w:val="auto"/>
          <w:sz w:val="24"/>
          <w:szCs w:val="24"/>
        </w:rPr>
        <w:t>（一）合同生效及其效力应符合《中华人民共和国民法典》有关规定。</w:t>
      </w:r>
      <w:bookmarkEnd w:id="138"/>
    </w:p>
    <w:p>
      <w:pPr>
        <w:snapToGrid w:val="0"/>
        <w:spacing w:line="400" w:lineRule="exact"/>
        <w:ind w:firstLine="480" w:firstLineChars="200"/>
        <w:jc w:val="left"/>
        <w:rPr>
          <w:rFonts w:ascii="方正仿宋_GBK" w:hAnsi="宋体" w:eastAsia="方正仿宋_GBK" w:cs="Times New Roman"/>
          <w:color w:val="auto"/>
          <w:sz w:val="24"/>
          <w:szCs w:val="24"/>
        </w:rPr>
      </w:pPr>
      <w:bookmarkStart w:id="139"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28233"/>
      <w:r>
        <w:rPr>
          <w:rFonts w:hint="eastAsia" w:ascii="方正仿宋_GBK" w:hAnsi="宋体" w:eastAsia="方正仿宋_GBK" w:cs="Times New Roman"/>
          <w:color w:val="auto"/>
          <w:sz w:val="24"/>
          <w:szCs w:val="24"/>
        </w:rPr>
        <w:t>（四）合同需提供担保的，按《中华人民共和国担保法》规定执行。</w:t>
      </w:r>
      <w:bookmarkEnd w:id="141"/>
    </w:p>
    <w:p>
      <w:pPr>
        <w:snapToGrid w:val="0"/>
        <w:spacing w:line="400" w:lineRule="exact"/>
        <w:ind w:firstLine="480" w:firstLineChars="200"/>
        <w:jc w:val="left"/>
        <w:rPr>
          <w:rFonts w:ascii="方正仿宋_GBK" w:hAnsi="宋体" w:eastAsia="方正仿宋_GBK" w:cs="Times New Roman"/>
          <w:color w:val="auto"/>
          <w:sz w:val="24"/>
          <w:szCs w:val="24"/>
        </w:rPr>
      </w:pPr>
      <w:bookmarkStart w:id="142"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42"/>
    </w:p>
    <w:bookmarkEnd w:id="94"/>
    <w:bookmarkEnd w:id="95"/>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43" w:name="_Hlt41879464"/>
      <w:bookmarkEnd w:id="143"/>
      <w:bookmarkStart w:id="144" w:name="_Toc12789072"/>
      <w:bookmarkStart w:id="145" w:name="_Toc485108795"/>
      <w:bookmarkStart w:id="146" w:name="_Toc13696"/>
      <w:r>
        <w:rPr>
          <w:rFonts w:hint="eastAsia" w:ascii="微软雅黑" w:hAnsi="微软雅黑" w:eastAsia="微软雅黑" w:cs="微软雅黑"/>
          <w:b/>
          <w:color w:val="auto"/>
          <w:sz w:val="36"/>
          <w:szCs w:val="36"/>
        </w:rPr>
        <w:t>第六篇  响应文件格式要求</w:t>
      </w:r>
      <w:bookmarkEnd w:id="144"/>
      <w:bookmarkEnd w:id="145"/>
      <w:bookmarkEnd w:id="146"/>
    </w:p>
    <w:p>
      <w:pPr>
        <w:pStyle w:val="3"/>
        <w:spacing w:line="240" w:lineRule="auto"/>
        <w:rPr>
          <w:rFonts w:hint="eastAsia" w:ascii="微软雅黑" w:hAnsi="微软雅黑" w:eastAsia="微软雅黑" w:cs="微软雅黑"/>
          <w:color w:val="auto"/>
          <w:sz w:val="24"/>
          <w:szCs w:val="24"/>
        </w:rPr>
      </w:pPr>
      <w:bookmarkStart w:id="147" w:name="_Toc27382"/>
      <w:r>
        <w:rPr>
          <w:rFonts w:hint="eastAsia" w:ascii="微软雅黑" w:hAnsi="微软雅黑" w:eastAsia="微软雅黑" w:cs="微软雅黑"/>
          <w:color w:val="auto"/>
          <w:sz w:val="24"/>
          <w:szCs w:val="24"/>
        </w:rPr>
        <w:t>一、经济部分</w:t>
      </w:r>
      <w:bookmarkEnd w:id="14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8" w:name="_Toc6305"/>
      <w:r>
        <w:rPr>
          <w:rFonts w:hint="eastAsia" w:ascii="微软雅黑" w:hAnsi="微软雅黑" w:eastAsia="微软雅黑" w:cs="微软雅黑"/>
          <w:color w:val="auto"/>
          <w:sz w:val="24"/>
          <w:szCs w:val="24"/>
        </w:rPr>
        <w:t>二、服务部分</w:t>
      </w:r>
      <w:bookmarkEnd w:id="148"/>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9" w:name="_Toc7207"/>
      <w:r>
        <w:rPr>
          <w:rFonts w:hint="eastAsia" w:ascii="微软雅黑" w:hAnsi="微软雅黑" w:eastAsia="微软雅黑" w:cs="微软雅黑"/>
          <w:color w:val="auto"/>
          <w:sz w:val="24"/>
          <w:szCs w:val="24"/>
        </w:rPr>
        <w:t>三、商务部分</w:t>
      </w:r>
      <w:bookmarkEnd w:id="149"/>
    </w:p>
    <w:p>
      <w:pPr>
        <w:snapToGrid w:val="0"/>
        <w:spacing w:line="360" w:lineRule="auto"/>
        <w:ind w:firstLine="480" w:firstLineChars="200"/>
        <w:rPr>
          <w:rFonts w:hint="eastAsia" w:ascii="微软雅黑" w:hAnsi="微软雅黑" w:eastAsia="微软雅黑" w:cs="微软雅黑"/>
          <w:color w:val="auto"/>
          <w:sz w:val="24"/>
          <w:szCs w:val="24"/>
        </w:rPr>
      </w:pPr>
      <w:bookmarkStart w:id="150" w:name="_Toc38358147"/>
      <w:bookmarkStart w:id="151" w:name="OLE_LINK11"/>
      <w:bookmarkStart w:id="152" w:name="OLE_LINK10"/>
      <w:r>
        <w:rPr>
          <w:rFonts w:hint="eastAsia" w:ascii="微软雅黑" w:hAnsi="微软雅黑" w:eastAsia="微软雅黑" w:cs="微软雅黑"/>
          <w:color w:val="auto"/>
          <w:sz w:val="24"/>
          <w:szCs w:val="24"/>
        </w:rPr>
        <w:t>（一）按照“第四篇  项目商务需求”提供相应资料</w:t>
      </w:r>
      <w:bookmarkEnd w:id="150"/>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53" w:name="_Toc18417"/>
      <w:r>
        <w:rPr>
          <w:rFonts w:hint="eastAsia" w:ascii="微软雅黑" w:hAnsi="微软雅黑" w:eastAsia="微软雅黑" w:cs="微软雅黑"/>
          <w:color w:val="auto"/>
          <w:sz w:val="24"/>
          <w:szCs w:val="24"/>
        </w:rPr>
        <w:t>四、资格条件及其他</w:t>
      </w:r>
      <w:bookmarkEnd w:id="153"/>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54" w:name="_Toc19884"/>
      <w:r>
        <w:rPr>
          <w:rFonts w:hint="eastAsia" w:ascii="微软雅黑" w:hAnsi="微软雅黑" w:eastAsia="微软雅黑" w:cs="微软雅黑"/>
          <w:color w:val="auto"/>
          <w:sz w:val="24"/>
          <w:szCs w:val="24"/>
        </w:rPr>
        <w:t>五、其他应提供的资料</w:t>
      </w:r>
      <w:bookmarkEnd w:id="154"/>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51"/>
    <w:bookmarkEnd w:id="152"/>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5" w:name="_Toc480979018"/>
      <w:bookmarkStart w:id="156" w:name="_Toc342913419"/>
      <w:bookmarkStart w:id="157" w:name="_Toc485108796"/>
      <w:bookmarkStart w:id="158" w:name="_Toc313888360"/>
      <w:bookmarkStart w:id="159" w:name="_Toc313008356"/>
      <w:bookmarkStart w:id="160" w:name="_Toc283382454"/>
      <w:bookmarkStart w:id="161" w:name="_Toc12789073"/>
      <w:r>
        <w:rPr>
          <w:rFonts w:hint="eastAsia"/>
          <w:b/>
          <w:color w:val="auto"/>
        </w:rPr>
        <w:t>经济部分</w:t>
      </w:r>
      <w:bookmarkEnd w:id="155"/>
      <w:bookmarkEnd w:id="156"/>
      <w:bookmarkEnd w:id="157"/>
      <w:bookmarkEnd w:id="158"/>
      <w:bookmarkEnd w:id="159"/>
    </w:p>
    <w:p>
      <w:pPr>
        <w:pStyle w:val="180"/>
        <w:ind w:left="450" w:firstLine="0" w:firstLineChars="0"/>
        <w:rPr>
          <w:b/>
          <w:color w:val="auto"/>
        </w:rPr>
      </w:pPr>
    </w:p>
    <w:bookmarkEnd w:id="160"/>
    <w:bookmarkEnd w:id="161"/>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防雷装置安全检测服务</w:t>
      </w:r>
    </w:p>
    <w:tbl>
      <w:tblPr>
        <w:tblStyle w:val="58"/>
        <w:tblW w:w="9716"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4440"/>
        <w:gridCol w:w="1371"/>
        <w:gridCol w:w="127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568" w:type="dxa"/>
            <w:vAlign w:val="center"/>
          </w:tcPr>
          <w:p>
            <w:pPr>
              <w:pStyle w:val="51"/>
              <w:spacing w:before="0" w:beforeAutospacing="0" w:after="0" w:afterAutospacing="0" w:line="440" w:lineRule="exact"/>
              <w:jc w:val="center"/>
            </w:pPr>
            <w:r>
              <w:rPr>
                <w:rFonts w:hint="eastAsia"/>
              </w:rPr>
              <w:t>检测位置</w:t>
            </w:r>
          </w:p>
        </w:tc>
        <w:tc>
          <w:tcPr>
            <w:tcW w:w="4440" w:type="dxa"/>
            <w:vAlign w:val="center"/>
          </w:tcPr>
          <w:p>
            <w:pPr>
              <w:pStyle w:val="51"/>
              <w:spacing w:before="0" w:beforeAutospacing="0" w:after="0" w:afterAutospacing="0" w:line="440" w:lineRule="exact"/>
              <w:jc w:val="center"/>
            </w:pPr>
            <w:r>
              <w:rPr>
                <w:rFonts w:hint="eastAsia"/>
              </w:rPr>
              <w:t>检测项目</w:t>
            </w:r>
          </w:p>
        </w:tc>
        <w:tc>
          <w:tcPr>
            <w:tcW w:w="1371" w:type="dxa"/>
            <w:vAlign w:val="center"/>
          </w:tcPr>
          <w:p>
            <w:pPr>
              <w:pStyle w:val="51"/>
              <w:spacing w:before="0" w:beforeAutospacing="0" w:after="0" w:afterAutospacing="0" w:line="440" w:lineRule="exact"/>
              <w:jc w:val="center"/>
            </w:pPr>
            <w:r>
              <w:rPr>
                <w:rFonts w:hint="eastAsia"/>
              </w:rPr>
              <w:t>检测点数</w:t>
            </w:r>
          </w:p>
        </w:tc>
        <w:tc>
          <w:tcPr>
            <w:tcW w:w="1276" w:type="dxa"/>
            <w:vAlign w:val="center"/>
          </w:tcPr>
          <w:p>
            <w:pPr>
              <w:pStyle w:val="51"/>
              <w:spacing w:before="0" w:beforeAutospacing="0" w:after="0" w:afterAutospacing="0" w:line="440" w:lineRule="exact"/>
              <w:jc w:val="center"/>
            </w:pPr>
            <w:r>
              <w:rPr>
                <w:rFonts w:hint="eastAsia"/>
              </w:rPr>
              <w:t>单价（元）</w:t>
            </w:r>
          </w:p>
        </w:tc>
        <w:tc>
          <w:tcPr>
            <w:tcW w:w="1061" w:type="dxa"/>
            <w:vAlign w:val="center"/>
          </w:tcPr>
          <w:p>
            <w:pPr>
              <w:pStyle w:val="51"/>
              <w:spacing w:before="0" w:beforeAutospacing="0" w:after="0" w:afterAutospacing="0" w:line="440" w:lineRule="exact"/>
              <w:jc w:val="center"/>
            </w:pPr>
            <w:r>
              <w:rPr>
                <w:rFonts w:hint="eastAsia"/>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1号楼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30</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总配电室、水管控制室设备</w:t>
            </w:r>
          </w:p>
        </w:tc>
        <w:tc>
          <w:tcPr>
            <w:tcW w:w="1371" w:type="dxa"/>
            <w:vAlign w:val="center"/>
          </w:tcPr>
          <w:p>
            <w:pPr>
              <w:pStyle w:val="51"/>
              <w:spacing w:before="0" w:beforeAutospacing="0" w:after="0" w:afterAutospacing="0" w:line="440" w:lineRule="exact"/>
              <w:jc w:val="center"/>
            </w:pPr>
            <w:r>
              <w:rPr>
                <w:rFonts w:hint="eastAsia"/>
              </w:rPr>
              <w:t>20</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消防控制室</w:t>
            </w:r>
          </w:p>
        </w:tc>
        <w:tc>
          <w:tcPr>
            <w:tcW w:w="1371" w:type="dxa"/>
            <w:vAlign w:val="center"/>
          </w:tcPr>
          <w:p>
            <w:pPr>
              <w:pStyle w:val="51"/>
              <w:spacing w:before="0" w:beforeAutospacing="0" w:after="0" w:afterAutospacing="0" w:line="440" w:lineRule="exact"/>
              <w:jc w:val="center"/>
            </w:pPr>
            <w:r>
              <w:rPr>
                <w:rFonts w:hint="eastAsia"/>
              </w:rPr>
              <w:t>5</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2号楼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45</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3号楼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12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4号楼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12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5号楼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12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6号楼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12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7号楼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12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8号楼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12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教学部教学楼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3</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1</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保健所宿舍楼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3</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1</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教学部宿舍楼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3</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1</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568" w:type="dxa"/>
            <w:vMerge w:val="restart"/>
            <w:vAlign w:val="center"/>
          </w:tcPr>
          <w:p>
            <w:pPr>
              <w:pStyle w:val="51"/>
              <w:spacing w:before="0" w:beforeAutospacing="0" w:after="0" w:afterAutospacing="0" w:line="440" w:lineRule="exact"/>
              <w:jc w:val="center"/>
            </w:pPr>
            <w:r>
              <w:rPr>
                <w:rFonts w:hint="eastAsia"/>
              </w:rPr>
              <w:t>家属区2-14栋、单身宿舍</w:t>
            </w:r>
          </w:p>
        </w:tc>
        <w:tc>
          <w:tcPr>
            <w:tcW w:w="4440" w:type="dxa"/>
            <w:vAlign w:val="center"/>
          </w:tcPr>
          <w:p>
            <w:pPr>
              <w:pStyle w:val="51"/>
              <w:spacing w:before="0" w:beforeAutospacing="0" w:after="0" w:afterAutospacing="0" w:line="440" w:lineRule="exact"/>
              <w:jc w:val="center"/>
            </w:pPr>
            <w:r>
              <w:rPr>
                <w:rFonts w:hint="eastAsia"/>
              </w:rPr>
              <w:t>接闪器、引下线、接地装置</w:t>
            </w:r>
          </w:p>
        </w:tc>
        <w:tc>
          <w:tcPr>
            <w:tcW w:w="1371" w:type="dxa"/>
            <w:vAlign w:val="center"/>
          </w:tcPr>
          <w:p>
            <w:pPr>
              <w:pStyle w:val="51"/>
              <w:spacing w:before="0" w:beforeAutospacing="0" w:after="0" w:afterAutospacing="0" w:line="440" w:lineRule="exact"/>
              <w:jc w:val="center"/>
            </w:pPr>
            <w:r>
              <w:rPr>
                <w:rFonts w:hint="eastAsia"/>
              </w:rPr>
              <w:t>24</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24</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Align w:val="center"/>
          </w:tcPr>
          <w:p>
            <w:pPr>
              <w:pStyle w:val="51"/>
              <w:spacing w:before="0" w:beforeAutospacing="0" w:after="0" w:afterAutospacing="0" w:line="440" w:lineRule="exact"/>
              <w:jc w:val="center"/>
            </w:pPr>
            <w:r>
              <w:rPr>
                <w:rFonts w:hint="eastAsia"/>
              </w:rPr>
              <w:t>锅炉房</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3</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Align w:val="center"/>
          </w:tcPr>
          <w:p>
            <w:pPr>
              <w:pStyle w:val="51"/>
              <w:spacing w:before="0" w:beforeAutospacing="0" w:after="0" w:afterAutospacing="0" w:line="440" w:lineRule="exact"/>
              <w:jc w:val="center"/>
            </w:pPr>
            <w:r>
              <w:rPr>
                <w:rFonts w:hint="eastAsia"/>
              </w:rPr>
              <w:t>医疗废物暂存间</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1</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护理学院1号楼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以实际数量为准</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以实际数量为准</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护理学院2号楼</w:t>
            </w:r>
          </w:p>
        </w:tc>
        <w:tc>
          <w:tcPr>
            <w:tcW w:w="4440" w:type="dxa"/>
            <w:vAlign w:val="center"/>
          </w:tcPr>
          <w:p>
            <w:pPr>
              <w:pStyle w:val="51"/>
              <w:spacing w:before="0" w:beforeAutospacing="0" w:after="0" w:afterAutospacing="0" w:line="440" w:lineRule="exact"/>
              <w:jc w:val="center"/>
            </w:pPr>
            <w:r>
              <w:rPr>
                <w:rFonts w:hint="eastAsia"/>
              </w:rPr>
              <w:t>接闪器、引下线、接地装置、电涌保护器</w:t>
            </w:r>
          </w:p>
        </w:tc>
        <w:tc>
          <w:tcPr>
            <w:tcW w:w="1371" w:type="dxa"/>
            <w:vAlign w:val="center"/>
          </w:tcPr>
          <w:p>
            <w:pPr>
              <w:pStyle w:val="51"/>
              <w:spacing w:before="0" w:beforeAutospacing="0" w:after="0" w:afterAutospacing="0" w:line="440" w:lineRule="exact"/>
              <w:jc w:val="center"/>
            </w:pPr>
            <w:r>
              <w:rPr>
                <w:rFonts w:hint="eastAsia"/>
              </w:rPr>
              <w:t>以实际数量为准</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配电箱</w:t>
            </w:r>
          </w:p>
        </w:tc>
        <w:tc>
          <w:tcPr>
            <w:tcW w:w="1371" w:type="dxa"/>
            <w:vAlign w:val="center"/>
          </w:tcPr>
          <w:p>
            <w:pPr>
              <w:pStyle w:val="51"/>
              <w:spacing w:before="0" w:beforeAutospacing="0" w:after="0" w:afterAutospacing="0" w:line="440" w:lineRule="exact"/>
              <w:jc w:val="center"/>
            </w:pPr>
            <w:r>
              <w:rPr>
                <w:rFonts w:hint="eastAsia"/>
              </w:rPr>
              <w:t>以实际数量为准</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restart"/>
            <w:vAlign w:val="center"/>
          </w:tcPr>
          <w:p>
            <w:pPr>
              <w:pStyle w:val="51"/>
              <w:spacing w:before="0" w:beforeAutospacing="0" w:after="0" w:afterAutospacing="0" w:line="440" w:lineRule="exact"/>
              <w:jc w:val="center"/>
            </w:pPr>
            <w:r>
              <w:rPr>
                <w:rFonts w:hint="eastAsia"/>
              </w:rPr>
              <w:t>设备接地</w:t>
            </w:r>
          </w:p>
        </w:tc>
        <w:tc>
          <w:tcPr>
            <w:tcW w:w="4440" w:type="dxa"/>
            <w:vAlign w:val="center"/>
          </w:tcPr>
          <w:p>
            <w:pPr>
              <w:pStyle w:val="51"/>
              <w:spacing w:before="0" w:beforeAutospacing="0" w:after="0" w:afterAutospacing="0" w:line="440" w:lineRule="exact"/>
              <w:jc w:val="center"/>
            </w:pPr>
            <w:r>
              <w:rPr>
                <w:rFonts w:hint="eastAsia"/>
              </w:rPr>
              <w:t>1号楼供应室</w:t>
            </w:r>
          </w:p>
        </w:tc>
        <w:tc>
          <w:tcPr>
            <w:tcW w:w="1371" w:type="dxa"/>
            <w:vAlign w:val="center"/>
          </w:tcPr>
          <w:p>
            <w:pPr>
              <w:pStyle w:val="51"/>
              <w:spacing w:before="0" w:beforeAutospacing="0" w:after="0" w:afterAutospacing="0" w:line="440" w:lineRule="exact"/>
              <w:jc w:val="center"/>
            </w:pPr>
            <w:r>
              <w:rPr>
                <w:rFonts w:hint="eastAsia"/>
              </w:rPr>
              <w:t>4</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1号楼4楼设备层</w:t>
            </w:r>
          </w:p>
        </w:tc>
        <w:tc>
          <w:tcPr>
            <w:tcW w:w="1371" w:type="dxa"/>
            <w:vAlign w:val="center"/>
          </w:tcPr>
          <w:p>
            <w:pPr>
              <w:pStyle w:val="51"/>
              <w:spacing w:before="0" w:beforeAutospacing="0" w:after="0" w:afterAutospacing="0" w:line="440" w:lineRule="exact"/>
              <w:jc w:val="center"/>
            </w:pPr>
            <w:r>
              <w:rPr>
                <w:rFonts w:hint="eastAsia"/>
              </w:rPr>
              <w:t>10</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1号楼手术室设备</w:t>
            </w:r>
          </w:p>
        </w:tc>
        <w:tc>
          <w:tcPr>
            <w:tcW w:w="1371" w:type="dxa"/>
            <w:vAlign w:val="center"/>
          </w:tcPr>
          <w:p>
            <w:pPr>
              <w:pStyle w:val="51"/>
              <w:spacing w:before="0" w:beforeAutospacing="0" w:after="0" w:afterAutospacing="0" w:line="440" w:lineRule="exact"/>
              <w:jc w:val="center"/>
            </w:pPr>
            <w:r>
              <w:rPr>
                <w:rFonts w:hint="eastAsia"/>
              </w:rPr>
              <w:t>以实际数量为准</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2号楼照片机</w:t>
            </w:r>
          </w:p>
        </w:tc>
        <w:tc>
          <w:tcPr>
            <w:tcW w:w="1371" w:type="dxa"/>
            <w:vAlign w:val="center"/>
          </w:tcPr>
          <w:p>
            <w:pPr>
              <w:pStyle w:val="51"/>
              <w:spacing w:before="0" w:beforeAutospacing="0" w:after="0" w:afterAutospacing="0" w:line="440" w:lineRule="exact"/>
              <w:jc w:val="center"/>
            </w:pPr>
            <w:r>
              <w:rPr>
                <w:rFonts w:hint="eastAsia"/>
              </w:rPr>
              <w:t>6</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2号楼负一楼设备</w:t>
            </w:r>
          </w:p>
        </w:tc>
        <w:tc>
          <w:tcPr>
            <w:tcW w:w="1371" w:type="dxa"/>
            <w:vAlign w:val="center"/>
          </w:tcPr>
          <w:p>
            <w:pPr>
              <w:pStyle w:val="51"/>
              <w:spacing w:before="0" w:beforeAutospacing="0" w:after="0" w:afterAutospacing="0" w:line="440" w:lineRule="exact"/>
              <w:jc w:val="center"/>
            </w:pPr>
            <w:r>
              <w:rPr>
                <w:rFonts w:hint="eastAsia"/>
              </w:rPr>
              <w:t>9</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2号楼2楼设备</w:t>
            </w:r>
          </w:p>
        </w:tc>
        <w:tc>
          <w:tcPr>
            <w:tcW w:w="1371" w:type="dxa"/>
            <w:vAlign w:val="center"/>
          </w:tcPr>
          <w:p>
            <w:pPr>
              <w:pStyle w:val="51"/>
              <w:spacing w:before="0" w:beforeAutospacing="0" w:after="0" w:afterAutospacing="0" w:line="440" w:lineRule="exact"/>
              <w:jc w:val="center"/>
            </w:pPr>
            <w:r>
              <w:rPr>
                <w:rFonts w:hint="eastAsia"/>
              </w:rPr>
              <w:t>25</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2号楼4楼设备</w:t>
            </w:r>
          </w:p>
        </w:tc>
        <w:tc>
          <w:tcPr>
            <w:tcW w:w="1371" w:type="dxa"/>
            <w:vAlign w:val="center"/>
          </w:tcPr>
          <w:p>
            <w:pPr>
              <w:pStyle w:val="51"/>
              <w:spacing w:before="0" w:beforeAutospacing="0" w:after="0" w:afterAutospacing="0" w:line="440" w:lineRule="exact"/>
              <w:jc w:val="center"/>
            </w:pPr>
            <w:r>
              <w:rPr>
                <w:rFonts w:hint="eastAsia"/>
              </w:rPr>
              <w:t>6</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3号楼设备</w:t>
            </w:r>
          </w:p>
        </w:tc>
        <w:tc>
          <w:tcPr>
            <w:tcW w:w="1371" w:type="dxa"/>
            <w:vAlign w:val="center"/>
          </w:tcPr>
          <w:p>
            <w:pPr>
              <w:pStyle w:val="51"/>
              <w:spacing w:before="0" w:beforeAutospacing="0" w:after="0" w:afterAutospacing="0" w:line="440" w:lineRule="exact"/>
              <w:jc w:val="center"/>
            </w:pPr>
            <w:r>
              <w:rPr>
                <w:rFonts w:hint="eastAsia"/>
              </w:rPr>
              <w:t>1</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4号楼设备</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锅炉房锅炉</w:t>
            </w:r>
          </w:p>
        </w:tc>
        <w:tc>
          <w:tcPr>
            <w:tcW w:w="1371" w:type="dxa"/>
            <w:vAlign w:val="center"/>
          </w:tcPr>
          <w:p>
            <w:pPr>
              <w:pStyle w:val="51"/>
              <w:spacing w:before="0" w:beforeAutospacing="0" w:after="0" w:afterAutospacing="0" w:line="440" w:lineRule="exact"/>
              <w:jc w:val="center"/>
            </w:pPr>
            <w:r>
              <w:rPr>
                <w:rFonts w:hint="eastAsia"/>
              </w:rPr>
              <w:t>4</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院区电梯</w:t>
            </w:r>
          </w:p>
        </w:tc>
        <w:tc>
          <w:tcPr>
            <w:tcW w:w="1371" w:type="dxa"/>
            <w:vAlign w:val="center"/>
          </w:tcPr>
          <w:p>
            <w:pPr>
              <w:pStyle w:val="51"/>
              <w:spacing w:before="0" w:beforeAutospacing="0" w:after="0" w:afterAutospacing="0" w:line="440" w:lineRule="exact"/>
              <w:jc w:val="center"/>
            </w:pPr>
            <w:r>
              <w:rPr>
                <w:rFonts w:hint="eastAsia"/>
              </w:rPr>
              <w:t>16</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核磁共振专用接地</w:t>
            </w:r>
          </w:p>
        </w:tc>
        <w:tc>
          <w:tcPr>
            <w:tcW w:w="1371" w:type="dxa"/>
            <w:vAlign w:val="center"/>
          </w:tcPr>
          <w:p>
            <w:pPr>
              <w:pStyle w:val="51"/>
              <w:spacing w:before="0" w:beforeAutospacing="0" w:after="0" w:afterAutospacing="0" w:line="440" w:lineRule="exact"/>
              <w:jc w:val="center"/>
            </w:pPr>
            <w:r>
              <w:rPr>
                <w:rFonts w:hint="eastAsia"/>
              </w:rPr>
              <w:t>1</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Merge w:val="continue"/>
            <w:vAlign w:val="center"/>
          </w:tcPr>
          <w:p>
            <w:pPr>
              <w:pStyle w:val="51"/>
              <w:spacing w:before="0" w:beforeAutospacing="0" w:after="0" w:afterAutospacing="0" w:line="440" w:lineRule="exact"/>
              <w:jc w:val="center"/>
            </w:pPr>
          </w:p>
        </w:tc>
        <w:tc>
          <w:tcPr>
            <w:tcW w:w="4440" w:type="dxa"/>
            <w:vAlign w:val="center"/>
          </w:tcPr>
          <w:p>
            <w:pPr>
              <w:pStyle w:val="51"/>
              <w:spacing w:before="0" w:beforeAutospacing="0" w:after="0" w:afterAutospacing="0" w:line="440" w:lineRule="exact"/>
              <w:jc w:val="center"/>
            </w:pPr>
            <w:r>
              <w:rPr>
                <w:rFonts w:hint="eastAsia"/>
              </w:rPr>
              <w:t>2号楼设备专用接地主线</w:t>
            </w:r>
          </w:p>
        </w:tc>
        <w:tc>
          <w:tcPr>
            <w:tcW w:w="1371" w:type="dxa"/>
            <w:vAlign w:val="center"/>
          </w:tcPr>
          <w:p>
            <w:pPr>
              <w:pStyle w:val="51"/>
              <w:spacing w:before="0" w:beforeAutospacing="0" w:after="0" w:afterAutospacing="0" w:line="440" w:lineRule="exact"/>
              <w:jc w:val="center"/>
            </w:pPr>
            <w:r>
              <w:rPr>
                <w:rFonts w:hint="eastAsia"/>
              </w:rPr>
              <w:t>2</w:t>
            </w:r>
          </w:p>
        </w:tc>
        <w:tc>
          <w:tcPr>
            <w:tcW w:w="1276" w:type="dxa"/>
            <w:vAlign w:val="center"/>
          </w:tcPr>
          <w:p>
            <w:pPr>
              <w:pStyle w:val="51"/>
              <w:spacing w:before="0" w:beforeAutospacing="0" w:after="0" w:afterAutospacing="0" w:line="440" w:lineRule="exact"/>
              <w:jc w:val="center"/>
            </w:pPr>
          </w:p>
        </w:tc>
        <w:tc>
          <w:tcPr>
            <w:tcW w:w="1061" w:type="dxa"/>
            <w:vAlign w:val="center"/>
          </w:tcPr>
          <w:p>
            <w:pPr>
              <w:pStyle w:val="51"/>
              <w:spacing w:before="0" w:beforeAutospacing="0" w:after="0" w:afterAutospacing="0" w:line="4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Align w:val="center"/>
          </w:tcPr>
          <w:p>
            <w:pPr>
              <w:pStyle w:val="51"/>
              <w:spacing w:before="0" w:beforeAutospacing="0" w:after="0" w:afterAutospacing="0" w:line="440" w:lineRule="exact"/>
              <w:jc w:val="center"/>
            </w:pPr>
            <w:r>
              <w:rPr>
                <w:rFonts w:hint="eastAsia"/>
              </w:rPr>
              <w:t>合计</w:t>
            </w:r>
          </w:p>
        </w:tc>
        <w:tc>
          <w:tcPr>
            <w:tcW w:w="8148" w:type="dxa"/>
            <w:gridSpan w:val="4"/>
            <w:vAlign w:val="center"/>
          </w:tcPr>
          <w:p>
            <w:pPr>
              <w:pStyle w:val="51"/>
              <w:spacing w:before="0" w:beforeAutospacing="0" w:after="0" w:afterAutospacing="0" w:line="440" w:lineRule="exact"/>
              <w:jc w:val="center"/>
            </w:pPr>
            <w:r>
              <w:rPr>
                <w:rFonts w:hint="eastAsia"/>
                <w:u w:val="single"/>
              </w:rPr>
              <w:t xml:space="preserve">         </w:t>
            </w:r>
            <w:r>
              <w:rPr>
                <w:rFonts w:hint="eastAsia"/>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68" w:type="dxa"/>
            <w:vAlign w:val="center"/>
          </w:tcPr>
          <w:p>
            <w:pPr>
              <w:pStyle w:val="51"/>
              <w:spacing w:before="0" w:beforeAutospacing="0" w:after="0" w:afterAutospacing="0" w:line="440" w:lineRule="exact"/>
              <w:jc w:val="center"/>
              <w:rPr>
                <w:rFonts w:hint="eastAsia"/>
              </w:rPr>
            </w:pPr>
            <w:r>
              <w:rPr>
                <w:rFonts w:hint="eastAsia"/>
              </w:rPr>
              <w:t>工期</w:t>
            </w:r>
          </w:p>
        </w:tc>
        <w:tc>
          <w:tcPr>
            <w:tcW w:w="8148" w:type="dxa"/>
            <w:gridSpan w:val="4"/>
            <w:vAlign w:val="center"/>
          </w:tcPr>
          <w:p>
            <w:pPr>
              <w:pStyle w:val="51"/>
              <w:spacing w:before="0" w:beforeAutospacing="0" w:after="0" w:afterAutospacing="0" w:line="440" w:lineRule="exact"/>
              <w:jc w:val="center"/>
            </w:pPr>
            <w:r>
              <w:rPr>
                <w:rFonts w:hint="eastAsia"/>
                <w:u w:val="single"/>
              </w:rPr>
              <w:t xml:space="preserve">         </w:t>
            </w:r>
            <w:r>
              <w:rPr>
                <w:rFonts w:hint="eastAsia"/>
              </w:rPr>
              <w:t xml:space="preserve"> 天</w:t>
            </w:r>
          </w:p>
        </w:tc>
      </w:tr>
    </w:tbl>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w:t>
      </w:r>
      <w:r>
        <w:rPr>
          <w:rFonts w:hint="eastAsia" w:ascii="方正仿宋_GBK" w:hAnsi="宋体" w:eastAsia="方正仿宋_GBK" w:cs="Times New Roman"/>
          <w:color w:val="auto"/>
          <w:sz w:val="24"/>
          <w:szCs w:val="28"/>
        </w:rPr>
        <w:t>投标报价为包干价，包含但不限于检测费、保险费、税费等各项费用。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62" w:name="OLE_LINK1"/>
      <w:bookmarkStart w:id="163" w:name="OLE_LINK2"/>
      <w:r>
        <w:rPr>
          <w:rFonts w:hint="eastAsia" w:ascii="方正仿宋_GBK" w:hAnsi="宋体" w:eastAsia="方正仿宋_GBK" w:cs="Times New Roman"/>
          <w:color w:val="auto"/>
          <w:sz w:val="24"/>
          <w:szCs w:val="28"/>
        </w:rPr>
        <w:t>，并逐页签字或盖章。</w:t>
      </w:r>
      <w:bookmarkEnd w:id="162"/>
      <w:bookmarkEnd w:id="163"/>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64" w:name="_Toc480979019"/>
      <w:bookmarkStart w:id="165" w:name="_Toc342913420"/>
      <w:bookmarkStart w:id="166" w:name="_Toc313888361"/>
      <w:bookmarkStart w:id="167" w:name="_Toc313008357"/>
      <w:bookmarkStart w:id="168" w:name="_Toc485108797"/>
      <w:r>
        <w:rPr>
          <w:rFonts w:hint="eastAsia"/>
          <w:b/>
          <w:color w:val="auto"/>
        </w:rPr>
        <w:t>二、服务部分</w:t>
      </w:r>
      <w:bookmarkEnd w:id="164"/>
      <w:bookmarkEnd w:id="165"/>
      <w:bookmarkEnd w:id="166"/>
      <w:bookmarkEnd w:id="167"/>
      <w:bookmarkEnd w:id="168"/>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9" w:name="_Toc342913421"/>
      <w:bookmarkStart w:id="170" w:name="_Toc480979020"/>
      <w:bookmarkStart w:id="171" w:name="_Toc313008358"/>
      <w:bookmarkStart w:id="172" w:name="_Toc313888362"/>
      <w:bookmarkStart w:id="173" w:name="_Toc485108798"/>
      <w:r>
        <w:rPr>
          <w:rFonts w:hint="eastAsia"/>
          <w:b/>
          <w:color w:val="auto"/>
        </w:rPr>
        <w:t>三、商务部分</w:t>
      </w:r>
      <w:bookmarkEnd w:id="169"/>
      <w:bookmarkEnd w:id="170"/>
      <w:bookmarkEnd w:id="171"/>
      <w:bookmarkEnd w:id="172"/>
      <w:bookmarkEnd w:id="173"/>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74"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74"/>
      <w:bookmarkStart w:id="175" w:name="_Toc313888363"/>
      <w:bookmarkStart w:id="176" w:name="_Toc342913422"/>
      <w:bookmarkStart w:id="177" w:name="_Toc313008359"/>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5"/>
      <w:bookmarkEnd w:id="176"/>
      <w:bookmarkEnd w:id="177"/>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8" w:name="OLE_LINK4"/>
      <w:bookmarkStart w:id="179"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8"/>
    <w:bookmarkEnd w:id="179"/>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4DA26C6"/>
    <w:rsid w:val="074B1659"/>
    <w:rsid w:val="07C5765D"/>
    <w:rsid w:val="07F26429"/>
    <w:rsid w:val="0ACF458A"/>
    <w:rsid w:val="0B6F68C5"/>
    <w:rsid w:val="0BDC31C7"/>
    <w:rsid w:val="0E0E625A"/>
    <w:rsid w:val="0E4D3D6E"/>
    <w:rsid w:val="0E5721EA"/>
    <w:rsid w:val="0E5A796A"/>
    <w:rsid w:val="0E9859A3"/>
    <w:rsid w:val="0FAB0EE6"/>
    <w:rsid w:val="104D689B"/>
    <w:rsid w:val="109D57E0"/>
    <w:rsid w:val="134E0964"/>
    <w:rsid w:val="14C6168E"/>
    <w:rsid w:val="18130842"/>
    <w:rsid w:val="19B7492C"/>
    <w:rsid w:val="1B925650"/>
    <w:rsid w:val="1CED540D"/>
    <w:rsid w:val="1CF736B7"/>
    <w:rsid w:val="1D632E00"/>
    <w:rsid w:val="1DD87EDC"/>
    <w:rsid w:val="1F6D6E4A"/>
    <w:rsid w:val="1FCE723D"/>
    <w:rsid w:val="204C6181"/>
    <w:rsid w:val="20FB0BC7"/>
    <w:rsid w:val="21C45BE8"/>
    <w:rsid w:val="21F678C9"/>
    <w:rsid w:val="23743B1F"/>
    <w:rsid w:val="25B67319"/>
    <w:rsid w:val="25B7688A"/>
    <w:rsid w:val="25B91E1A"/>
    <w:rsid w:val="26380176"/>
    <w:rsid w:val="271E4A07"/>
    <w:rsid w:val="275D539C"/>
    <w:rsid w:val="28CD4235"/>
    <w:rsid w:val="28E31299"/>
    <w:rsid w:val="2BBD2276"/>
    <w:rsid w:val="2F1F1F02"/>
    <w:rsid w:val="2F2348BD"/>
    <w:rsid w:val="2F6F1AD9"/>
    <w:rsid w:val="2FD06C0B"/>
    <w:rsid w:val="30A44277"/>
    <w:rsid w:val="32050A97"/>
    <w:rsid w:val="3361798A"/>
    <w:rsid w:val="35E87A5C"/>
    <w:rsid w:val="369E4A52"/>
    <w:rsid w:val="375A306E"/>
    <w:rsid w:val="38442273"/>
    <w:rsid w:val="38C010B0"/>
    <w:rsid w:val="391C67AE"/>
    <w:rsid w:val="39A3534F"/>
    <w:rsid w:val="3B30241A"/>
    <w:rsid w:val="3C4F6F1A"/>
    <w:rsid w:val="3DD60FEB"/>
    <w:rsid w:val="41007A8F"/>
    <w:rsid w:val="415869FC"/>
    <w:rsid w:val="42030507"/>
    <w:rsid w:val="461B60BF"/>
    <w:rsid w:val="475461C4"/>
    <w:rsid w:val="477A0BC3"/>
    <w:rsid w:val="492C6FBB"/>
    <w:rsid w:val="499D1F70"/>
    <w:rsid w:val="4A1025A8"/>
    <w:rsid w:val="4AD41B9B"/>
    <w:rsid w:val="4BE8259F"/>
    <w:rsid w:val="4C4E289A"/>
    <w:rsid w:val="4F2E0C11"/>
    <w:rsid w:val="514069D9"/>
    <w:rsid w:val="51D77CAA"/>
    <w:rsid w:val="52ED493F"/>
    <w:rsid w:val="55297C80"/>
    <w:rsid w:val="56FF2E93"/>
    <w:rsid w:val="58B574EB"/>
    <w:rsid w:val="593509FB"/>
    <w:rsid w:val="59E56370"/>
    <w:rsid w:val="5B3E21DC"/>
    <w:rsid w:val="5BC414F3"/>
    <w:rsid w:val="5CAE15E3"/>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C70D5C"/>
    <w:rsid w:val="6E45126B"/>
    <w:rsid w:val="6F062BB9"/>
    <w:rsid w:val="70E64A50"/>
    <w:rsid w:val="71231A63"/>
    <w:rsid w:val="73B34AD5"/>
    <w:rsid w:val="783A1618"/>
    <w:rsid w:val="788222E3"/>
    <w:rsid w:val="7908485F"/>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17186</Words>
  <Characters>17827</Characters>
  <Lines>182</Lines>
  <Paragraphs>51</Paragraphs>
  <TotalTime>1</TotalTime>
  <ScaleCrop>false</ScaleCrop>
  <LinksUpToDate>false</LinksUpToDate>
  <CharactersWithSpaces>19122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2023-03-20T03:05:29Z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D90EFDEDCD294DEAB041A069E42458C9</vt:lpwstr>
  </property>
</Properties>
</file>