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2023FW020</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消防设施改造项目</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六</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七</w:t>
      </w:r>
      <w:r>
        <w:rPr>
          <w:rFonts w:hint="eastAsia" w:ascii="微软雅黑" w:hAnsi="微软雅黑" w:eastAsia="微软雅黑" w:cs="微软雅黑"/>
          <w:color w:val="auto"/>
          <w:szCs w:val="24"/>
        </w:rPr>
        <w:t>、联系方式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1641050"/>
      <w:bookmarkStart w:id="1" w:name="_Toc12789052"/>
      <w:bookmarkStart w:id="2" w:name="_Toc25875"/>
      <w:bookmarkStart w:id="3" w:name="_Toc485108766"/>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消防设施改造项目</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28443"/>
      <w:bookmarkStart w:id="7" w:name="_Toc317775175"/>
      <w:bookmarkStart w:id="8" w:name="_Toc485108767"/>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4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338"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消防设施改造项目</w:t>
            </w:r>
          </w:p>
        </w:tc>
        <w:tc>
          <w:tcPr>
            <w:tcW w:w="2661" w:type="dxa"/>
            <w:vAlign w:val="center"/>
          </w:tcPr>
          <w:p>
            <w:pPr>
              <w:spacing w:line="400" w:lineRule="exact"/>
              <w:ind w:firstLine="480" w:firstLineChars="200"/>
              <w:jc w:val="center"/>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lang w:val="en-US" w:eastAsia="zh-CN"/>
              </w:rPr>
              <w:t>1</w:t>
            </w:r>
          </w:p>
        </w:tc>
        <w:tc>
          <w:tcPr>
            <w:tcW w:w="2338" w:type="dxa"/>
            <w:vAlign w:val="center"/>
          </w:tcPr>
          <w:p>
            <w:pPr>
              <w:spacing w:line="400" w:lineRule="exact"/>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合同签订后10个日历日内完成。</w:t>
            </w: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pStyle w:val="3"/>
        <w:spacing w:line="240" w:lineRule="auto"/>
        <w:rPr>
          <w:rFonts w:hint="eastAsia" w:ascii="方正仿宋_GBK" w:hAnsi="宋体" w:eastAsia="方正仿宋_GBK" w:cs="Times New Roman"/>
          <w:b w:val="0"/>
          <w:color w:val="auto"/>
          <w:kern w:val="2"/>
          <w:sz w:val="24"/>
          <w:szCs w:val="24"/>
          <w:lang w:val="en-US" w:eastAsia="zh-CN" w:bidi="ar-SA"/>
        </w:rPr>
      </w:pPr>
      <w:bookmarkStart w:id="16" w:name="_Toc11958"/>
      <w:bookmarkStart w:id="17" w:name="_Toc6"/>
      <w:bookmarkStart w:id="18" w:name="_Toc485108774"/>
      <w:bookmarkStart w:id="19" w:name="_Toc102227313"/>
      <w:r>
        <w:rPr>
          <w:rFonts w:hint="eastAsia" w:ascii="方正仿宋_GBK" w:hAnsi="宋体" w:eastAsia="方正仿宋_GBK" w:cs="Times New Roman"/>
          <w:b w:val="0"/>
          <w:color w:val="auto"/>
          <w:kern w:val="2"/>
          <w:sz w:val="24"/>
          <w:szCs w:val="24"/>
          <w:lang w:val="en-US" w:eastAsia="zh-CN" w:bidi="ar-SA"/>
        </w:rPr>
        <w:t>有效的三证合一营业执照、建筑业企业资质证书（消防设施工程专业承包贰级及以上）、有效的安全生产许可证。</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21</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21</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15</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0时至2023年</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27</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15</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待定，见官网公告。</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本工程为总价包干（包含但不限于人工费、材料费、机械费、保险费、税费等各项费用）</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8"/>
      <w:bookmarkStart w:id="36" w:name="OLE_LINK9"/>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8122"/>
      <w:bookmarkStart w:id="40" w:name="_Toc342913393"/>
      <w:bookmarkStart w:id="41" w:name="_Toc403569780"/>
      <w:bookmarkStart w:id="42" w:name="_Toc179714298"/>
      <w:bookmarkStart w:id="43" w:name="_Toc102227319"/>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w:t>
      </w:r>
      <w:bookmarkStart w:id="173" w:name="_GoBack"/>
      <w:bookmarkEnd w:id="173"/>
      <w:r>
        <w:rPr>
          <w:rFonts w:hint="eastAsia" w:ascii="方正仿宋_GBK" w:hAnsi="宋体" w:eastAsia="方正仿宋_GBK" w:cs="Times New Roman"/>
          <w:color w:val="auto"/>
          <w:sz w:val="24"/>
          <w:szCs w:val="24"/>
        </w:rPr>
        <w:t>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5" w:name="_Toc485108784"/>
      <w:bookmarkStart w:id="66"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rPr>
          <w:rFonts w:ascii="Times New Roman" w:hAnsi="Times New Roman" w:eastAsia="宋体" w:cs="Times New Roman"/>
          <w:color w:val="auto"/>
          <w:sz w:val="28"/>
          <w:szCs w:val="20"/>
        </w:rPr>
      </w:pPr>
    </w:p>
    <w:p>
      <w:pPr>
        <w:pStyle w:val="3"/>
        <w:spacing w:line="240" w:lineRule="auto"/>
        <w:rPr>
          <w:rFonts w:ascii="微软雅黑" w:hAnsi="微软雅黑" w:eastAsia="微软雅黑" w:cs="微软雅黑"/>
          <w:sz w:val="24"/>
          <w:szCs w:val="24"/>
        </w:rPr>
      </w:pPr>
      <w:bookmarkStart w:id="67" w:name="_Toc485108785"/>
      <w:bookmarkStart w:id="68" w:name="_Toc23194"/>
      <w:bookmarkStart w:id="69" w:name="_Toc12789058"/>
      <w:r>
        <w:rPr>
          <w:rFonts w:hint="eastAsia" w:ascii="微软雅黑" w:hAnsi="微软雅黑" w:eastAsia="微软雅黑" w:cs="微软雅黑"/>
          <w:sz w:val="24"/>
          <w:szCs w:val="24"/>
        </w:rPr>
        <w:t>一、</w:t>
      </w:r>
      <w:bookmarkEnd w:id="67"/>
      <w:r>
        <w:rPr>
          <w:rFonts w:hint="eastAsia" w:ascii="微软雅黑" w:hAnsi="微软雅黑" w:eastAsia="微软雅黑" w:cs="微软雅黑"/>
          <w:sz w:val="24"/>
          <w:szCs w:val="24"/>
        </w:rPr>
        <w:t>项目一览表</w:t>
      </w:r>
      <w:bookmarkEnd w:id="68"/>
    </w:p>
    <w:tbl>
      <w:tblPr>
        <w:tblStyle w:val="58"/>
        <w:tblW w:w="8303" w:type="dxa"/>
        <w:jc w:val="center"/>
        <w:tblLayout w:type="autofit"/>
        <w:tblCellMar>
          <w:top w:w="0" w:type="dxa"/>
          <w:left w:w="108" w:type="dxa"/>
          <w:bottom w:w="0" w:type="dxa"/>
          <w:right w:w="108" w:type="dxa"/>
        </w:tblCellMar>
      </w:tblPr>
      <w:tblGrid>
        <w:gridCol w:w="1002"/>
        <w:gridCol w:w="2920"/>
        <w:gridCol w:w="2400"/>
        <w:gridCol w:w="1001"/>
        <w:gridCol w:w="980"/>
      </w:tblGrid>
      <w:tr>
        <w:tblPrEx>
          <w:tblCellMar>
            <w:top w:w="0" w:type="dxa"/>
            <w:left w:w="108" w:type="dxa"/>
            <w:bottom w:w="0" w:type="dxa"/>
            <w:right w:w="108" w:type="dxa"/>
          </w:tblCellMar>
        </w:tblPrEx>
        <w:trPr>
          <w:trHeight w:val="420" w:hRule="atLeast"/>
          <w:jc w:val="center"/>
        </w:trPr>
        <w:tc>
          <w:tcPr>
            <w:tcW w:w="100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序号</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名称</w:t>
            </w:r>
          </w:p>
        </w:tc>
        <w:tc>
          <w:tcPr>
            <w:tcW w:w="2400" w:type="dxa"/>
            <w:tcBorders>
              <w:top w:val="single" w:color="auto" w:sz="4" w:space="0"/>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规格型号</w:t>
            </w:r>
          </w:p>
        </w:tc>
        <w:tc>
          <w:tcPr>
            <w:tcW w:w="1001" w:type="dxa"/>
            <w:tcBorders>
              <w:top w:val="single" w:color="auto" w:sz="4" w:space="0"/>
              <w:left w:val="nil"/>
              <w:bottom w:val="single" w:color="auto" w:sz="4" w:space="0"/>
              <w:right w:val="single" w:color="auto" w:sz="4" w:space="0"/>
            </w:tcBorders>
            <w:shd w:val="clear" w:color="auto" w:fill="auto"/>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单位</w:t>
            </w:r>
          </w:p>
        </w:tc>
        <w:tc>
          <w:tcPr>
            <w:tcW w:w="980" w:type="dxa"/>
            <w:tcBorders>
              <w:top w:val="single" w:color="auto" w:sz="4" w:space="0"/>
              <w:left w:val="nil"/>
              <w:bottom w:val="single" w:color="auto" w:sz="4" w:space="0"/>
              <w:right w:val="single" w:color="auto" w:sz="4" w:space="0"/>
            </w:tcBorders>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数量</w:t>
            </w:r>
          </w:p>
        </w:tc>
      </w:tr>
      <w:tr>
        <w:tblPrEx>
          <w:tblCellMar>
            <w:top w:w="0" w:type="dxa"/>
            <w:left w:w="108" w:type="dxa"/>
            <w:bottom w:w="0" w:type="dxa"/>
            <w:right w:w="108" w:type="dxa"/>
          </w:tblCellMar>
        </w:tblPrEx>
        <w:trPr>
          <w:trHeight w:val="420" w:hRule="atLeast"/>
          <w:jc w:val="center"/>
        </w:trPr>
        <w:tc>
          <w:tcPr>
            <w:tcW w:w="100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土方开外</w:t>
            </w:r>
          </w:p>
        </w:tc>
        <w:tc>
          <w:tcPr>
            <w:tcW w:w="2400" w:type="dxa"/>
            <w:tcBorders>
              <w:top w:val="single" w:color="auto" w:sz="4" w:space="0"/>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p>
        </w:tc>
        <w:tc>
          <w:tcPr>
            <w:tcW w:w="1001" w:type="dxa"/>
            <w:tcBorders>
              <w:top w:val="single" w:color="auto" w:sz="4" w:space="0"/>
              <w:left w:val="nil"/>
              <w:bottom w:val="single" w:color="auto" w:sz="4" w:space="0"/>
              <w:right w:val="single" w:color="auto" w:sz="4" w:space="0"/>
            </w:tcBorders>
            <w:shd w:val="clear" w:color="auto" w:fill="auto"/>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平方米</w:t>
            </w:r>
          </w:p>
        </w:tc>
        <w:tc>
          <w:tcPr>
            <w:tcW w:w="980" w:type="dxa"/>
            <w:tcBorders>
              <w:top w:val="single" w:color="auto" w:sz="4" w:space="0"/>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p>
        </w:tc>
        <w:tc>
          <w:tcPr>
            <w:tcW w:w="2920"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原设备拆除</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套</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w:t>
            </w:r>
          </w:p>
        </w:tc>
        <w:tc>
          <w:tcPr>
            <w:tcW w:w="2920"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内外壁镀锌管道</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米</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12</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水泵接合器</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套</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室外消火栓</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套</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焊接法兰</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个</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焊接弯头</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个</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8</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链接螺栓</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14*80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套</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16</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防腐处理、阀门井口封堵、路面石材恢复等</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p>
        </w:tc>
      </w:tr>
    </w:tbl>
    <w:p>
      <w:pPr>
        <w:pStyle w:val="3"/>
        <w:bidi w:val="0"/>
        <w:rPr>
          <w:rFonts w:hint="eastAsia"/>
          <w:sz w:val="24"/>
          <w:szCs w:val="16"/>
          <w:lang w:val="en-US" w:eastAsia="zh-CN"/>
        </w:rPr>
      </w:pPr>
      <w:r>
        <w:rPr>
          <w:rFonts w:hint="eastAsia"/>
          <w:sz w:val="24"/>
          <w:szCs w:val="16"/>
          <w:lang w:val="en-US" w:eastAsia="zh-CN"/>
        </w:rPr>
        <w:t>二、服务需求</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1、项目内容：将新建咖啡厅位置（原核酸采样板房）的现有消防设施（地上式消火栓、水泵结合器等其他设施）移至指定位置，确保移动后的消防设施能正常进行使用。</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单位需现场勘察，不到现场勘察的响应人，取消其成交供应商资格。</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施工质量应达到国家相关规范、标准及要求，施工完成后提供完整的竣工资料一份。</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开工前责任科室需提交临时施工许可证申请，相关部门审核通过后并办理了临时施工许可证后方可进行施工。在施工过程中，中标方应采取有效的安全措施，保证施工人员和其他人员的人身安全，并承担因安全事故导致的一切经济和法律责任。如有损坏财产须照价赔偿。并遵守安全文明施工。</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4、本项目完工后需做好各项售后服务。</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70" w:name="_Toc28327"/>
      <w:bookmarkStart w:id="71" w:name="_Toc48510878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9"/>
      <w:bookmarkEnd w:id="70"/>
      <w:bookmarkEnd w:id="71"/>
      <w:bookmarkStart w:id="72" w:name="_Toc12789059"/>
      <w:bookmarkStart w:id="73" w:name="_Toc1164105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4" w:name="_Toc2302"/>
      <w:bookmarkStart w:id="75" w:name="_Toc485108788"/>
      <w:bookmarkStart w:id="76" w:name="_Toc344475121"/>
      <w:bookmarkStart w:id="77" w:name="_Toc485108790"/>
      <w:bookmarkStart w:id="78" w:name="_Toc344475122"/>
      <w:bookmarkStart w:id="79" w:name="_Toc15905"/>
      <w:r>
        <w:rPr>
          <w:rFonts w:hint="eastAsia" w:ascii="微软雅黑" w:hAnsi="微软雅黑" w:eastAsia="微软雅黑" w:cs="微软雅黑"/>
          <w:color w:val="000000" w:themeColor="text1"/>
          <w:sz w:val="24"/>
          <w:szCs w:val="24"/>
          <w14:textFill>
            <w14:solidFill>
              <w14:schemeClr w14:val="tx1"/>
            </w14:solidFill>
          </w14:textFill>
        </w:rPr>
        <w:t>一、服务</w:t>
      </w:r>
      <w:r>
        <w:rPr>
          <w:rFonts w:hint="eastAsia" w:ascii="微软雅黑" w:hAnsi="微软雅黑" w:eastAsia="微软雅黑" w:cs="微软雅黑"/>
          <w:color w:val="000000" w:themeColor="text1"/>
          <w:sz w:val="24"/>
          <w:szCs w:val="24"/>
          <w:lang w:eastAsia="zh-CN"/>
          <w14:textFill>
            <w14:solidFill>
              <w14:schemeClr w14:val="tx1"/>
            </w14:solidFill>
          </w14:textFill>
        </w:rPr>
        <w:t>时间、</w:t>
      </w:r>
      <w:r>
        <w:rPr>
          <w:rFonts w:hint="eastAsia" w:ascii="微软雅黑" w:hAnsi="微软雅黑" w:eastAsia="微软雅黑" w:cs="微软雅黑"/>
          <w:color w:val="000000" w:themeColor="text1"/>
          <w:sz w:val="24"/>
          <w:szCs w:val="24"/>
          <w14:textFill>
            <w14:solidFill>
              <w14:schemeClr w14:val="tx1"/>
            </w14:solidFill>
          </w14:textFill>
        </w:rPr>
        <w:t>地点及验收方式</w:t>
      </w:r>
      <w:bookmarkEnd w:id="74"/>
      <w:bookmarkEnd w:id="75"/>
    </w:p>
    <w:p>
      <w:pPr>
        <w:spacing w:line="400" w:lineRule="exact"/>
        <w:ind w:firstLine="480" w:firstLineChars="200"/>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服务时间</w:t>
      </w: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：合同签订后10个日历日内完成。</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 xml:space="preserve">服务地点：重庆医科大学附属永川医院。 </w:t>
      </w:r>
    </w:p>
    <w:bookmarkEnd w:id="76"/>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bookmarkStart w:id="80" w:name="_Toc485108789"/>
      <w:bookmarkStart w:id="81" w:name="_Toc279"/>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（三</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）验收方式：消防</w:t>
      </w:r>
      <w:r>
        <w:rPr>
          <w:rFonts w:hint="eastAsia" w:ascii="方正仿宋_GBK" w:hAnsi="宋体" w:eastAsia="方正仿宋_GBK" w:cs="Times New Roman"/>
          <w:color w:val="000000" w:themeColor="text1"/>
          <w:sz w:val="24"/>
          <w:szCs w:val="24"/>
          <w14:textFill>
            <w14:solidFill>
              <w14:schemeClr w14:val="tx1"/>
            </w14:solidFill>
          </w14:textFill>
        </w:rPr>
        <w:t>设施</w:t>
      </w:r>
      <w:r>
        <w:rPr>
          <w:rFonts w:hint="eastAsia" w:ascii="方正仿宋_GBK" w:hAnsi="宋体" w:eastAsia="方正仿宋_GBK" w:cs="Times New Roman"/>
          <w:color w:val="000000" w:themeColor="text1"/>
          <w:sz w:val="24"/>
          <w:szCs w:val="24"/>
          <w:lang w:eastAsia="zh-CN"/>
          <w14:textFill>
            <w14:solidFill>
              <w14:schemeClr w14:val="tx1"/>
            </w14:solidFill>
          </w14:textFill>
        </w:rPr>
        <w:t>改造</w:t>
      </w:r>
      <w:r>
        <w:rPr>
          <w:rFonts w:hint="eastAsia" w:ascii="方正仿宋_GBK" w:hAnsi="宋体" w:eastAsia="方正仿宋_GBK" w:cs="Times New Roman"/>
          <w:color w:val="000000" w:themeColor="text1"/>
          <w:sz w:val="24"/>
          <w:szCs w:val="24"/>
          <w14:textFill>
            <w14:solidFill>
              <w14:schemeClr w14:val="tx1"/>
            </w14:solidFill>
          </w14:textFill>
        </w:rPr>
        <w:t>完成后，双方组织共同验收，服务方需移交检验报告或产品合格证等材料，以及所用材料清单，验收完成后双方人员签字确认。</w:t>
      </w:r>
    </w:p>
    <w:p>
      <w:pPr>
        <w:pStyle w:val="3"/>
        <w:spacing w:line="24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二、质量保证及售后服务</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质保期限：2年以上。</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产品质量：采购的产品为正规厂家生产的全新合格产品，产品质量须符合国家相关的产品质量标准及要求，提供产品检验报告或合格证明。</w:t>
      </w:r>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二</w:t>
      </w:r>
      <w:r>
        <w:rPr>
          <w:rFonts w:hint="eastAsia" w:ascii="方正仿宋_GBK" w:hAnsi="宋体" w:eastAsia="方正仿宋_GBK" w:cs="Times New Roman"/>
          <w:sz w:val="24"/>
          <w:szCs w:val="24"/>
        </w:rPr>
        <w:t>）售后服务内容</w:t>
      </w:r>
    </w:p>
    <w:bookmarkEnd w:id="80"/>
    <w:bookmarkEnd w:id="81"/>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售后服务要求：服务方接到采购方通知后应立即响应，电话咨询不能解决的应在24小时内安排技术人员到达现场处理，直至解除设备故障，质保期外提供售后维修服务的，维修只收取配件费。服务方提供有效的维修联系人和电话，如有变更，应及时通知采购方。</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77"/>
      <w:bookmarkEnd w:id="78"/>
      <w:bookmarkEnd w:id="79"/>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本工程为总价包干（包含但不限于人工费、材料费、机械费、保险费、税费等各项费用）。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bookmarkStart w:id="82" w:name="_Toc11645"/>
      <w:bookmarkStart w:id="83" w:name="_Toc403569795"/>
      <w:bookmarkStart w:id="84" w:name="_Toc7358"/>
      <w:bookmarkStart w:id="85" w:name="_Toc485108793"/>
      <w:r>
        <w:rPr>
          <w:rFonts w:hint="eastAsia" w:ascii="方正仿宋_GBK" w:hAnsi="宋体" w:eastAsia="方正仿宋_GBK" w:cs="宋体"/>
          <w:color w:val="auto"/>
          <w:kern w:val="0"/>
          <w:sz w:val="24"/>
          <w:szCs w:val="24"/>
        </w:rPr>
        <w:t>本次采购无预付款，全部改造内容完成后，经我方验收合格，凭正式发票于60日内转账支付合同总价的95%，余款5%为</w:t>
      </w:r>
      <w:r>
        <w:rPr>
          <w:rFonts w:hint="eastAsia" w:ascii="方正仿宋_GBK" w:hAnsi="宋体" w:eastAsia="方正仿宋_GBK" w:cs="宋体"/>
          <w:color w:val="auto"/>
          <w:kern w:val="0"/>
          <w:sz w:val="24"/>
          <w:szCs w:val="24"/>
          <w:lang w:eastAsia="zh-CN"/>
        </w:rPr>
        <w:t>履约</w:t>
      </w:r>
      <w:r>
        <w:rPr>
          <w:rFonts w:hint="eastAsia" w:ascii="方正仿宋_GBK" w:hAnsi="宋体" w:eastAsia="方正仿宋_GBK" w:cs="宋体"/>
          <w:color w:val="auto"/>
          <w:kern w:val="0"/>
          <w:sz w:val="24"/>
          <w:szCs w:val="24"/>
        </w:rPr>
        <w:t>保证金，在质保期满后无息支付。</w:t>
      </w:r>
    </w:p>
    <w:p>
      <w:pPr>
        <w:pStyle w:val="3"/>
        <w:spacing w:line="240" w:lineRule="auto"/>
        <w:rPr>
          <w:rFonts w:hint="eastAsia" w:ascii="方正仿宋_GBK" w:hAnsi="宋体" w:eastAsia="方正仿宋_GBK" w:cs="宋体"/>
          <w:b w:val="0"/>
          <w:color w:val="auto"/>
          <w:kern w:val="0"/>
          <w:sz w:val="24"/>
          <w:szCs w:val="24"/>
          <w:lang w:val="en-US" w:eastAsia="zh-CN" w:bidi="ar-SA"/>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、知识产权</w:t>
      </w:r>
      <w:bookmarkEnd w:id="8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五</w:t>
      </w:r>
      <w:r>
        <w:rPr>
          <w:rFonts w:hint="eastAsia" w:ascii="微软雅黑" w:hAnsi="微软雅黑" w:eastAsia="微软雅黑" w:cs="微软雅黑"/>
          <w:color w:val="auto"/>
          <w:sz w:val="24"/>
          <w:szCs w:val="24"/>
        </w:rPr>
        <w:t>、其他</w:t>
      </w:r>
      <w:bookmarkEnd w:id="83"/>
      <w:bookmarkEnd w:id="84"/>
      <w:bookmarkEnd w:id="8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2"/>
      <w:bookmarkEnd w:id="73"/>
      <w:bookmarkStart w:id="86" w:name="_Toc14840"/>
      <w:bookmarkStart w:id="87" w:name="_Toc485108794"/>
      <w:bookmarkStart w:id="88" w:name="_Toc403569796"/>
      <w:bookmarkStart w:id="89" w:name="_Toc303945820"/>
      <w:bookmarkStart w:id="90" w:name="_Toc148265480"/>
      <w:r>
        <w:rPr>
          <w:rFonts w:hint="eastAsia" w:ascii="微软雅黑" w:hAnsi="微软雅黑" w:eastAsia="微软雅黑" w:cs="微软雅黑"/>
          <w:b/>
          <w:color w:val="auto"/>
          <w:sz w:val="36"/>
          <w:szCs w:val="36"/>
        </w:rPr>
        <w:t>第五篇  合同草案条款</w:t>
      </w:r>
      <w:bookmarkEnd w:id="86"/>
      <w:bookmarkEnd w:id="87"/>
      <w:bookmarkEnd w:id="88"/>
    </w:p>
    <w:p>
      <w:pPr>
        <w:pStyle w:val="3"/>
        <w:spacing w:line="240" w:lineRule="auto"/>
        <w:rPr>
          <w:rFonts w:hint="eastAsia" w:ascii="微软雅黑" w:hAnsi="微软雅黑" w:eastAsia="微软雅黑" w:cs="微软雅黑"/>
          <w:color w:val="auto"/>
          <w:sz w:val="24"/>
          <w:szCs w:val="24"/>
        </w:rPr>
      </w:pPr>
      <w:bookmarkStart w:id="91" w:name="_Toc30815"/>
      <w:bookmarkStart w:id="92" w:name="_Toc54718202"/>
      <w:r>
        <w:rPr>
          <w:rFonts w:hint="eastAsia" w:ascii="微软雅黑" w:hAnsi="微软雅黑" w:eastAsia="微软雅黑" w:cs="微软雅黑"/>
          <w:color w:val="auto"/>
          <w:sz w:val="24"/>
          <w:szCs w:val="24"/>
        </w:rPr>
        <w:t>一、定义</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988"/>
      <w:r>
        <w:rPr>
          <w:rFonts w:hint="eastAsia" w:ascii="方正仿宋_GBK" w:hAnsi="宋体" w:eastAsia="方正仿宋_GBK" w:cs="Times New Roman"/>
          <w:color w:val="auto"/>
          <w:sz w:val="24"/>
          <w:szCs w:val="24"/>
        </w:rPr>
        <w:t>（一）甲方（需方）即重庆医科大学附属永川医院。</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97"/>
    </w:p>
    <w:p>
      <w:pPr>
        <w:pStyle w:val="3"/>
        <w:spacing w:line="240" w:lineRule="auto"/>
        <w:rPr>
          <w:rFonts w:hint="eastAsia" w:ascii="微软雅黑" w:hAnsi="微软雅黑" w:eastAsia="微软雅黑" w:cs="微软雅黑"/>
          <w:color w:val="auto"/>
          <w:sz w:val="24"/>
          <w:szCs w:val="24"/>
        </w:rPr>
      </w:pPr>
      <w:bookmarkStart w:id="98" w:name="_Toc54718203"/>
      <w:bookmarkStart w:id="99"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98"/>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28967"/>
      <w:r>
        <w:rPr>
          <w:rFonts w:hint="eastAsia" w:ascii="方正仿宋_GBK" w:hAnsi="宋体" w:eastAsia="方正仿宋_GBK" w:cs="Times New Roman"/>
          <w:color w:val="auto"/>
          <w:sz w:val="24"/>
          <w:szCs w:val="24"/>
        </w:rPr>
        <w:t>合同包括以下内容：</w:t>
      </w:r>
      <w:bookmarkEnd w:id="100"/>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1" w:name="_Toc54718204"/>
      <w:bookmarkStart w:id="102" w:name="_Toc8853"/>
      <w:r>
        <w:rPr>
          <w:rFonts w:hint="eastAsia" w:ascii="微软雅黑" w:hAnsi="微软雅黑" w:eastAsia="微软雅黑" w:cs="微软雅黑"/>
          <w:color w:val="auto"/>
          <w:sz w:val="24"/>
          <w:szCs w:val="24"/>
        </w:rPr>
        <w:t>三、合同价格</w:t>
      </w:r>
      <w:bookmarkEnd w:id="101"/>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25177"/>
      <w:bookmarkStart w:id="10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w:t>
      </w:r>
      <w:bookmarkEnd w:id="103"/>
      <w:r>
        <w:rPr>
          <w:rFonts w:hint="eastAsia" w:ascii="方正仿宋_GBK" w:hAnsi="宋体" w:eastAsia="方正仿宋_GBK" w:cs="Times New Roman"/>
          <w:color w:val="auto"/>
          <w:sz w:val="24"/>
          <w:szCs w:val="24"/>
          <w:lang w:eastAsia="zh-CN"/>
        </w:rPr>
        <w:t>项目总价。</w:t>
      </w:r>
    </w:p>
    <w:p>
      <w:pPr>
        <w:spacing w:line="560" w:lineRule="exact"/>
        <w:ind w:firstLine="480" w:firstLineChars="200"/>
        <w:rPr>
          <w:rFonts w:hint="eastAsia" w:ascii="微软雅黑" w:hAnsi="微软雅黑" w:eastAsia="微软雅黑" w:cs="微软雅黑"/>
          <w:color w:val="auto"/>
          <w:sz w:val="24"/>
          <w:szCs w:val="24"/>
          <w:lang w:eastAsia="zh-CN"/>
        </w:rPr>
      </w:pPr>
      <w:bookmarkStart w:id="105" w:name="_Toc3890"/>
      <w:r>
        <w:rPr>
          <w:rFonts w:hint="eastAsia" w:ascii="方正仿宋_GBK" w:hAnsi="宋体" w:eastAsia="方正仿宋_GBK" w:cs="Times New Roman"/>
          <w:color w:val="auto"/>
          <w:sz w:val="24"/>
          <w:szCs w:val="24"/>
        </w:rPr>
        <w:t>（二）合同价格</w:t>
      </w:r>
      <w:bookmarkEnd w:id="105"/>
      <w:r>
        <w:rPr>
          <w:rFonts w:hint="eastAsia" w:ascii="方正仿宋_GBK" w:hAnsi="宋体" w:eastAsia="方正仿宋_GBK" w:cs="Times New Roman"/>
          <w:color w:val="auto"/>
          <w:sz w:val="24"/>
          <w:szCs w:val="24"/>
        </w:rPr>
        <w:t>包含但不限于人工费、材料费、机械费、保险费、税费等各项费用</w:t>
      </w:r>
      <w:bookmarkStart w:id="106" w:name="_Toc24410"/>
      <w:r>
        <w:rPr>
          <w:rFonts w:hint="eastAsia" w:ascii="方正仿宋_GBK" w:hAnsi="宋体" w:eastAsia="方正仿宋_GBK" w:cs="Times New Roman"/>
          <w:color w:val="auto"/>
          <w:sz w:val="24"/>
          <w:szCs w:val="24"/>
          <w:lang w:eastAsia="zh-CN"/>
        </w:rPr>
        <w:t>。</w:t>
      </w:r>
      <w:r>
        <w:rPr>
          <w:rFonts w:hint="eastAsia" w:ascii="微软雅黑" w:hAnsi="微软雅黑" w:eastAsia="微软雅黑" w:cs="微软雅黑"/>
          <w:color w:val="auto"/>
          <w:sz w:val="24"/>
          <w:szCs w:val="24"/>
        </w:rPr>
        <w:t>四、转包或分包</w:t>
      </w:r>
      <w:bookmarkEnd w:id="104"/>
      <w:bookmarkEnd w:id="106"/>
      <w:r>
        <w:rPr>
          <w:rFonts w:hint="eastAsia" w:ascii="微软雅黑" w:hAnsi="微软雅黑" w:eastAsia="微软雅黑" w:cs="微软雅黑"/>
          <w:color w:val="auto"/>
          <w:sz w:val="24"/>
          <w:szCs w:val="24"/>
          <w:lang w:eastAsia="zh-CN"/>
        </w:rPr>
        <w:t>。</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09"/>
    </w:p>
    <w:p>
      <w:pPr>
        <w:pStyle w:val="3"/>
        <w:spacing w:line="240" w:lineRule="auto"/>
        <w:rPr>
          <w:rFonts w:hint="eastAsia" w:ascii="微软雅黑" w:hAnsi="微软雅黑" w:eastAsia="微软雅黑" w:cs="微软雅黑"/>
          <w:color w:val="auto"/>
          <w:sz w:val="24"/>
          <w:szCs w:val="24"/>
        </w:rPr>
      </w:pPr>
      <w:bookmarkStart w:id="110" w:name="_Toc54718206"/>
      <w:bookmarkStart w:id="111" w:name="_Toc2241"/>
      <w:r>
        <w:rPr>
          <w:rFonts w:hint="eastAsia" w:ascii="微软雅黑" w:hAnsi="微软雅黑" w:eastAsia="微软雅黑" w:cs="微软雅黑"/>
          <w:color w:val="auto"/>
          <w:sz w:val="24"/>
          <w:szCs w:val="24"/>
        </w:rPr>
        <w:t>五、质量保证及售后服务</w:t>
      </w:r>
      <w:bookmarkEnd w:id="110"/>
      <w:bookmarkEnd w:id="11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2" w:name="_Toc12985"/>
      <w:bookmarkStart w:id="11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3"/>
    </w:p>
    <w:p>
      <w:pPr>
        <w:pStyle w:val="3"/>
        <w:spacing w:line="240" w:lineRule="auto"/>
        <w:rPr>
          <w:rFonts w:hint="eastAsia" w:ascii="微软雅黑" w:hAnsi="微软雅黑" w:eastAsia="微软雅黑" w:cs="微软雅黑"/>
          <w:color w:val="auto"/>
          <w:sz w:val="24"/>
          <w:szCs w:val="24"/>
        </w:rPr>
      </w:pPr>
      <w:bookmarkStart w:id="114" w:name="_Toc9053"/>
      <w:bookmarkStart w:id="115" w:name="_Toc54718207"/>
      <w:r>
        <w:rPr>
          <w:rFonts w:hint="eastAsia" w:ascii="微软雅黑" w:hAnsi="微软雅黑" w:eastAsia="微软雅黑" w:cs="微软雅黑"/>
          <w:color w:val="auto"/>
          <w:sz w:val="24"/>
          <w:szCs w:val="24"/>
        </w:rPr>
        <w:t>六、付款</w:t>
      </w:r>
      <w:bookmarkEnd w:id="114"/>
      <w:bookmarkEnd w:id="115"/>
    </w:p>
    <w:p>
      <w:pPr>
        <w:snapToGrid w:val="0"/>
        <w:spacing w:line="400" w:lineRule="exact"/>
        <w:ind w:firstLine="480" w:firstLineChars="200"/>
        <w:jc w:val="left"/>
        <w:rPr>
          <w:rFonts w:ascii="方正仿宋_GBK" w:hAnsi="宋体" w:eastAsia="方正仿宋_GBK" w:cs="Times New Roman"/>
          <w:color w:val="auto"/>
          <w:sz w:val="24"/>
          <w:szCs w:val="24"/>
        </w:rPr>
      </w:pPr>
      <w:bookmarkStart w:id="116" w:name="_Toc23183"/>
      <w:r>
        <w:rPr>
          <w:rFonts w:hint="eastAsia" w:ascii="方正仿宋_GBK" w:hAnsi="宋体" w:eastAsia="方正仿宋_GBK" w:cs="Times New Roman"/>
          <w:color w:val="auto"/>
          <w:sz w:val="24"/>
          <w:szCs w:val="24"/>
        </w:rPr>
        <w:t>（一）本合同使用货币币制如未作特别说明均为人民币。</w:t>
      </w:r>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7" w:name="_Toc8880"/>
      <w:r>
        <w:rPr>
          <w:rFonts w:hint="eastAsia" w:ascii="方正仿宋_GBK" w:hAnsi="宋体" w:eastAsia="方正仿宋_GBK" w:cs="Times New Roman"/>
          <w:color w:val="auto"/>
          <w:sz w:val="24"/>
          <w:szCs w:val="24"/>
        </w:rPr>
        <w:t>（二）付款方式：银行转账。</w:t>
      </w:r>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18"/>
    </w:p>
    <w:p>
      <w:pPr>
        <w:pStyle w:val="3"/>
        <w:spacing w:line="240" w:lineRule="auto"/>
        <w:rPr>
          <w:rFonts w:hint="eastAsia" w:ascii="微软雅黑" w:hAnsi="微软雅黑" w:eastAsia="微软雅黑" w:cs="微软雅黑"/>
          <w:color w:val="auto"/>
          <w:sz w:val="24"/>
          <w:szCs w:val="24"/>
        </w:rPr>
      </w:pPr>
      <w:bookmarkStart w:id="119" w:name="_Toc54718211"/>
      <w:bookmarkStart w:id="120"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5382"/>
      <w:r>
        <w:rPr>
          <w:rFonts w:hint="eastAsia" w:ascii="方正仿宋_GBK" w:hAnsi="宋体" w:eastAsia="方正仿宋_GBK" w:cs="Times New Roman"/>
          <w:color w:val="auto"/>
          <w:sz w:val="24"/>
          <w:szCs w:val="24"/>
        </w:rPr>
        <w:t>（一）当事人友好协商达成一致</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9926"/>
      <w:r>
        <w:rPr>
          <w:rFonts w:hint="eastAsia" w:ascii="方正仿宋_GBK" w:hAnsi="宋体" w:eastAsia="方正仿宋_GBK" w:cs="Times New Roman"/>
          <w:color w:val="auto"/>
          <w:sz w:val="24"/>
          <w:szCs w:val="24"/>
        </w:rPr>
        <w:t>（二）</w:t>
      </w:r>
      <w:bookmarkEnd w:id="12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23" w:name="_Toc54718210"/>
      <w:bookmarkStart w:id="124" w:name="_Toc31719"/>
      <w:bookmarkStart w:id="125" w:name="_Toc26580"/>
      <w:bookmarkStart w:id="126"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23"/>
      <w:bookmarkEnd w:id="124"/>
    </w:p>
    <w:p>
      <w:pPr>
        <w:snapToGrid w:val="0"/>
        <w:spacing w:line="400" w:lineRule="exact"/>
        <w:ind w:firstLine="480" w:firstLineChars="200"/>
        <w:rPr>
          <w:rFonts w:hint="eastAsia" w:ascii="方正仿宋_GBK" w:hAnsi="宋体" w:eastAsia="方正仿宋_GBK"/>
          <w:color w:val="auto"/>
          <w:sz w:val="24"/>
          <w:szCs w:val="24"/>
        </w:rPr>
      </w:pPr>
      <w:bookmarkStart w:id="12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28" w:name="_Toc17287"/>
      <w:r>
        <w:rPr>
          <w:rFonts w:hint="eastAsia" w:ascii="方正仿宋_GBK" w:hAnsi="宋体" w:eastAsia="方正仿宋_GBK"/>
          <w:color w:val="auto"/>
          <w:sz w:val="24"/>
          <w:szCs w:val="24"/>
        </w:rPr>
        <w:t>（二）若涉及软件开发等服务类项目知识产权的，知识产权归医院所有。</w:t>
      </w:r>
      <w:bookmarkEnd w:id="12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25"/>
      <w:bookmarkEnd w:id="12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2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29"/>
      <w:bookmarkEnd w:id="130"/>
    </w:p>
    <w:p>
      <w:pPr>
        <w:snapToGrid w:val="0"/>
        <w:spacing w:line="400" w:lineRule="exact"/>
        <w:ind w:firstLine="480" w:firstLineChars="200"/>
        <w:jc w:val="left"/>
        <w:rPr>
          <w:rFonts w:ascii="方正仿宋_GBK" w:hAnsi="宋体" w:eastAsia="方正仿宋_GBK" w:cs="Times New Roman"/>
          <w:color w:val="auto"/>
          <w:sz w:val="24"/>
          <w:szCs w:val="24"/>
        </w:rPr>
      </w:pPr>
      <w:bookmarkStart w:id="131" w:name="_Toc7071"/>
      <w:r>
        <w:rPr>
          <w:rFonts w:hint="eastAsia" w:ascii="方正仿宋_GBK" w:hAnsi="宋体" w:eastAsia="方正仿宋_GBK" w:cs="Times New Roman"/>
          <w:color w:val="auto"/>
          <w:sz w:val="24"/>
          <w:szCs w:val="24"/>
        </w:rPr>
        <w:t>（一）合同生效及其效力应符合《中华人民共和国民法典》有关规定。</w:t>
      </w:r>
      <w:bookmarkEnd w:id="131"/>
    </w:p>
    <w:p>
      <w:pPr>
        <w:snapToGrid w:val="0"/>
        <w:spacing w:line="400" w:lineRule="exact"/>
        <w:ind w:firstLine="480" w:firstLineChars="200"/>
        <w:jc w:val="left"/>
        <w:rPr>
          <w:rFonts w:ascii="方正仿宋_GBK" w:hAnsi="宋体" w:eastAsia="方正仿宋_GBK" w:cs="Times New Roman"/>
          <w:color w:val="auto"/>
          <w:sz w:val="24"/>
          <w:szCs w:val="24"/>
        </w:rPr>
      </w:pPr>
      <w:bookmarkStart w:id="13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2"/>
    </w:p>
    <w:p>
      <w:pPr>
        <w:snapToGrid w:val="0"/>
        <w:spacing w:line="400" w:lineRule="exact"/>
        <w:ind w:firstLine="480" w:firstLineChars="200"/>
        <w:jc w:val="left"/>
        <w:rPr>
          <w:rFonts w:ascii="方正仿宋_GBK" w:hAnsi="宋体" w:eastAsia="方正仿宋_GBK" w:cs="Times New Roman"/>
          <w:color w:val="auto"/>
          <w:sz w:val="24"/>
          <w:szCs w:val="24"/>
        </w:rPr>
      </w:pPr>
      <w:bookmarkStart w:id="13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33"/>
    </w:p>
    <w:p>
      <w:pPr>
        <w:snapToGrid w:val="0"/>
        <w:spacing w:line="400" w:lineRule="exact"/>
        <w:ind w:firstLine="480" w:firstLineChars="200"/>
        <w:jc w:val="left"/>
        <w:rPr>
          <w:rFonts w:ascii="方正仿宋_GBK" w:hAnsi="宋体" w:eastAsia="方正仿宋_GBK" w:cs="Times New Roman"/>
          <w:color w:val="auto"/>
          <w:sz w:val="24"/>
          <w:szCs w:val="24"/>
        </w:rPr>
      </w:pPr>
      <w:bookmarkStart w:id="134" w:name="_Toc28233"/>
      <w:r>
        <w:rPr>
          <w:rFonts w:hint="eastAsia" w:ascii="方正仿宋_GBK" w:hAnsi="宋体" w:eastAsia="方正仿宋_GBK" w:cs="Times New Roman"/>
          <w:color w:val="auto"/>
          <w:sz w:val="24"/>
          <w:szCs w:val="24"/>
        </w:rPr>
        <w:t>（四）合同需提供担保的，按《中华人民共和国担保法》规定执行。</w:t>
      </w:r>
      <w:bookmarkEnd w:id="134"/>
    </w:p>
    <w:p>
      <w:pPr>
        <w:snapToGrid w:val="0"/>
        <w:spacing w:line="400" w:lineRule="exact"/>
        <w:ind w:firstLine="480" w:firstLineChars="200"/>
        <w:jc w:val="left"/>
        <w:rPr>
          <w:rFonts w:ascii="方正仿宋_GBK" w:hAnsi="宋体" w:eastAsia="方正仿宋_GBK" w:cs="Times New Roman"/>
          <w:color w:val="auto"/>
          <w:sz w:val="24"/>
          <w:szCs w:val="24"/>
        </w:rPr>
      </w:pPr>
      <w:bookmarkStart w:id="13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5"/>
    </w:p>
    <w:bookmarkEnd w:id="89"/>
    <w:bookmarkEnd w:id="9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6" w:name="_Hlt41879464"/>
      <w:bookmarkEnd w:id="136"/>
      <w:bookmarkStart w:id="137" w:name="_Toc12789072"/>
      <w:bookmarkStart w:id="138" w:name="_Toc485108795"/>
      <w:bookmarkStart w:id="139" w:name="_Toc13696"/>
      <w:r>
        <w:rPr>
          <w:rFonts w:hint="eastAsia" w:ascii="微软雅黑" w:hAnsi="微软雅黑" w:eastAsia="微软雅黑" w:cs="微软雅黑"/>
          <w:b/>
          <w:color w:val="auto"/>
          <w:sz w:val="36"/>
          <w:szCs w:val="36"/>
        </w:rPr>
        <w:t>第六篇  响应文件格式要求</w:t>
      </w:r>
      <w:bookmarkEnd w:id="137"/>
      <w:bookmarkEnd w:id="138"/>
      <w:bookmarkEnd w:id="139"/>
    </w:p>
    <w:p>
      <w:pPr>
        <w:pStyle w:val="3"/>
        <w:spacing w:line="240" w:lineRule="auto"/>
        <w:rPr>
          <w:rFonts w:hint="eastAsia" w:ascii="微软雅黑" w:hAnsi="微软雅黑" w:eastAsia="微软雅黑" w:cs="微软雅黑"/>
          <w:color w:val="auto"/>
          <w:sz w:val="24"/>
          <w:szCs w:val="24"/>
        </w:rPr>
      </w:pPr>
      <w:bookmarkStart w:id="140" w:name="_Toc27382"/>
      <w:r>
        <w:rPr>
          <w:rFonts w:hint="eastAsia" w:ascii="微软雅黑" w:hAnsi="微软雅黑" w:eastAsia="微软雅黑" w:cs="微软雅黑"/>
          <w:color w:val="auto"/>
          <w:sz w:val="24"/>
          <w:szCs w:val="24"/>
        </w:rPr>
        <w:t>一、经济部分</w:t>
      </w:r>
      <w:bookmarkEnd w:id="14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1" w:name="_Toc6305"/>
      <w:r>
        <w:rPr>
          <w:rFonts w:hint="eastAsia" w:ascii="微软雅黑" w:hAnsi="微软雅黑" w:eastAsia="微软雅黑" w:cs="微软雅黑"/>
          <w:color w:val="auto"/>
          <w:sz w:val="24"/>
          <w:szCs w:val="24"/>
        </w:rPr>
        <w:t>二、服务部分</w:t>
      </w:r>
      <w:bookmarkEnd w:id="14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2" w:name="_Toc7207"/>
      <w:r>
        <w:rPr>
          <w:rFonts w:hint="eastAsia" w:ascii="微软雅黑" w:hAnsi="微软雅黑" w:eastAsia="微软雅黑" w:cs="微软雅黑"/>
          <w:color w:val="auto"/>
          <w:sz w:val="24"/>
          <w:szCs w:val="24"/>
        </w:rPr>
        <w:t>三、商务部分</w:t>
      </w:r>
      <w:bookmarkEnd w:id="142"/>
    </w:p>
    <w:p>
      <w:pPr>
        <w:snapToGrid w:val="0"/>
        <w:spacing w:line="360" w:lineRule="auto"/>
        <w:ind w:firstLine="480" w:firstLineChars="200"/>
        <w:rPr>
          <w:rFonts w:hint="eastAsia" w:ascii="微软雅黑" w:hAnsi="微软雅黑" w:eastAsia="微软雅黑" w:cs="微软雅黑"/>
          <w:color w:val="auto"/>
          <w:sz w:val="24"/>
          <w:szCs w:val="24"/>
        </w:rPr>
      </w:pPr>
      <w:bookmarkStart w:id="143" w:name="_Toc38358147"/>
      <w:bookmarkStart w:id="144" w:name="OLE_LINK10"/>
      <w:bookmarkStart w:id="145" w:name="OLE_LINK11"/>
      <w:r>
        <w:rPr>
          <w:rFonts w:hint="eastAsia" w:ascii="微软雅黑" w:hAnsi="微软雅黑" w:eastAsia="微软雅黑" w:cs="微软雅黑"/>
          <w:color w:val="auto"/>
          <w:sz w:val="24"/>
          <w:szCs w:val="24"/>
        </w:rPr>
        <w:t>（一）按照“第四篇  项目商务需求”提供相应资料</w:t>
      </w:r>
      <w:bookmarkEnd w:id="14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6" w:name="_Toc18417"/>
      <w:r>
        <w:rPr>
          <w:rFonts w:hint="eastAsia" w:ascii="微软雅黑" w:hAnsi="微软雅黑" w:eastAsia="微软雅黑" w:cs="微软雅黑"/>
          <w:color w:val="auto"/>
          <w:sz w:val="24"/>
          <w:szCs w:val="24"/>
        </w:rPr>
        <w:t>四、资格条件及其他</w:t>
      </w:r>
      <w:bookmarkEnd w:id="14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7" w:name="_Toc19884"/>
      <w:r>
        <w:rPr>
          <w:rFonts w:hint="eastAsia" w:ascii="微软雅黑" w:hAnsi="微软雅黑" w:eastAsia="微软雅黑" w:cs="微软雅黑"/>
          <w:color w:val="auto"/>
          <w:sz w:val="24"/>
          <w:szCs w:val="24"/>
        </w:rPr>
        <w:t>五、其他应提供的资料</w:t>
      </w:r>
      <w:bookmarkEnd w:id="14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4"/>
    <w:bookmarkEnd w:id="14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48" w:name="_Toc480979018"/>
      <w:bookmarkStart w:id="149" w:name="_Toc342913419"/>
      <w:bookmarkStart w:id="150" w:name="_Toc485108796"/>
      <w:bookmarkStart w:id="151" w:name="_Toc313888360"/>
      <w:bookmarkStart w:id="152" w:name="_Toc313008356"/>
      <w:bookmarkStart w:id="153" w:name="_Toc283382454"/>
      <w:bookmarkStart w:id="154" w:name="_Toc12789073"/>
      <w:r>
        <w:rPr>
          <w:rFonts w:hint="eastAsia"/>
          <w:b/>
          <w:color w:val="auto"/>
        </w:rPr>
        <w:t>经济部分</w:t>
      </w:r>
      <w:bookmarkEnd w:id="148"/>
      <w:bookmarkEnd w:id="149"/>
      <w:bookmarkEnd w:id="150"/>
      <w:bookmarkEnd w:id="151"/>
      <w:bookmarkEnd w:id="152"/>
    </w:p>
    <w:p>
      <w:pPr>
        <w:pStyle w:val="180"/>
        <w:ind w:left="450" w:firstLine="0" w:firstLineChars="0"/>
        <w:rPr>
          <w:b/>
          <w:color w:val="auto"/>
        </w:rPr>
      </w:pPr>
    </w:p>
    <w:bookmarkEnd w:id="153"/>
    <w:bookmarkEnd w:id="15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u w:val="single"/>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消防设施改造项目</w:t>
      </w:r>
    </w:p>
    <w:tbl>
      <w:tblPr>
        <w:tblStyle w:val="58"/>
        <w:tblW w:w="9586" w:type="dxa"/>
        <w:jc w:val="center"/>
        <w:tblLayout w:type="fixed"/>
        <w:tblCellMar>
          <w:top w:w="0" w:type="dxa"/>
          <w:left w:w="108" w:type="dxa"/>
          <w:bottom w:w="0" w:type="dxa"/>
          <w:right w:w="108" w:type="dxa"/>
        </w:tblCellMar>
      </w:tblPr>
      <w:tblGrid>
        <w:gridCol w:w="814"/>
        <w:gridCol w:w="2736"/>
        <w:gridCol w:w="1356"/>
        <w:gridCol w:w="1116"/>
        <w:gridCol w:w="1188"/>
        <w:gridCol w:w="1188"/>
        <w:gridCol w:w="1188"/>
      </w:tblGrid>
      <w:tr>
        <w:tblPrEx>
          <w:tblCellMar>
            <w:top w:w="0" w:type="dxa"/>
            <w:left w:w="108" w:type="dxa"/>
            <w:bottom w:w="0" w:type="dxa"/>
            <w:right w:w="108" w:type="dxa"/>
          </w:tblCellMar>
        </w:tblPrEx>
        <w:trPr>
          <w:trHeight w:val="420" w:hRule="atLeast"/>
          <w:jc w:val="center"/>
        </w:trPr>
        <w:tc>
          <w:tcPr>
            <w:tcW w:w="81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序号</w:t>
            </w:r>
          </w:p>
        </w:tc>
        <w:tc>
          <w:tcPr>
            <w:tcW w:w="273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名称</w:t>
            </w:r>
          </w:p>
        </w:tc>
        <w:tc>
          <w:tcPr>
            <w:tcW w:w="13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规格型号</w:t>
            </w:r>
          </w:p>
        </w:tc>
        <w:tc>
          <w:tcPr>
            <w:tcW w:w="11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4"/>
              </w:rPr>
              <w:t>单位</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数量</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cs="宋体" w:eastAsiaTheme="minorEastAsia"/>
                <w:kern w:val="0"/>
                <w:sz w:val="22"/>
                <w:lang w:val="en-US" w:eastAsia="zh-CN"/>
              </w:rPr>
            </w:pPr>
            <w:r>
              <w:rPr>
                <w:rFonts w:hint="eastAsia" w:ascii="宋体" w:hAnsi="宋体" w:cs="宋体"/>
                <w:kern w:val="0"/>
                <w:sz w:val="22"/>
                <w:lang w:val="en-US" w:eastAsia="zh-CN"/>
              </w:rPr>
              <w:t>单价（元）</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eastAsiaTheme="minorEastAsia"/>
                <w:kern w:val="0"/>
                <w:sz w:val="22"/>
                <w:lang w:eastAsia="zh-CN"/>
              </w:rPr>
            </w:pPr>
            <w:r>
              <w:rPr>
                <w:rFonts w:hint="eastAsia" w:ascii="宋体" w:hAnsi="宋体" w:cs="宋体"/>
                <w:kern w:val="0"/>
                <w:sz w:val="22"/>
                <w:lang w:eastAsia="zh-CN"/>
              </w:rPr>
              <w:t>金额（元）</w:t>
            </w:r>
          </w:p>
        </w:tc>
      </w:tr>
      <w:tr>
        <w:tblPrEx>
          <w:tblCellMar>
            <w:top w:w="0" w:type="dxa"/>
            <w:left w:w="108" w:type="dxa"/>
            <w:bottom w:w="0" w:type="dxa"/>
            <w:right w:w="108" w:type="dxa"/>
          </w:tblCellMar>
        </w:tblPrEx>
        <w:trPr>
          <w:trHeight w:val="420" w:hRule="atLeast"/>
          <w:jc w:val="center"/>
        </w:trPr>
        <w:tc>
          <w:tcPr>
            <w:tcW w:w="81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1</w:t>
            </w:r>
          </w:p>
        </w:tc>
        <w:tc>
          <w:tcPr>
            <w:tcW w:w="273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土方开外</w:t>
            </w:r>
          </w:p>
        </w:tc>
        <w:tc>
          <w:tcPr>
            <w:tcW w:w="13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4"/>
                <w:lang w:val="en-US" w:eastAsia="zh-CN"/>
              </w:rPr>
            </w:pPr>
            <w:r>
              <w:rPr>
                <w:rFonts w:hint="eastAsia" w:ascii="宋体" w:hAnsi="宋体" w:cs="宋体"/>
                <w:kern w:val="0"/>
                <w:sz w:val="24"/>
                <w:lang w:val="en-US" w:eastAsia="zh-CN"/>
              </w:rPr>
              <w:t>/</w:t>
            </w:r>
          </w:p>
        </w:tc>
        <w:tc>
          <w:tcPr>
            <w:tcW w:w="11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平方米</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6</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2</w:t>
            </w:r>
          </w:p>
        </w:tc>
        <w:tc>
          <w:tcPr>
            <w:tcW w:w="27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原设备拆除</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4"/>
                <w:lang w:val="en-US" w:eastAsia="zh-CN"/>
              </w:rPr>
            </w:pPr>
            <w:r>
              <w:rPr>
                <w:rFonts w:hint="eastAsia" w:ascii="宋体" w:hAnsi="宋体" w:cs="宋体"/>
                <w:kern w:val="0"/>
                <w:sz w:val="24"/>
                <w:lang w:val="en-US" w:eastAsia="zh-CN"/>
              </w:rPr>
              <w:t>/</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套</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3</w:t>
            </w:r>
          </w:p>
        </w:tc>
        <w:tc>
          <w:tcPr>
            <w:tcW w:w="27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ascii="宋体" w:hAnsi="宋体" w:cs="宋体"/>
                <w:kern w:val="0"/>
                <w:sz w:val="24"/>
              </w:rPr>
              <w:t>内外壁镀锌管道</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米</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12</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4</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水泵接合器</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套</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5</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室外消火栓</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ascii="宋体" w:hAnsi="宋体" w:cs="宋体"/>
                <w:kern w:val="0"/>
                <w:sz w:val="22"/>
              </w:rPr>
              <w:t>套</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6</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焊接法兰</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个</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4</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7</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焊接弯头</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　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个</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9</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8</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链接螺栓</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14*80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ascii="宋体" w:hAnsi="宋体" w:cs="宋体"/>
                <w:kern w:val="0"/>
                <w:sz w:val="22"/>
              </w:rPr>
              <w:t>套</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16</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9</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防腐处理、</w:t>
            </w:r>
            <w:r>
              <w:rPr>
                <w:rFonts w:ascii="宋体" w:hAnsi="宋体" w:cs="宋体"/>
                <w:kern w:val="0"/>
                <w:sz w:val="24"/>
              </w:rPr>
              <w:t>阀门井口封堵</w:t>
            </w:r>
            <w:r>
              <w:rPr>
                <w:rFonts w:hint="eastAsia" w:ascii="宋体" w:hAnsi="宋体" w:cs="宋体"/>
                <w:kern w:val="0"/>
                <w:sz w:val="24"/>
              </w:rPr>
              <w:t>、</w:t>
            </w:r>
            <w:r>
              <w:rPr>
                <w:rFonts w:ascii="宋体" w:hAnsi="宋体" w:cs="宋体"/>
                <w:kern w:val="0"/>
                <w:sz w:val="24"/>
              </w:rPr>
              <w:t>路面石材恢复</w:t>
            </w:r>
            <w:r>
              <w:rPr>
                <w:rFonts w:hint="eastAsia" w:ascii="宋体" w:hAnsi="宋体" w:cs="宋体"/>
                <w:kern w:val="0"/>
                <w:sz w:val="24"/>
              </w:rPr>
              <w:t>等</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4"/>
                <w:lang w:val="en-US" w:eastAsia="zh-CN"/>
              </w:rPr>
            </w:pPr>
            <w:r>
              <w:rPr>
                <w:rFonts w:hint="eastAsia" w:ascii="宋体" w:hAnsi="宋体" w:cs="宋体"/>
                <w:kern w:val="0"/>
                <w:sz w:val="24"/>
                <w:lang w:val="en-US" w:eastAsia="zh-CN"/>
              </w:rPr>
              <w:t>/</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项</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1</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2"/>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2"/>
              </w:rPr>
            </w:pPr>
          </w:p>
        </w:tc>
      </w:tr>
      <w:tr>
        <w:tblPrEx>
          <w:tblCellMar>
            <w:top w:w="0" w:type="dxa"/>
            <w:left w:w="108" w:type="dxa"/>
            <w:bottom w:w="0" w:type="dxa"/>
            <w:right w:w="108" w:type="dxa"/>
          </w:tblCellMar>
        </w:tblPrEx>
        <w:trPr>
          <w:trHeight w:val="420" w:hRule="atLeast"/>
          <w:jc w:val="center"/>
        </w:trPr>
        <w:tc>
          <w:tcPr>
            <w:tcW w:w="81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10</w:t>
            </w:r>
          </w:p>
        </w:tc>
        <w:tc>
          <w:tcPr>
            <w:tcW w:w="27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ascii="宋体" w:hAnsi="宋体" w:cs="宋体"/>
                <w:kern w:val="0"/>
                <w:sz w:val="24"/>
              </w:rPr>
              <w:t>人工费</w:t>
            </w:r>
          </w:p>
        </w:tc>
        <w:tc>
          <w:tcPr>
            <w:tcW w:w="3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2"/>
                <w:lang w:val="en-US" w:eastAsia="zh-CN"/>
              </w:rPr>
            </w:pPr>
            <w:r>
              <w:rPr>
                <w:rFonts w:hint="eastAsia" w:ascii="宋体" w:hAnsi="宋体" w:cs="宋体"/>
                <w:kern w:val="0"/>
                <w:sz w:val="22"/>
                <w:lang w:val="en-US" w:eastAsia="zh-CN"/>
              </w:rPr>
              <w:t>/</w:t>
            </w:r>
          </w:p>
        </w:tc>
        <w:tc>
          <w:tcPr>
            <w:tcW w:w="1188"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22"/>
              </w:rPr>
            </w:pPr>
          </w:p>
        </w:tc>
        <w:tc>
          <w:tcPr>
            <w:tcW w:w="1188"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22"/>
              </w:rPr>
            </w:pPr>
          </w:p>
        </w:tc>
      </w:tr>
      <w:tr>
        <w:tblPrEx>
          <w:tblCellMar>
            <w:top w:w="0" w:type="dxa"/>
            <w:left w:w="108" w:type="dxa"/>
            <w:bottom w:w="0" w:type="dxa"/>
            <w:right w:w="108" w:type="dxa"/>
          </w:tblCellMar>
        </w:tblPrEx>
        <w:trPr>
          <w:trHeight w:val="420" w:hRule="atLeast"/>
          <w:jc w:val="center"/>
        </w:trPr>
        <w:tc>
          <w:tcPr>
            <w:tcW w:w="81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default" w:ascii="微软雅黑" w:hAnsi="微软雅黑" w:eastAsia="微软雅黑" w:cs="宋体"/>
                <w:color w:val="000000"/>
                <w:kern w:val="0"/>
                <w:sz w:val="20"/>
                <w:szCs w:val="20"/>
                <w:lang w:val="en-US" w:eastAsia="zh-CN"/>
              </w:rPr>
            </w:pPr>
            <w:r>
              <w:rPr>
                <w:rFonts w:hint="eastAsia" w:ascii="微软雅黑" w:hAnsi="微软雅黑" w:eastAsia="微软雅黑" w:cs="宋体"/>
                <w:color w:val="000000"/>
                <w:kern w:val="0"/>
                <w:sz w:val="20"/>
                <w:szCs w:val="20"/>
                <w:lang w:val="en-US" w:eastAsia="zh-CN"/>
              </w:rPr>
              <w:t>11</w:t>
            </w:r>
          </w:p>
        </w:tc>
        <w:tc>
          <w:tcPr>
            <w:tcW w:w="27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kern w:val="0"/>
                <w:sz w:val="24"/>
                <w:lang w:val="en-US" w:eastAsia="zh-CN"/>
              </w:rPr>
            </w:pPr>
            <w:r>
              <w:rPr>
                <w:rFonts w:hint="eastAsia" w:ascii="宋体" w:hAnsi="宋体" w:cs="宋体"/>
                <w:kern w:val="0"/>
                <w:sz w:val="24"/>
                <w:lang w:val="en-US" w:eastAsia="zh-CN"/>
              </w:rPr>
              <w:t>合计</w:t>
            </w:r>
          </w:p>
        </w:tc>
        <w:tc>
          <w:tcPr>
            <w:tcW w:w="6036"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2"/>
                <w:lang w:eastAsia="zh-CN"/>
              </w:rPr>
            </w:pPr>
            <w:r>
              <w:rPr>
                <w:rFonts w:hint="eastAsia" w:ascii="宋体" w:hAnsi="宋体" w:cs="宋体"/>
                <w:kern w:val="0"/>
                <w:sz w:val="22"/>
                <w:lang w:eastAsia="zh-CN"/>
              </w:rPr>
              <w:t>大写：</w:t>
            </w:r>
          </w:p>
        </w:tc>
      </w:tr>
    </w:tbl>
    <w:p>
      <w:pPr>
        <w:numPr>
          <w:ilvl w:val="0"/>
          <w:numId w:val="0"/>
        </w:numPr>
        <w:snapToGrid w:val="0"/>
        <w:spacing w:line="500" w:lineRule="exact"/>
        <w:ind w:firstLine="960" w:firstLineChars="400"/>
        <w:rPr>
          <w:rFonts w:hint="eastAsia" w:ascii="方正仿宋_GBK" w:hAnsi="宋体" w:eastAsia="方正仿宋_GBK" w:cs="Times New Roman"/>
          <w:color w:val="auto"/>
          <w:sz w:val="24"/>
          <w:szCs w:val="28"/>
          <w:lang w:val="en-US" w:eastAsia="zh-CN"/>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1、本工程为总价包干（包含但不限于人工费、材料费、机械费、保险费、税费等各项费用）。</w:t>
      </w:r>
    </w:p>
    <w:p>
      <w:pPr>
        <w:numPr>
          <w:ilvl w:val="0"/>
          <w:numId w:val="0"/>
        </w:numPr>
        <w:snapToGrid w:val="0"/>
        <w:spacing w:line="500" w:lineRule="exact"/>
        <w:ind w:firstLine="960" w:firstLineChars="4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auto"/>
          <w:sz w:val="24"/>
          <w:szCs w:val="24"/>
        </w:rPr>
        <w:t xml:space="preserve">  </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000000" w:themeColor="text1"/>
          <w:sz w:val="24"/>
          <w:szCs w:val="28"/>
          <w14:textFill>
            <w14:solidFill>
              <w14:schemeClr w14:val="tx1"/>
            </w14:solidFill>
          </w14:textFill>
        </w:rPr>
        <w:t>该表可扩展</w:t>
      </w:r>
      <w:bookmarkStart w:id="155" w:name="OLE_LINK2"/>
      <w:bookmarkStart w:id="156" w:name="OLE_LINK1"/>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bookmarkEnd w:id="155"/>
      <w:bookmarkEnd w:id="156"/>
    </w:p>
    <w:p>
      <w:pPr>
        <w:numPr>
          <w:ilvl w:val="0"/>
          <w:numId w:val="0"/>
        </w:numPr>
        <w:snapToGrid w:val="0"/>
        <w:spacing w:line="500" w:lineRule="exact"/>
        <w:rPr>
          <w:rFonts w:ascii="方正仿宋_GBK" w:hAnsi="宋体" w:eastAsia="方正仿宋_GBK" w:cs="Times New Roman"/>
          <w:color w:val="auto"/>
          <w:sz w:val="24"/>
          <w:szCs w:val="24"/>
        </w:rPr>
      </w:pP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7" w:name="_Toc313008357"/>
      <w:bookmarkStart w:id="158" w:name="_Toc313888361"/>
      <w:bookmarkStart w:id="159" w:name="_Toc480979019"/>
      <w:bookmarkStart w:id="160" w:name="_Toc342913420"/>
      <w:bookmarkStart w:id="161" w:name="_Toc485108797"/>
      <w:r>
        <w:rPr>
          <w:rFonts w:hint="eastAsia"/>
          <w:b/>
          <w:color w:val="auto"/>
        </w:rPr>
        <w:t>二、服务部分</w:t>
      </w:r>
      <w:bookmarkEnd w:id="157"/>
      <w:bookmarkEnd w:id="158"/>
      <w:bookmarkEnd w:id="159"/>
      <w:bookmarkEnd w:id="160"/>
      <w:bookmarkEnd w:id="161"/>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2" w:name="_Toc342913421"/>
      <w:bookmarkStart w:id="163" w:name="_Toc480979020"/>
      <w:bookmarkStart w:id="164" w:name="_Toc313008358"/>
      <w:bookmarkStart w:id="165" w:name="_Toc313888362"/>
      <w:bookmarkStart w:id="166" w:name="_Toc485108798"/>
      <w:r>
        <w:rPr>
          <w:rFonts w:hint="eastAsia"/>
          <w:b/>
          <w:color w:val="auto"/>
        </w:rPr>
        <w:t>三、商务部分</w:t>
      </w:r>
      <w:bookmarkEnd w:id="162"/>
      <w:bookmarkEnd w:id="163"/>
      <w:bookmarkEnd w:id="164"/>
      <w:bookmarkEnd w:id="165"/>
      <w:bookmarkEnd w:id="166"/>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7"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1"/>
              </w:rPr>
              <w:t>采购需求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7"/>
      <w:bookmarkStart w:id="168" w:name="_Toc313008359"/>
      <w:bookmarkStart w:id="169" w:name="_Toc342913422"/>
      <w:bookmarkStart w:id="170"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68"/>
      <w:bookmarkEnd w:id="169"/>
      <w:bookmarkEnd w:id="170"/>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1" w:name="OLE_LINK4"/>
      <w:bookmarkStart w:id="172"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1"/>
    <w:bookmarkEnd w:id="172"/>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641FB"/>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4DA26C6"/>
    <w:rsid w:val="074B1659"/>
    <w:rsid w:val="07C5765D"/>
    <w:rsid w:val="07F26429"/>
    <w:rsid w:val="0ACF458A"/>
    <w:rsid w:val="0AF67B2D"/>
    <w:rsid w:val="0B6F68C5"/>
    <w:rsid w:val="0BDC31C7"/>
    <w:rsid w:val="0BE1258C"/>
    <w:rsid w:val="0E0E625A"/>
    <w:rsid w:val="0E4D3D6E"/>
    <w:rsid w:val="0E5721EA"/>
    <w:rsid w:val="0E5A796A"/>
    <w:rsid w:val="0E5B6625"/>
    <w:rsid w:val="0E9859A3"/>
    <w:rsid w:val="0ECE4584"/>
    <w:rsid w:val="0F291536"/>
    <w:rsid w:val="0FAB0EE6"/>
    <w:rsid w:val="10246EEB"/>
    <w:rsid w:val="104D689B"/>
    <w:rsid w:val="109D57E0"/>
    <w:rsid w:val="11F052D6"/>
    <w:rsid w:val="129B22EB"/>
    <w:rsid w:val="12AA36D7"/>
    <w:rsid w:val="134E0964"/>
    <w:rsid w:val="137F41B7"/>
    <w:rsid w:val="14C6168E"/>
    <w:rsid w:val="160901A7"/>
    <w:rsid w:val="18130842"/>
    <w:rsid w:val="18645220"/>
    <w:rsid w:val="19B7492C"/>
    <w:rsid w:val="1B3E70B3"/>
    <w:rsid w:val="1B684130"/>
    <w:rsid w:val="1B925650"/>
    <w:rsid w:val="1BA85BAA"/>
    <w:rsid w:val="1CED540D"/>
    <w:rsid w:val="1CF736B7"/>
    <w:rsid w:val="1CFA525B"/>
    <w:rsid w:val="1D632E00"/>
    <w:rsid w:val="1DD87EDC"/>
    <w:rsid w:val="1F6D6E4A"/>
    <w:rsid w:val="1FCE723D"/>
    <w:rsid w:val="200603BB"/>
    <w:rsid w:val="203372B2"/>
    <w:rsid w:val="204C6181"/>
    <w:rsid w:val="20FB0BC7"/>
    <w:rsid w:val="21C45BE8"/>
    <w:rsid w:val="21D92CBD"/>
    <w:rsid w:val="21F678C9"/>
    <w:rsid w:val="23743B1F"/>
    <w:rsid w:val="247104F9"/>
    <w:rsid w:val="254D6667"/>
    <w:rsid w:val="257007B0"/>
    <w:rsid w:val="25B67319"/>
    <w:rsid w:val="25B7688A"/>
    <w:rsid w:val="25B91E1A"/>
    <w:rsid w:val="26380176"/>
    <w:rsid w:val="271E4A07"/>
    <w:rsid w:val="275D539C"/>
    <w:rsid w:val="2899001E"/>
    <w:rsid w:val="28BA1D43"/>
    <w:rsid w:val="28CD4235"/>
    <w:rsid w:val="28E31299"/>
    <w:rsid w:val="2ACB53E6"/>
    <w:rsid w:val="2BBD2276"/>
    <w:rsid w:val="2E9A064C"/>
    <w:rsid w:val="2F1F1F02"/>
    <w:rsid w:val="2F2348BD"/>
    <w:rsid w:val="2F6F1AD9"/>
    <w:rsid w:val="2FD06C0B"/>
    <w:rsid w:val="309D4424"/>
    <w:rsid w:val="30A44277"/>
    <w:rsid w:val="32050A97"/>
    <w:rsid w:val="323E39E4"/>
    <w:rsid w:val="33136C1F"/>
    <w:rsid w:val="3361798A"/>
    <w:rsid w:val="35D24B6F"/>
    <w:rsid w:val="35E87A5C"/>
    <w:rsid w:val="35FE5964"/>
    <w:rsid w:val="369E4A52"/>
    <w:rsid w:val="375A306E"/>
    <w:rsid w:val="38442273"/>
    <w:rsid w:val="38C010B0"/>
    <w:rsid w:val="391C67AE"/>
    <w:rsid w:val="39A3534F"/>
    <w:rsid w:val="3B30241A"/>
    <w:rsid w:val="3C44609B"/>
    <w:rsid w:val="3C4F6F1A"/>
    <w:rsid w:val="3C9526DB"/>
    <w:rsid w:val="3DD60FEB"/>
    <w:rsid w:val="3E263CAA"/>
    <w:rsid w:val="3E6B192F"/>
    <w:rsid w:val="3E84321C"/>
    <w:rsid w:val="3F7647BE"/>
    <w:rsid w:val="3FB62E0C"/>
    <w:rsid w:val="41007A8F"/>
    <w:rsid w:val="415869FC"/>
    <w:rsid w:val="419453CF"/>
    <w:rsid w:val="42030507"/>
    <w:rsid w:val="43CF26F8"/>
    <w:rsid w:val="453273D9"/>
    <w:rsid w:val="4554734F"/>
    <w:rsid w:val="461B60BF"/>
    <w:rsid w:val="472F1E22"/>
    <w:rsid w:val="475461C4"/>
    <w:rsid w:val="477A0BC3"/>
    <w:rsid w:val="47F3755A"/>
    <w:rsid w:val="492C6FBB"/>
    <w:rsid w:val="499D1F70"/>
    <w:rsid w:val="4A0C17EE"/>
    <w:rsid w:val="4A1025A8"/>
    <w:rsid w:val="4AC26B09"/>
    <w:rsid w:val="4AC5484B"/>
    <w:rsid w:val="4AD41B9B"/>
    <w:rsid w:val="4B0C247A"/>
    <w:rsid w:val="4B1F3F5B"/>
    <w:rsid w:val="4BE8259F"/>
    <w:rsid w:val="4C4E289A"/>
    <w:rsid w:val="4D6C7200"/>
    <w:rsid w:val="4DBC4202"/>
    <w:rsid w:val="4F2E0C11"/>
    <w:rsid w:val="5012408F"/>
    <w:rsid w:val="50591CBD"/>
    <w:rsid w:val="514069D9"/>
    <w:rsid w:val="517B7F42"/>
    <w:rsid w:val="51AC22C1"/>
    <w:rsid w:val="51D77CAA"/>
    <w:rsid w:val="523B78D6"/>
    <w:rsid w:val="52720E14"/>
    <w:rsid w:val="52ED493F"/>
    <w:rsid w:val="55297C80"/>
    <w:rsid w:val="56FF2E93"/>
    <w:rsid w:val="57ED5E45"/>
    <w:rsid w:val="58B574EB"/>
    <w:rsid w:val="58FC1D80"/>
    <w:rsid w:val="593509FB"/>
    <w:rsid w:val="59E56370"/>
    <w:rsid w:val="5B092532"/>
    <w:rsid w:val="5B3E21DC"/>
    <w:rsid w:val="5B4A5024"/>
    <w:rsid w:val="5BC414F3"/>
    <w:rsid w:val="5CAE15E3"/>
    <w:rsid w:val="5D290C69"/>
    <w:rsid w:val="5E033269"/>
    <w:rsid w:val="5F3F2DAC"/>
    <w:rsid w:val="5FB15C3A"/>
    <w:rsid w:val="6022194E"/>
    <w:rsid w:val="60D65D3F"/>
    <w:rsid w:val="60F4333C"/>
    <w:rsid w:val="611A50B4"/>
    <w:rsid w:val="619C43F3"/>
    <w:rsid w:val="6269072D"/>
    <w:rsid w:val="6271733B"/>
    <w:rsid w:val="62A30CCB"/>
    <w:rsid w:val="645A13DB"/>
    <w:rsid w:val="64634A61"/>
    <w:rsid w:val="65BA4B55"/>
    <w:rsid w:val="66815672"/>
    <w:rsid w:val="67762CFD"/>
    <w:rsid w:val="691E53FA"/>
    <w:rsid w:val="6972525B"/>
    <w:rsid w:val="69E06B54"/>
    <w:rsid w:val="69FC5E8B"/>
    <w:rsid w:val="6A7E25F5"/>
    <w:rsid w:val="6ACF2E50"/>
    <w:rsid w:val="6AD06BC8"/>
    <w:rsid w:val="6B217424"/>
    <w:rsid w:val="6B28360F"/>
    <w:rsid w:val="6B9F4D55"/>
    <w:rsid w:val="6BAA3DD9"/>
    <w:rsid w:val="6DC70D5C"/>
    <w:rsid w:val="6E45126B"/>
    <w:rsid w:val="6E7F220D"/>
    <w:rsid w:val="6F062BB9"/>
    <w:rsid w:val="70A442CE"/>
    <w:rsid w:val="70E64A50"/>
    <w:rsid w:val="71231A63"/>
    <w:rsid w:val="73B34AD5"/>
    <w:rsid w:val="7682521B"/>
    <w:rsid w:val="775E00EB"/>
    <w:rsid w:val="783A1618"/>
    <w:rsid w:val="788222E3"/>
    <w:rsid w:val="78CC185F"/>
    <w:rsid w:val="7908485F"/>
    <w:rsid w:val="793F0B2C"/>
    <w:rsid w:val="797D07AB"/>
    <w:rsid w:val="79AC25AE"/>
    <w:rsid w:val="7A0A4FA8"/>
    <w:rsid w:val="7B306E47"/>
    <w:rsid w:val="7BF87D2D"/>
    <w:rsid w:val="7C683BAE"/>
    <w:rsid w:val="7CBD0742"/>
    <w:rsid w:val="7DB27045"/>
    <w:rsid w:val="7E2D016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16826</Words>
  <Characters>17490</Characters>
  <Lines>182</Lines>
  <Paragraphs>51</Paragraphs>
  <TotalTime>8</TotalTime>
  <ScaleCrop>false</ScaleCrop>
  <LinksUpToDate>false</LinksUpToDate>
  <CharactersWithSpaces>18756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2023-06-21T06:40:41Z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D90EFDEDCD294DEAB041A069E42458C9</vt:lpwstr>
  </property>
</Properties>
</file>