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2023FW026</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医疗废物处置服务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七</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技术参数要求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_Toc15905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w:t>
      </w:r>
      <w:r>
        <w:rPr>
          <w:rFonts w:hint="eastAsia" w:ascii="微软雅黑" w:hAnsi="微软雅黑" w:eastAsia="微软雅黑" w:cs="微软雅黑"/>
          <w:color w:val="000000" w:themeColor="text1"/>
          <w:szCs w:val="24"/>
          <w:lang w:eastAsia="zh-CN"/>
          <w14:textFill>
            <w14:solidFill>
              <w14:schemeClr w14:val="tx1"/>
            </w14:solidFill>
          </w14:textFill>
        </w:rPr>
        <w:t>施工安装及售后服务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五</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2789052"/>
      <w:bookmarkStart w:id="1" w:name="_Toc25875"/>
      <w:bookmarkStart w:id="2" w:name="_Toc11641050"/>
      <w:bookmarkStart w:id="3" w:name="_Toc485108766"/>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173" w:name="_GoBack"/>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医疗废物处置服务服务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7775175"/>
      <w:bookmarkStart w:id="7" w:name="_Toc28443"/>
      <w:bookmarkStart w:id="8" w:name="_Toc313893526"/>
      <w:bookmarkStart w:id="9" w:name="_Toc485108767"/>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医疗废物处置服务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spacing w:line="480" w:lineRule="exact"/>
        <w:ind w:firstLine="480" w:firstLineChars="200"/>
        <w:rPr>
          <w:rFonts w:hint="eastAsia" w:ascii="方正仿宋_GBK" w:hAnsi="宋体" w:eastAsia="方正仿宋_GBK" w:cs="Times New Roman"/>
          <w:b/>
          <w:bCs/>
          <w:color w:val="000000" w:themeColor="text1"/>
          <w:sz w:val="24"/>
          <w:szCs w:val="24"/>
          <w14:textFill>
            <w14:solidFill>
              <w14:schemeClr w14:val="tx1"/>
            </w14:solidFill>
          </w14:textFill>
        </w:rPr>
      </w:pPr>
      <w:bookmarkStart w:id="16" w:name="_Toc6"/>
      <w:bookmarkStart w:id="17" w:name="_Toc11958"/>
      <w:bookmarkStart w:id="18" w:name="_Toc102227313"/>
      <w:bookmarkStart w:id="19" w:name="_Toc485108774"/>
      <w:r>
        <w:rPr>
          <w:rFonts w:hint="eastAsia" w:ascii="方正仿宋_GBK" w:hAnsi="宋体" w:eastAsia="方正仿宋_GBK" w:cs="Times New Roman"/>
          <w:b/>
          <w:bCs/>
          <w:color w:val="000000" w:themeColor="text1"/>
          <w:sz w:val="24"/>
          <w:szCs w:val="24"/>
          <w14:textFill>
            <w14:solidFill>
              <w14:schemeClr w14:val="tx1"/>
            </w14:solidFill>
          </w14:textFill>
        </w:rPr>
        <w:t>有效的三证合一营业执照（经营范围包含废物收集、处置等相关内容）、危险废物经营许可证</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7</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24</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7</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27</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olor w:val="auto"/>
          <w:sz w:val="24"/>
          <w:szCs w:val="24"/>
          <w:lang w:eastAsia="zh-CN"/>
        </w:rPr>
      </w:pP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olor w:val="auto"/>
          <w:sz w:val="24"/>
          <w:szCs w:val="24"/>
          <w:lang w:eastAsia="zh-CN"/>
        </w:rPr>
        <w:t>待定，见后续官网公告</w:t>
      </w:r>
    </w:p>
    <w:p>
      <w:pPr>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olor w:val="auto"/>
          <w:sz w:val="24"/>
          <w:szCs w:val="24"/>
          <w:lang w:eastAsia="zh-CN"/>
        </w:rPr>
        <w:t>待定</w:t>
      </w:r>
      <w:r>
        <w:rPr>
          <w:rFonts w:hint="eastAsia" w:ascii="方正仿宋_GBK" w:hAnsi="宋体" w:eastAsia="方正仿宋_GBK"/>
          <w:color w:val="auto"/>
          <w:sz w:val="24"/>
          <w:szCs w:val="24"/>
          <w:lang w:val="en-US" w:eastAsia="zh-CN"/>
        </w:rPr>
        <w:t>.</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31390"/>
      <w:bookmarkStart w:id="29" w:name="_Toc913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bookmarkEnd w:id="173"/>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投标报价均为包干价，包含但不限于</w:t>
      </w:r>
      <w:r>
        <w:rPr>
          <w:rFonts w:hint="eastAsia" w:ascii="方正仿宋_GBK" w:hAnsi="宋体" w:eastAsia="方正仿宋_GBK" w:cs="Times New Roman"/>
          <w:color w:val="000000" w:themeColor="text1"/>
          <w:sz w:val="24"/>
          <w:szCs w:val="24"/>
          <w:lang w:eastAsia="zh-CN"/>
          <w14:textFill>
            <w14:solidFill>
              <w14:schemeClr w14:val="tx1"/>
            </w14:solidFill>
          </w14:textFill>
        </w:rPr>
        <w:t>拆旧费、</w:t>
      </w:r>
      <w:r>
        <w:rPr>
          <w:rFonts w:hint="eastAsia" w:ascii="方正仿宋_GBK" w:hAnsi="宋体" w:eastAsia="方正仿宋_GBK" w:cs="Times New Roman"/>
          <w:color w:val="000000" w:themeColor="text1"/>
          <w:sz w:val="24"/>
          <w:szCs w:val="24"/>
          <w14:textFill>
            <w14:solidFill>
              <w14:schemeClr w14:val="tx1"/>
            </w14:solidFill>
          </w14:textFill>
        </w:rPr>
        <w:t>货款、税费、运输费、保险费、安装费、调试费等各项费用，以及成交供应商人工工资、奖金、福利、社保、管理、交通、运输、利润、税金、风险费等在内的所有费用。（因成交供应商自身原因造成漏报、少报皆由其自行承担责任，采购人不再补偿）</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8"/>
      <w:bookmarkStart w:id="36" w:name="OLE_LINK9"/>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numPr>
          <w:ilvl w:val="0"/>
          <w:numId w:val="13"/>
        </w:numPr>
        <w:spacing w:line="240" w:lineRule="auto"/>
        <w:rPr>
          <w:rFonts w:hint="eastAsia" w:ascii="仿宋" w:hAnsi="仿宋" w:eastAsia="仿宋"/>
          <w:sz w:val="28"/>
          <w:szCs w:val="28"/>
          <w:lang w:eastAsia="zh-CN"/>
        </w:rPr>
      </w:pPr>
      <w:bookmarkStart w:id="67" w:name="_Toc12789058"/>
      <w:r>
        <w:rPr>
          <w:rFonts w:hint="eastAsia" w:ascii="仿宋" w:hAnsi="仿宋" w:eastAsia="仿宋"/>
          <w:sz w:val="28"/>
          <w:szCs w:val="28"/>
          <w:lang w:eastAsia="zh-CN"/>
        </w:rPr>
        <w:t>服务地点与服务需求</w:t>
      </w:r>
    </w:p>
    <w:p>
      <w:pPr>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服务地点：渝西区域应急医院（永川区大安街道铁山村）</w:t>
      </w:r>
    </w:p>
    <w:p>
      <w:pPr>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服务需求：</w:t>
      </w:r>
    </w:p>
    <w:p>
      <w:pPr>
        <w:spacing w:line="400" w:lineRule="exact"/>
        <w:ind w:firstLine="720" w:firstLineChars="3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1、服务方免费提供清洁、已消毒的医疗废物周转箱，箱体及箱盖无破损，密封严密。（每20个床位一个）</w:t>
      </w:r>
    </w:p>
    <w:p>
      <w:pPr>
        <w:spacing w:line="400" w:lineRule="exact"/>
        <w:ind w:firstLine="720" w:firstLineChars="3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2、服务方车辆须检修保养，转运时不泄漏，以保证医疗废物的安全转运工作。</w:t>
      </w:r>
    </w:p>
    <w:p>
      <w:pPr>
        <w:spacing w:line="400" w:lineRule="exact"/>
        <w:ind w:firstLine="720" w:firstLineChars="3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3、服务方应按国家有关规定按时收运采购方暂时贮存间（点）内的医疗废物，并对医疗废物进行无害化处置。</w:t>
      </w:r>
    </w:p>
    <w:p>
      <w:pPr>
        <w:spacing w:line="400" w:lineRule="exact"/>
        <w:ind w:firstLine="720" w:firstLineChars="3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4、医疗废物收运频次为每天一次。</w:t>
      </w:r>
    </w:p>
    <w:p>
      <w:pPr>
        <w:spacing w:line="400" w:lineRule="exact"/>
        <w:ind w:firstLine="720" w:firstLineChars="3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5、当采购方需临时紧急处置医疗废物时，服务方应积极配合采购方收运、处置。</w:t>
      </w:r>
    </w:p>
    <w:p>
      <w:pPr>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center"/>
        <w:rPr>
          <w:b/>
          <w:color w:val="000000" w:themeColor="text1"/>
          <w:sz w:val="44"/>
          <w:szCs w:val="44"/>
          <w14:textFill>
            <w14:solidFill>
              <w14:schemeClr w14:val="tx1"/>
            </w14:solidFill>
          </w14:textFill>
        </w:rPr>
      </w:pPr>
      <w:bookmarkStart w:id="68" w:name="_Toc28327"/>
      <w:bookmarkStart w:id="69" w:name="_Toc48510878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2" w:name="_Toc485108788"/>
      <w:bookmarkStart w:id="73" w:name="_Toc2302"/>
      <w:bookmarkStart w:id="74" w:name="_Toc344475121"/>
      <w:r>
        <w:rPr>
          <w:rFonts w:hint="eastAsia" w:ascii="微软雅黑" w:hAnsi="微软雅黑" w:eastAsia="微软雅黑" w:cs="微软雅黑"/>
          <w:color w:val="000000" w:themeColor="text1"/>
          <w:sz w:val="24"/>
          <w:szCs w:val="24"/>
          <w14:textFill>
            <w14:solidFill>
              <w14:schemeClr w14:val="tx1"/>
            </w14:solidFill>
          </w14:textFill>
        </w:rPr>
        <w:t>一、服务地点</w:t>
      </w:r>
      <w:bookmarkEnd w:id="72"/>
      <w:bookmarkEnd w:id="73"/>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服务地点：渝西区域应急医院（永川区大安街道铁山村）</w:t>
      </w:r>
    </w:p>
    <w:bookmarkEnd w:id="74"/>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75" w:name="_Toc485108789"/>
      <w:bookmarkStart w:id="76" w:name="_Toc279"/>
      <w:bookmarkStart w:id="77" w:name="_Toc485108790"/>
      <w:bookmarkStart w:id="78" w:name="_Toc344475122"/>
    </w:p>
    <w:bookmarkEnd w:id="75"/>
    <w:bookmarkEnd w:id="76"/>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9" w:name="_Toc15905"/>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7"/>
      <w:bookmarkEnd w:id="78"/>
      <w:bookmarkEnd w:id="79"/>
    </w:p>
    <w:p>
      <w:pPr>
        <w:snapToGrid w:val="0"/>
        <w:spacing w:line="400" w:lineRule="exact"/>
        <w:ind w:firstLine="480" w:firstLineChars="200"/>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一</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仿宋" w:hAnsi="仿宋" w:eastAsia="仿宋"/>
          <w:sz w:val="28"/>
          <w:szCs w:val="28"/>
        </w:rPr>
      </w:pPr>
      <w:r>
        <w:rPr>
          <w:rFonts w:hint="eastAsia" w:ascii="方正仿宋_GBK" w:hAnsi="宋体" w:eastAsia="方正仿宋_GBK" w:cs="Times New Roman"/>
          <w:color w:val="000000" w:themeColor="text1"/>
          <w:sz w:val="24"/>
          <w:szCs w:val="24"/>
          <w14:textFill>
            <w14:solidFill>
              <w14:schemeClr w14:val="tx1"/>
            </w14:solidFill>
          </w14:textFill>
        </w:rPr>
        <w:t>服务方按照报价表（见附件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）进行报价，报价包含但不限于处置费、上车费、运输费、保险费、税费等各项费用等各项费用。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二</w:t>
      </w:r>
      <w:r>
        <w:rPr>
          <w:rFonts w:hint="eastAsia" w:ascii="方正仿宋_GBK" w:hAnsi="宋体" w:eastAsia="方正仿宋_GBK" w:cs="宋体"/>
          <w:color w:val="000000" w:themeColor="text1"/>
          <w:kern w:val="0"/>
          <w:sz w:val="24"/>
          <w:szCs w:val="24"/>
          <w14:textFill>
            <w14:solidFill>
              <w14:schemeClr w14:val="tx1"/>
            </w14:solidFill>
          </w14:textFill>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80" w:name="_Toc403569795"/>
      <w:bookmarkStart w:id="81" w:name="_Toc7358"/>
      <w:bookmarkStart w:id="82" w:name="_Toc485108793"/>
      <w:r>
        <w:rPr>
          <w:rFonts w:hint="eastAsia" w:ascii="方正仿宋_GBK" w:hAnsi="宋体" w:eastAsia="方正仿宋_GBK" w:cs="Times New Roman"/>
          <w:color w:val="000000" w:themeColor="text1"/>
          <w:sz w:val="24"/>
          <w:szCs w:val="24"/>
          <w14:textFill>
            <w14:solidFill>
              <w14:schemeClr w14:val="tx1"/>
            </w14:solidFill>
          </w14:textFill>
        </w:rPr>
        <w:t>服务方每月5日前向采购方提供上个月的数量清单和合法发票（遇到法定节假日时，延长至工作日上班第一天），经采购方审核无误后60日内以转账方式支付费用。</w:t>
      </w:r>
    </w:p>
    <w:p>
      <w:pPr>
        <w:pStyle w:val="3"/>
        <w:numPr>
          <w:ilvl w:val="0"/>
          <w:numId w:val="0"/>
        </w:numPr>
        <w:spacing w:line="240" w:lineRule="auto"/>
        <w:ind w:leftChars="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三、合同期限</w:t>
      </w:r>
    </w:p>
    <w:p>
      <w:pPr>
        <w:snapToGrid w:val="0"/>
        <w:spacing w:line="400" w:lineRule="exact"/>
        <w:ind w:firstLine="54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2023年7月至2025年12月底。如果合同期内服务方失去相应经营许可资格，合同自动终止。具体收运时间以应急医院运行后，采购方通知为准。</w:t>
      </w:r>
    </w:p>
    <w:p>
      <w:pPr>
        <w:numPr>
          <w:ilvl w:val="0"/>
          <w:numId w:val="0"/>
        </w:numPr>
        <w:ind w:leftChars="0"/>
        <w:rPr>
          <w:rFonts w:hint="eastAsia"/>
          <w:lang w:eastAsia="zh-CN"/>
        </w:rPr>
      </w:pP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3"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3"/>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、其他</w:t>
      </w:r>
      <w:bookmarkEnd w:id="80"/>
      <w:bookmarkEnd w:id="81"/>
      <w:bookmarkEnd w:id="82"/>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54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附件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p>
    <w:p>
      <w:pPr>
        <w:jc w:val="center"/>
        <w:rPr>
          <w:sz w:val="32"/>
          <w:szCs w:val="32"/>
        </w:rPr>
      </w:pPr>
      <w:r>
        <w:rPr>
          <w:rFonts w:hint="eastAsia"/>
          <w:sz w:val="32"/>
          <w:szCs w:val="32"/>
        </w:rPr>
        <w:t>报价表</w:t>
      </w:r>
    </w:p>
    <w:tbl>
      <w:tblPr>
        <w:tblStyle w:val="5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618"/>
        <w:gridCol w:w="1438"/>
        <w:gridCol w:w="1438"/>
        <w:gridCol w:w="1439"/>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257" w:type="dxa"/>
            <w:vAlign w:val="center"/>
          </w:tcPr>
          <w:p>
            <w:pPr>
              <w:jc w:val="center"/>
            </w:pPr>
            <w:r>
              <w:rPr>
                <w:rFonts w:hint="eastAsia"/>
              </w:rPr>
              <w:t>名  称</w:t>
            </w:r>
          </w:p>
        </w:tc>
        <w:tc>
          <w:tcPr>
            <w:tcW w:w="1618" w:type="dxa"/>
            <w:vAlign w:val="center"/>
          </w:tcPr>
          <w:p>
            <w:pPr>
              <w:jc w:val="center"/>
            </w:pPr>
            <w:r>
              <w:rPr>
                <w:rFonts w:hint="eastAsia"/>
              </w:rPr>
              <w:t>单价（元/张/日）</w:t>
            </w:r>
          </w:p>
        </w:tc>
        <w:tc>
          <w:tcPr>
            <w:tcW w:w="1438" w:type="dxa"/>
            <w:vAlign w:val="center"/>
          </w:tcPr>
          <w:p>
            <w:pPr>
              <w:jc w:val="center"/>
            </w:pPr>
            <w:r>
              <w:rPr>
                <w:rFonts w:hint="eastAsia"/>
              </w:rPr>
              <w:t>床位数（张）</w:t>
            </w:r>
          </w:p>
        </w:tc>
        <w:tc>
          <w:tcPr>
            <w:tcW w:w="1438" w:type="dxa"/>
            <w:vAlign w:val="center"/>
          </w:tcPr>
          <w:p>
            <w:pPr>
              <w:jc w:val="center"/>
            </w:pPr>
            <w:r>
              <w:rPr>
                <w:rFonts w:hint="eastAsia"/>
              </w:rPr>
              <w:t>日费用（元）</w:t>
            </w:r>
          </w:p>
        </w:tc>
        <w:tc>
          <w:tcPr>
            <w:tcW w:w="1439" w:type="dxa"/>
            <w:vAlign w:val="center"/>
          </w:tcPr>
          <w:p>
            <w:pPr>
              <w:jc w:val="center"/>
            </w:pPr>
            <w:r>
              <w:rPr>
                <w:rFonts w:hint="eastAsia"/>
              </w:rPr>
              <w:t>年费用（按365日计算）</w:t>
            </w:r>
          </w:p>
        </w:tc>
        <w:tc>
          <w:tcPr>
            <w:tcW w:w="1439"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257" w:type="dxa"/>
            <w:vAlign w:val="center"/>
          </w:tcPr>
          <w:p>
            <w:pPr>
              <w:jc w:val="center"/>
            </w:pPr>
            <w:r>
              <w:rPr>
                <w:rFonts w:hint="eastAsia"/>
              </w:rPr>
              <w:t>医疗废物</w:t>
            </w:r>
          </w:p>
        </w:tc>
        <w:tc>
          <w:tcPr>
            <w:tcW w:w="1618" w:type="dxa"/>
            <w:vAlign w:val="center"/>
          </w:tcPr>
          <w:p>
            <w:pPr>
              <w:jc w:val="center"/>
            </w:pPr>
          </w:p>
        </w:tc>
        <w:tc>
          <w:tcPr>
            <w:tcW w:w="1438" w:type="dxa"/>
            <w:vAlign w:val="center"/>
          </w:tcPr>
          <w:p>
            <w:pPr>
              <w:jc w:val="center"/>
            </w:pPr>
            <w:r>
              <w:rPr>
                <w:rFonts w:hint="eastAsia"/>
              </w:rPr>
              <w:t>300</w:t>
            </w:r>
          </w:p>
        </w:tc>
        <w:tc>
          <w:tcPr>
            <w:tcW w:w="1438" w:type="dxa"/>
            <w:vAlign w:val="center"/>
          </w:tcPr>
          <w:p>
            <w:pPr>
              <w:jc w:val="center"/>
            </w:pPr>
          </w:p>
        </w:tc>
        <w:tc>
          <w:tcPr>
            <w:tcW w:w="1439" w:type="dxa"/>
            <w:vAlign w:val="center"/>
          </w:tcPr>
          <w:p>
            <w:pPr>
              <w:jc w:val="center"/>
            </w:pPr>
          </w:p>
        </w:tc>
        <w:tc>
          <w:tcPr>
            <w:tcW w:w="1439" w:type="dxa"/>
          </w:tcPr>
          <w:p/>
        </w:tc>
      </w:tr>
    </w:tbl>
    <w:p>
      <w:pPr>
        <w:snapToGrid w:val="0"/>
        <w:spacing w:line="400" w:lineRule="exact"/>
        <w:ind w:firstLine="54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84" w:name="_Toc14840"/>
      <w:bookmarkStart w:id="85" w:name="_Toc485108794"/>
      <w:bookmarkStart w:id="86" w:name="_Toc403569796"/>
      <w:bookmarkStart w:id="87" w:name="_Toc303945820"/>
      <w:bookmarkStart w:id="88"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4"/>
      <w:bookmarkEnd w:id="85"/>
      <w:bookmarkEnd w:id="8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9" w:name="_Toc30815"/>
      <w:bookmarkStart w:id="90"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9"/>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4"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6" w:name="_Toc54718203"/>
      <w:bookmarkStart w:id="97"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6"/>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8"/>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9" w:name="_Toc54718204"/>
      <w:bookmarkStart w:id="100"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9"/>
      <w:bookmarkEnd w:id="1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25177"/>
      <w:bookmarkStart w:id="102"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10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4"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2"/>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8" w:name="_Toc54718206"/>
      <w:bookmarkStart w:id="109"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8"/>
      <w:bookmarkEnd w:id="10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10" w:name="_Toc12985"/>
      <w:bookmarkStart w:id="111"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1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1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2" w:name="_Toc9053"/>
      <w:bookmarkStart w:id="113"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2"/>
      <w:bookmarkEnd w:id="11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4"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5"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6"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7" w:name="_Toc54718211"/>
      <w:bookmarkStart w:id="118"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7"/>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9"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0"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20"/>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21" w:name="_Toc54718210"/>
      <w:bookmarkStart w:id="122" w:name="_Toc31719"/>
      <w:bookmarkStart w:id="123" w:name="_Toc54718212"/>
      <w:bookmarkStart w:id="124"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21"/>
      <w:bookmarkEnd w:id="122"/>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5"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6"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3"/>
      <w:bookmarkEnd w:id="12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7"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8"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7"/>
      <w:bookmarkEnd w:id="12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9"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0"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2"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3"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3"/>
    </w:p>
    <w:bookmarkEnd w:id="87"/>
    <w:bookmarkEnd w:id="88"/>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4" w:name="_Hlt41879464"/>
      <w:bookmarkEnd w:id="134"/>
      <w:bookmarkStart w:id="135" w:name="_Toc12789072"/>
      <w:bookmarkStart w:id="136" w:name="_Toc485108795"/>
      <w:bookmarkStart w:id="137"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5"/>
      <w:bookmarkEnd w:id="136"/>
      <w:bookmarkEnd w:id="13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8"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8"/>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9"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0"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40"/>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1" w:name="_Toc38358147"/>
      <w:bookmarkStart w:id="142" w:name="OLE_LINK10"/>
      <w:bookmarkStart w:id="143"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4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4"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5"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5"/>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2"/>
    <w:bookmarkEnd w:id="143"/>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0"/>
        <w:numPr>
          <w:ilvl w:val="0"/>
          <w:numId w:val="14"/>
        </w:numPr>
        <w:ind w:firstLineChars="0"/>
        <w:rPr>
          <w:rFonts w:hint="eastAsia"/>
          <w:b/>
          <w:color w:val="000000" w:themeColor="text1"/>
          <w14:textFill>
            <w14:solidFill>
              <w14:schemeClr w14:val="tx1"/>
            </w14:solidFill>
          </w14:textFill>
        </w:rPr>
      </w:pPr>
      <w:bookmarkStart w:id="146" w:name="_Toc480979018"/>
      <w:bookmarkStart w:id="147" w:name="_Toc342913419"/>
      <w:bookmarkStart w:id="148" w:name="_Toc313888360"/>
      <w:bookmarkStart w:id="149" w:name="_Toc485108796"/>
      <w:bookmarkStart w:id="150" w:name="_Toc313008356"/>
      <w:bookmarkStart w:id="151" w:name="_Toc283382454"/>
      <w:bookmarkStart w:id="152" w:name="_Toc12789073"/>
      <w:r>
        <w:rPr>
          <w:rFonts w:hint="eastAsia"/>
          <w:b/>
          <w:color w:val="000000" w:themeColor="text1"/>
          <w14:textFill>
            <w14:solidFill>
              <w14:schemeClr w14:val="tx1"/>
            </w14:solidFill>
          </w14:textFill>
        </w:rPr>
        <w:t>经济部分</w:t>
      </w:r>
      <w:bookmarkEnd w:id="146"/>
      <w:bookmarkEnd w:id="147"/>
      <w:bookmarkEnd w:id="148"/>
      <w:bookmarkEnd w:id="149"/>
      <w:bookmarkEnd w:id="150"/>
    </w:p>
    <w:p>
      <w:pPr>
        <w:pStyle w:val="180"/>
        <w:ind w:left="450" w:firstLine="0" w:firstLineChars="0"/>
        <w:rPr>
          <w:b/>
          <w:color w:val="000000" w:themeColor="text1"/>
          <w14:textFill>
            <w14:solidFill>
              <w14:schemeClr w14:val="tx1"/>
            </w14:solidFill>
          </w14:textFill>
        </w:rPr>
      </w:pPr>
    </w:p>
    <w:bookmarkEnd w:id="151"/>
    <w:bookmarkEnd w:id="152"/>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医疗废物处置服务</w:t>
      </w:r>
    </w:p>
    <w:p>
      <w:pPr>
        <w:jc w:val="center"/>
        <w:rPr>
          <w:sz w:val="32"/>
          <w:szCs w:val="32"/>
        </w:rPr>
      </w:pPr>
      <w:r>
        <w:rPr>
          <w:rFonts w:hint="eastAsia"/>
          <w:sz w:val="32"/>
          <w:szCs w:val="32"/>
        </w:rPr>
        <w:t>报价表</w:t>
      </w:r>
    </w:p>
    <w:tbl>
      <w:tblPr>
        <w:tblStyle w:val="5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618"/>
        <w:gridCol w:w="1438"/>
        <w:gridCol w:w="1438"/>
        <w:gridCol w:w="1439"/>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257" w:type="dxa"/>
            <w:vAlign w:val="center"/>
          </w:tcPr>
          <w:p>
            <w:pPr>
              <w:jc w:val="center"/>
            </w:pPr>
            <w:r>
              <w:rPr>
                <w:rFonts w:hint="eastAsia"/>
              </w:rPr>
              <w:t>名  称</w:t>
            </w:r>
          </w:p>
        </w:tc>
        <w:tc>
          <w:tcPr>
            <w:tcW w:w="1618" w:type="dxa"/>
            <w:vAlign w:val="center"/>
          </w:tcPr>
          <w:p>
            <w:pPr>
              <w:jc w:val="center"/>
            </w:pPr>
            <w:r>
              <w:rPr>
                <w:rFonts w:hint="eastAsia"/>
              </w:rPr>
              <w:t>单价（元/张/日）</w:t>
            </w:r>
          </w:p>
        </w:tc>
        <w:tc>
          <w:tcPr>
            <w:tcW w:w="1438" w:type="dxa"/>
            <w:vAlign w:val="center"/>
          </w:tcPr>
          <w:p>
            <w:pPr>
              <w:jc w:val="center"/>
            </w:pPr>
            <w:r>
              <w:rPr>
                <w:rFonts w:hint="eastAsia"/>
              </w:rPr>
              <w:t>床位数（张）</w:t>
            </w:r>
          </w:p>
        </w:tc>
        <w:tc>
          <w:tcPr>
            <w:tcW w:w="1438" w:type="dxa"/>
            <w:vAlign w:val="center"/>
          </w:tcPr>
          <w:p>
            <w:pPr>
              <w:jc w:val="center"/>
            </w:pPr>
            <w:r>
              <w:rPr>
                <w:rFonts w:hint="eastAsia"/>
              </w:rPr>
              <w:t>日费用（元）</w:t>
            </w:r>
          </w:p>
        </w:tc>
        <w:tc>
          <w:tcPr>
            <w:tcW w:w="1439" w:type="dxa"/>
            <w:vAlign w:val="center"/>
          </w:tcPr>
          <w:p>
            <w:pPr>
              <w:jc w:val="center"/>
            </w:pPr>
            <w:r>
              <w:rPr>
                <w:rFonts w:hint="eastAsia"/>
              </w:rPr>
              <w:t>年费用（按365日计算）</w:t>
            </w:r>
          </w:p>
        </w:tc>
        <w:tc>
          <w:tcPr>
            <w:tcW w:w="1439"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257" w:type="dxa"/>
            <w:vAlign w:val="center"/>
          </w:tcPr>
          <w:p>
            <w:pPr>
              <w:jc w:val="center"/>
            </w:pPr>
            <w:r>
              <w:rPr>
                <w:rFonts w:hint="eastAsia"/>
              </w:rPr>
              <w:t>医疗废物</w:t>
            </w:r>
          </w:p>
        </w:tc>
        <w:tc>
          <w:tcPr>
            <w:tcW w:w="1618" w:type="dxa"/>
            <w:vAlign w:val="center"/>
          </w:tcPr>
          <w:p>
            <w:pPr>
              <w:jc w:val="center"/>
            </w:pPr>
          </w:p>
        </w:tc>
        <w:tc>
          <w:tcPr>
            <w:tcW w:w="1438" w:type="dxa"/>
            <w:vAlign w:val="center"/>
          </w:tcPr>
          <w:p>
            <w:pPr>
              <w:jc w:val="center"/>
            </w:pPr>
            <w:r>
              <w:rPr>
                <w:rFonts w:hint="eastAsia"/>
              </w:rPr>
              <w:t>300</w:t>
            </w:r>
          </w:p>
        </w:tc>
        <w:tc>
          <w:tcPr>
            <w:tcW w:w="1438" w:type="dxa"/>
            <w:vAlign w:val="center"/>
          </w:tcPr>
          <w:p>
            <w:pPr>
              <w:jc w:val="center"/>
            </w:pPr>
          </w:p>
        </w:tc>
        <w:tc>
          <w:tcPr>
            <w:tcW w:w="1439" w:type="dxa"/>
            <w:vAlign w:val="center"/>
          </w:tcPr>
          <w:p>
            <w:pPr>
              <w:jc w:val="center"/>
            </w:pPr>
          </w:p>
        </w:tc>
        <w:tc>
          <w:tcPr>
            <w:tcW w:w="1439" w:type="dxa"/>
          </w:tcPr>
          <w:p/>
        </w:tc>
      </w:tr>
    </w:tbl>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1、投标报价均为包干价，包含但不限于拆旧费、货款、税费、运输费、保险费、安装费、调试费等各项费用。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8"/>
          <w14:textFill>
            <w14:solidFill>
              <w14:schemeClr w14:val="tx1"/>
            </w14:solidFill>
          </w14:textFill>
        </w:rPr>
        <w:t>请供应商</w:t>
      </w:r>
      <w:r>
        <w:rPr>
          <w:rFonts w:hint="eastAsia" w:ascii="方正仿宋_GBK" w:hAnsi="宋体" w:eastAsia="方正仿宋_GBK" w:cs="Times New Roman"/>
          <w:b/>
          <w:bCs/>
          <w:color w:val="000000" w:themeColor="text1"/>
          <w:sz w:val="24"/>
          <w:szCs w:val="28"/>
          <w14:textFill>
            <w14:solidFill>
              <w14:schemeClr w14:val="tx1"/>
            </w14:solidFill>
          </w14:textFill>
        </w:rPr>
        <w:t>完整填写</w:t>
      </w:r>
      <w:r>
        <w:rPr>
          <w:rFonts w:hint="eastAsia" w:ascii="方正仿宋_GBK" w:hAnsi="宋体" w:eastAsia="方正仿宋_GBK" w:cs="Times New Roman"/>
          <w:color w:val="000000" w:themeColor="text1"/>
          <w:sz w:val="24"/>
          <w:szCs w:val="28"/>
          <w14:textFill>
            <w14:solidFill>
              <w14:schemeClr w14:val="tx1"/>
            </w14:solidFill>
          </w14:textFill>
        </w:rPr>
        <w:t>本表。</w:t>
      </w:r>
    </w:p>
    <w:p>
      <w:pPr>
        <w:numPr>
          <w:ilvl w:val="0"/>
          <w:numId w:val="0"/>
        </w:numPr>
        <w:snapToGrid w:val="0"/>
        <w:spacing w:line="50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3" w:name="OLE_LINK1"/>
      <w:bookmarkStart w:id="154"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3"/>
      <w:bookmarkEnd w:id="154"/>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b/>
          <w:color w:val="000000" w:themeColor="text1"/>
          <w14:textFill>
            <w14:solidFill>
              <w14:schemeClr w14:val="tx1"/>
            </w14:solidFill>
          </w14:textFill>
        </w:rPr>
      </w:pPr>
      <w:bookmarkStart w:id="155" w:name="_Toc480979019"/>
      <w:bookmarkStart w:id="156" w:name="_Toc313888361"/>
      <w:bookmarkStart w:id="157" w:name="_Toc342913420"/>
      <w:bookmarkStart w:id="158" w:name="_Toc485108797"/>
      <w:bookmarkStart w:id="159" w:name="_Toc313008357"/>
      <w:r>
        <w:rPr>
          <w:rFonts w:hint="eastAsia"/>
          <w:b/>
          <w:color w:val="000000" w:themeColor="text1"/>
          <w14:textFill>
            <w14:solidFill>
              <w14:schemeClr w14:val="tx1"/>
            </w14:solidFill>
          </w14:textFill>
        </w:rPr>
        <w:t>二、服务部分</w:t>
      </w:r>
      <w:bookmarkEnd w:id="155"/>
      <w:bookmarkEnd w:id="156"/>
      <w:bookmarkEnd w:id="157"/>
      <w:bookmarkEnd w:id="158"/>
      <w:bookmarkEnd w:id="159"/>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60" w:name="_Toc342913421"/>
      <w:bookmarkStart w:id="161" w:name="_Toc480979020"/>
      <w:bookmarkStart w:id="162" w:name="_Toc313008358"/>
      <w:bookmarkStart w:id="163" w:name="_Toc313888362"/>
      <w:bookmarkStart w:id="164" w:name="_Toc485108798"/>
      <w:r>
        <w:rPr>
          <w:rFonts w:hint="eastAsia"/>
          <w:b/>
          <w:color w:val="000000" w:themeColor="text1"/>
          <w14:textFill>
            <w14:solidFill>
              <w14:schemeClr w14:val="tx1"/>
            </w14:solidFill>
          </w14:textFill>
        </w:rPr>
        <w:t>三、商务部分</w:t>
      </w:r>
      <w:bookmarkEnd w:id="160"/>
      <w:bookmarkEnd w:id="161"/>
      <w:bookmarkEnd w:id="162"/>
      <w:bookmarkEnd w:id="163"/>
      <w:bookmarkEnd w:id="164"/>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5"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5"/>
      <w:bookmarkStart w:id="166" w:name="_Toc313888363"/>
      <w:bookmarkStart w:id="167" w:name="_Toc342913422"/>
      <w:bookmarkStart w:id="168" w:name="_Toc313008359"/>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6"/>
      <w:bookmarkEnd w:id="167"/>
      <w:bookmarkEnd w:id="168"/>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69" w:name="OLE_LINK4"/>
      <w:bookmarkStart w:id="170"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69"/>
    <w:bookmarkEnd w:id="170"/>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71" w:name="_Toc31463"/>
      <w:bookmarkStart w:id="172"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71"/>
    <w:bookmarkEnd w:id="172"/>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8D5CBE"/>
    <w:multiLevelType w:val="multilevel"/>
    <w:tmpl w:val="F38D5CBE"/>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D10907"/>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7873B7F"/>
    <w:rsid w:val="18130842"/>
    <w:rsid w:val="19394057"/>
    <w:rsid w:val="19B7492C"/>
    <w:rsid w:val="1B925650"/>
    <w:rsid w:val="1BAD30AC"/>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99B54DA"/>
    <w:rsid w:val="2BBD2276"/>
    <w:rsid w:val="2F1F1F02"/>
    <w:rsid w:val="2F2348BD"/>
    <w:rsid w:val="2F6F1AD9"/>
    <w:rsid w:val="2FD06C0B"/>
    <w:rsid w:val="30A44277"/>
    <w:rsid w:val="32050A97"/>
    <w:rsid w:val="32DA1DD4"/>
    <w:rsid w:val="3361798A"/>
    <w:rsid w:val="34477E1A"/>
    <w:rsid w:val="35D501BC"/>
    <w:rsid w:val="35E87A5C"/>
    <w:rsid w:val="369E4A52"/>
    <w:rsid w:val="375A306E"/>
    <w:rsid w:val="38442273"/>
    <w:rsid w:val="38C010B0"/>
    <w:rsid w:val="391C67AE"/>
    <w:rsid w:val="39486CC3"/>
    <w:rsid w:val="39A3534F"/>
    <w:rsid w:val="3B30241A"/>
    <w:rsid w:val="3C4F6F1A"/>
    <w:rsid w:val="3DD60FEB"/>
    <w:rsid w:val="3E263CAA"/>
    <w:rsid w:val="3E491747"/>
    <w:rsid w:val="3E6B192F"/>
    <w:rsid w:val="3EA55BAC"/>
    <w:rsid w:val="3F591E5E"/>
    <w:rsid w:val="403F2E01"/>
    <w:rsid w:val="41007A8F"/>
    <w:rsid w:val="415869FC"/>
    <w:rsid w:val="41AB14E8"/>
    <w:rsid w:val="42030507"/>
    <w:rsid w:val="461B60BF"/>
    <w:rsid w:val="475461C4"/>
    <w:rsid w:val="477A0BC3"/>
    <w:rsid w:val="47F3755A"/>
    <w:rsid w:val="48FA020D"/>
    <w:rsid w:val="492C6FBB"/>
    <w:rsid w:val="499D1F70"/>
    <w:rsid w:val="4A1025A8"/>
    <w:rsid w:val="4AC26B09"/>
    <w:rsid w:val="4AD41B9B"/>
    <w:rsid w:val="4AED1C9D"/>
    <w:rsid w:val="4BE8259F"/>
    <w:rsid w:val="4C4E289A"/>
    <w:rsid w:val="4EF70D4B"/>
    <w:rsid w:val="4F2E0C11"/>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5052D2D"/>
    <w:rsid w:val="66815672"/>
    <w:rsid w:val="6972525B"/>
    <w:rsid w:val="69FC5E8B"/>
    <w:rsid w:val="6B217424"/>
    <w:rsid w:val="6B28360F"/>
    <w:rsid w:val="6B9F4D55"/>
    <w:rsid w:val="6BAA3DD9"/>
    <w:rsid w:val="6D3535B5"/>
    <w:rsid w:val="6DC70D5C"/>
    <w:rsid w:val="6E45126B"/>
    <w:rsid w:val="6F062BB9"/>
    <w:rsid w:val="70E64A50"/>
    <w:rsid w:val="71231A63"/>
    <w:rsid w:val="73B34AD5"/>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16357</Words>
  <Characters>16969</Characters>
  <Lines>182</Lines>
  <Paragraphs>51</Paragraphs>
  <TotalTime>3</TotalTime>
  <ScaleCrop>false</ScaleCrop>
  <LinksUpToDate>false</LinksUpToDate>
  <CharactersWithSpaces>18245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2023-07-24T00:25:23Z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D90EFDEDCD294DEAB041A069E42458C9</vt:lpwstr>
  </property>
</Properties>
</file>