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2023FW046</w:t>
      </w:r>
    </w:p>
    <w:p>
      <w:pPr>
        <w:spacing w:line="700" w:lineRule="exact"/>
        <w:ind w:firstLine="840" w:firstLineChars="300"/>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规划车道线服务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十一</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二</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485108766"/>
      <w:bookmarkStart w:id="1" w:name="_Toc12789052"/>
      <w:bookmarkStart w:id="2" w:name="_Toc25875"/>
      <w:bookmarkStart w:id="3" w:name="_Toc11641050"/>
      <w:r>
        <w:rPr>
          <w:rFonts w:hint="eastAsia" w:ascii="微软雅黑" w:hAnsi="微软雅黑" w:eastAsia="微软雅黑" w:cs="微软雅黑"/>
          <w:b/>
          <w:bCs/>
          <w:color w:val="000000" w:themeColor="text1"/>
          <w:sz w:val="36"/>
          <w:szCs w:val="36"/>
          <w14:textFill>
            <w14:solidFill>
              <w14:schemeClr w14:val="tx1"/>
            </w14:solidFill>
          </w14:textFill>
        </w:rPr>
        <w:t xml:space="preserve">第一篇  </w:t>
      </w:r>
      <w:bookmarkStart w:id="163" w:name="_GoBack"/>
      <w:r>
        <w:rPr>
          <w:rFonts w:hint="eastAsia" w:ascii="微软雅黑" w:hAnsi="微软雅黑" w:eastAsia="微软雅黑" w:cs="微软雅黑"/>
          <w:b/>
          <w:bCs/>
          <w:color w:val="000000" w:themeColor="text1"/>
          <w:sz w:val="36"/>
          <w:szCs w:val="36"/>
          <w14:textFill>
            <w14:solidFill>
              <w14:schemeClr w14:val="tx1"/>
            </w14:solidFill>
          </w14:textFill>
        </w:rPr>
        <w:t>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73860293"/>
      <w:bookmarkStart w:id="5" w:name="_Toc317775178"/>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规划车道线服务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485108767"/>
      <w:bookmarkStart w:id="7" w:name="_Toc313893526"/>
      <w:bookmarkStart w:id="8" w:name="_Toc317775175"/>
      <w:bookmarkStart w:id="9" w:name="_Toc28443"/>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415"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415" w:type="dxa"/>
            <w:vAlign w:val="center"/>
          </w:tcPr>
          <w:p>
            <w:pPr>
              <w:spacing w:line="400" w:lineRule="exact"/>
              <w:jc w:val="center"/>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规划车道线服务</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jc w:val="center"/>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6609"/>
      <w:bookmarkStart w:id="11" w:name="_Toc485108768"/>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4"/>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bookmarkEnd w:id="4"/>
      <w:bookmarkEnd w:id="5"/>
      <w:bookmarkStart w:id="16" w:name="_Toc6"/>
      <w:bookmarkStart w:id="17" w:name="_Toc11958"/>
      <w:bookmarkStart w:id="18" w:name="_Toc102227313"/>
      <w:bookmarkStart w:id="19" w:name="_Toc485108774"/>
    </w:p>
    <w:p>
      <w:pPr>
        <w:ind w:firstLine="480" w:firstLineChars="200"/>
        <w:rPr>
          <w:rFonts w:hint="eastAsia" w:ascii="方正仿宋_GBK" w:hAnsi="宋体" w:eastAsia="方正仿宋_GBK" w:cs="Times New Roman"/>
          <w:color w:val="FF0000"/>
          <w:sz w:val="24"/>
          <w:szCs w:val="24"/>
          <w:lang w:eastAsia="zh-CN"/>
        </w:rPr>
      </w:pPr>
      <w:r>
        <w:rPr>
          <w:rFonts w:hint="eastAsia" w:ascii="方正仿宋_GBK" w:hAnsi="宋体" w:eastAsia="方正仿宋_GBK" w:cs="Times New Roman"/>
          <w:color w:val="FF0000"/>
          <w:sz w:val="24"/>
          <w:szCs w:val="24"/>
        </w:rPr>
        <w:t>有效的三证合一营业执照，经营范围包含路面养护、标识标牌制作。</w:t>
      </w:r>
    </w:p>
    <w:p>
      <w:pPr>
        <w:pStyle w:val="4"/>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如响应供应商不满足</w:t>
      </w:r>
      <w:r>
        <w:rPr>
          <w:rFonts w:hint="eastAsia" w:ascii="方正仿宋_GBK" w:hAnsi="宋体" w:eastAsia="方正仿宋_GBK"/>
          <w:b/>
          <w:bCs/>
          <w:color w:val="000000" w:themeColor="text1"/>
          <w:sz w:val="24"/>
          <w:szCs w:val="24"/>
          <w:lang w:eastAsia="zh-CN"/>
          <w14:textFill>
            <w14:solidFill>
              <w14:schemeClr w14:val="tx1"/>
            </w14:solidFill>
          </w14:textFill>
        </w:rPr>
        <w:t>三</w:t>
      </w:r>
      <w:r>
        <w:rPr>
          <w:rFonts w:hint="eastAsia" w:ascii="方正仿宋_GBK" w:hAnsi="宋体" w:eastAsia="方正仿宋_GBK"/>
          <w:b/>
          <w:bCs/>
          <w:color w:val="000000" w:themeColor="text1"/>
          <w:sz w:val="24"/>
          <w:szCs w:val="24"/>
          <w14:textFill>
            <w14:solidFill>
              <w14:schemeClr w14:val="tx1"/>
            </w14:solidFill>
          </w14:textFill>
        </w:rPr>
        <w:t>家，将进行</w:t>
      </w:r>
      <w:r>
        <w:rPr>
          <w:rFonts w:hint="eastAsia" w:ascii="方正仿宋_GBK" w:hAnsi="宋体" w:eastAsia="方正仿宋_GBK"/>
          <w:b/>
          <w:bCs/>
          <w:color w:val="000000" w:themeColor="text1"/>
          <w:sz w:val="24"/>
          <w:szCs w:val="24"/>
          <w:lang w:eastAsia="zh-CN"/>
          <w14:textFill>
            <w14:solidFill>
              <w14:schemeClr w14:val="tx1"/>
            </w14:solidFill>
          </w14:textFill>
        </w:rPr>
        <w:t>再次</w:t>
      </w:r>
      <w:r>
        <w:rPr>
          <w:rFonts w:hint="eastAsia" w:ascii="方正仿宋_GBK" w:hAnsi="宋体" w:eastAsia="方正仿宋_GBK"/>
          <w:b/>
          <w:bCs/>
          <w:color w:val="000000" w:themeColor="text1"/>
          <w:sz w:val="24"/>
          <w:szCs w:val="24"/>
          <w14:textFill>
            <w14:solidFill>
              <w14:schemeClr w14:val="tx1"/>
            </w14:solidFill>
          </w14:textFill>
        </w:rPr>
        <w:t>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11</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14</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0:00</w:t>
      </w:r>
      <w:r>
        <w:rPr>
          <w:rFonts w:hint="eastAsia" w:ascii="方正仿宋_GBK" w:hAnsi="宋体" w:eastAsia="方正仿宋_GBK"/>
          <w:color w:val="000000" w:themeColor="text1"/>
          <w:sz w:val="24"/>
          <w:szCs w:val="24"/>
          <w14:textFill>
            <w14:solidFill>
              <w14:schemeClr w14:val="tx1"/>
            </w14:solidFill>
          </w14:textFill>
        </w:rPr>
        <w:t>时至2023年</w:t>
      </w:r>
      <w:r>
        <w:rPr>
          <w:rFonts w:hint="eastAsia" w:ascii="方正仿宋_GBK" w:hAnsi="宋体" w:eastAsia="方正仿宋_GBK"/>
          <w:color w:val="000000" w:themeColor="text1"/>
          <w:sz w:val="24"/>
          <w:szCs w:val="24"/>
          <w:lang w:val="en-US" w:eastAsia="zh-CN"/>
          <w14:textFill>
            <w14:solidFill>
              <w14:schemeClr w14:val="tx1"/>
            </w14:solidFill>
          </w14:textFill>
        </w:rPr>
        <w:t>11</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16</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24:00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4"/>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171062"/>
      <w:bookmarkStart w:id="24" w:name="_Toc373860294"/>
      <w:bookmarkStart w:id="25" w:name="_Toc54718176"/>
    </w:p>
    <w:bookmarkEnd w:id="23"/>
    <w:bookmarkEnd w:id="24"/>
    <w:bookmarkEnd w:id="25"/>
    <w:p>
      <w:pPr>
        <w:pStyle w:val="4"/>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2806"/>
      <w:bookmarkStart w:id="27" w:name="_Toc1625"/>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31390"/>
      <w:bookmarkStart w:id="29" w:name="_Toc913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bookmarkEnd w:id="163"/>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3"/>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pPr>
        <w:pStyle w:val="3"/>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4"/>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4"/>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b/>
          <w:bCs/>
          <w:color w:val="FF0000"/>
          <w:sz w:val="24"/>
          <w:szCs w:val="24"/>
        </w:rPr>
      </w:pPr>
      <w:r>
        <w:rPr>
          <w:rFonts w:hint="eastAsia" w:ascii="方正仿宋_GBK" w:hAnsi="宋体" w:eastAsia="方正仿宋_GBK" w:cs="Times New Roman"/>
          <w:b/>
          <w:bCs/>
          <w:color w:val="FF0000"/>
          <w:sz w:val="24"/>
          <w:szCs w:val="24"/>
        </w:rPr>
        <w:t>（二）报价要求</w:t>
      </w:r>
    </w:p>
    <w:p>
      <w:pPr>
        <w:spacing w:line="400" w:lineRule="exact"/>
        <w:ind w:firstLine="480" w:firstLineChars="200"/>
        <w:rPr>
          <w:rFonts w:hint="eastAsia" w:ascii="方正仿宋_GBK" w:hAnsi="宋体" w:eastAsia="方正仿宋_GBK" w:cs="Times New Roman"/>
          <w:b/>
          <w:bCs/>
          <w:color w:val="FF0000"/>
          <w:sz w:val="24"/>
          <w:szCs w:val="24"/>
        </w:rPr>
      </w:pPr>
      <w:r>
        <w:rPr>
          <w:rFonts w:hint="eastAsia" w:ascii="方正仿宋_GBK" w:hAnsi="宋体" w:eastAsia="方正仿宋_GBK" w:cs="Times New Roman"/>
          <w:b/>
          <w:bCs/>
          <w:color w:val="FF0000"/>
          <w:sz w:val="24"/>
          <w:szCs w:val="24"/>
        </w:rPr>
        <w:t>报价要求：</w:t>
      </w:r>
      <w:r>
        <w:rPr>
          <w:rFonts w:hint="eastAsia" w:ascii="方正仿宋_GBK" w:hAnsi="宋体" w:eastAsia="方正仿宋_GBK" w:cs="Times New Roman"/>
          <w:color w:val="FF0000"/>
          <w:sz w:val="24"/>
          <w:szCs w:val="24"/>
        </w:rPr>
        <w:t>报价为包干价，包含人工费、材料费、机械费、服务费、保险费、税费等各项费用</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9"/>
      <w:bookmarkStart w:id="36" w:name="OLE_LINK8"/>
      <w:bookmarkStart w:id="37" w:name="OLE_LINK3"/>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342913393"/>
      <w:bookmarkStart w:id="39" w:name="_Toc18122"/>
      <w:bookmarkStart w:id="40" w:name="_Toc179714298"/>
      <w:bookmarkStart w:id="41" w:name="_Toc102227319"/>
      <w:bookmarkStart w:id="42" w:name="_Toc403569780"/>
      <w:bookmarkStart w:id="43" w:name="_Toc1914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14816"/>
      <w:bookmarkStart w:id="50" w:name="_Toc29340"/>
      <w:bookmarkStart w:id="51" w:name="_Toc403569782"/>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FF0000"/>
          <w:sz w:val="24"/>
          <w:szCs w:val="24"/>
        </w:rPr>
      </w:pPr>
      <w:r>
        <w:rPr>
          <w:rFonts w:hint="eastAsia" w:ascii="方正仿宋_GBK" w:hAnsi="宋体" w:eastAsia="方正仿宋_GBK"/>
          <w:color w:val="FF0000"/>
          <w:sz w:val="24"/>
          <w:szCs w:val="24"/>
        </w:rPr>
        <w:t>（3）</w:t>
      </w:r>
      <w:r>
        <w:rPr>
          <w:rFonts w:hint="eastAsia" w:ascii="方正仿宋_GBK" w:hAnsi="宋体" w:eastAsia="方正仿宋_GBK" w:cs="Times New Roman"/>
          <w:color w:val="FF0000"/>
          <w:sz w:val="24"/>
          <w:szCs w:val="24"/>
        </w:rPr>
        <w:t>在采购过程中符合竞争要求的供应商不足3家的，</w:t>
      </w:r>
      <w:r>
        <w:rPr>
          <w:rFonts w:hint="eastAsia" w:ascii="方正仿宋_GBK" w:hAnsi="宋体" w:eastAsia="方正仿宋_GBK"/>
          <w:color w:val="FF0000"/>
          <w:sz w:val="24"/>
          <w:szCs w:val="24"/>
        </w:rPr>
        <w:t>但《医院采购管理办法（试行）》第二十</w:t>
      </w:r>
      <w:r>
        <w:rPr>
          <w:rFonts w:hint="eastAsia" w:ascii="方正仿宋_GBK" w:hAnsi="宋体" w:eastAsia="方正仿宋_GBK"/>
          <w:color w:val="FF0000"/>
          <w:sz w:val="24"/>
          <w:szCs w:val="24"/>
          <w:lang w:eastAsia="zh-CN"/>
        </w:rPr>
        <w:t>八</w:t>
      </w:r>
      <w:r>
        <w:rPr>
          <w:rFonts w:hint="eastAsia" w:ascii="方正仿宋_GBK" w:hAnsi="宋体" w:eastAsia="方正仿宋_GBK"/>
          <w:color w:val="FF0000"/>
          <w:sz w:val="24"/>
          <w:szCs w:val="24"/>
        </w:rPr>
        <w:t>条第一款（五）规定的情形除外。</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17413"/>
      <w:bookmarkStart w:id="58" w:name="_Toc403569784"/>
      <w:bookmarkStart w:id="59" w:name="_Toc12880"/>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3"/>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pPr>
        <w:pStyle w:val="3"/>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4"/>
        <w:spacing w:line="240" w:lineRule="auto"/>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67" w:name="_Toc12789058"/>
      <w:r>
        <w:rPr>
          <w:rFonts w:hint="eastAsia" w:ascii="微软雅黑" w:hAnsi="微软雅黑" w:eastAsia="微软雅黑" w:cs="微软雅黑"/>
          <w:color w:val="000000" w:themeColor="text1"/>
          <w:sz w:val="24"/>
          <w:szCs w:val="24"/>
          <w:lang w:eastAsia="zh-CN"/>
          <w14:textFill>
            <w14:solidFill>
              <w14:schemeClr w14:val="tx1"/>
            </w14:solidFill>
          </w14:textFill>
        </w:rPr>
        <w:t>一、项目概况与服务需求</w:t>
      </w:r>
    </w:p>
    <w:p>
      <w:pPr>
        <w:snapToGrid w:val="0"/>
        <w:spacing w:line="400" w:lineRule="exact"/>
        <w:ind w:firstLine="240" w:firstLineChars="1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 1、</w:t>
      </w:r>
      <w:r>
        <w:rPr>
          <w:rFonts w:hint="eastAsia" w:ascii="方正仿宋_GBK" w:hAnsi="宋体" w:eastAsia="方正仿宋_GBK" w:cs="Times New Roman"/>
          <w:color w:val="000000" w:themeColor="text1"/>
          <w:sz w:val="24"/>
          <w:szCs w:val="24"/>
          <w14:textFill>
            <w14:solidFill>
              <w14:schemeClr w14:val="tx1"/>
            </w14:solidFill>
          </w14:textFill>
        </w:rPr>
        <w:t>项目地点：</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住院部广场</w:t>
      </w:r>
    </w:p>
    <w:p>
      <w:pPr>
        <w:snapToGrid w:val="0"/>
        <w:spacing w:line="400" w:lineRule="exact"/>
        <w:ind w:firstLine="240" w:firstLineChars="1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 2、服务需求：</w:t>
      </w:r>
    </w:p>
    <w:p>
      <w:pPr>
        <w:snapToGrid w:val="0"/>
        <w:spacing w:line="400" w:lineRule="exact"/>
        <w:ind w:firstLine="720" w:firstLineChars="3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①服务单位需提供规划草图，并制定施工计划，不得影响医院正常营业。</w:t>
      </w:r>
    </w:p>
    <w:p>
      <w:pPr>
        <w:snapToGrid w:val="0"/>
        <w:spacing w:line="400" w:lineRule="exact"/>
        <w:ind w:firstLine="720" w:firstLineChars="3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②服务单位在施工前需由采购方相关部门提交院内施工安全许可审批，取得院内临时施工许可后方可施工，如需动火动焊还需取得采购方管理审批手续。</w:t>
      </w:r>
    </w:p>
    <w:p>
      <w:pPr>
        <w:snapToGrid w:val="0"/>
        <w:spacing w:line="400" w:lineRule="exact"/>
        <w:ind w:firstLine="720" w:firstLineChars="3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③服务单位在服务过程中应采取有效的安全措施，保证施工人员和其他人员的人身安全，并承担因安全事故导致的一切经济和法律责任。如有损坏财产须照价赔偿。</w:t>
      </w:r>
    </w:p>
    <w:p>
      <w:pPr>
        <w:pStyle w:val="2"/>
        <w:rPr>
          <w:rFonts w:hint="default" w:eastAsia="方正仿宋_GBK"/>
          <w:lang w:val="en-US" w:eastAsia="zh-CN"/>
        </w:rPr>
      </w:pPr>
    </w:p>
    <w:p>
      <w:pPr>
        <w:pStyle w:val="2"/>
        <w:numPr>
          <w:ilvl w:val="0"/>
          <w:numId w:val="0"/>
        </w:numPr>
        <w:rPr>
          <w:rFonts w:hint="default"/>
          <w:lang w:val="en-US" w:eastAsia="zh-CN"/>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3"/>
        <w:pageBreakBefore w:val="0"/>
        <w:widowControl w:val="0"/>
        <w:kinsoku/>
        <w:wordWrap/>
        <w:overflowPunct/>
        <w:topLinePunct w:val="0"/>
        <w:autoSpaceDE/>
        <w:autoSpaceDN/>
        <w:bidi w:val="0"/>
        <w:adjustRightInd/>
        <w:jc w:val="both"/>
        <w:textAlignment w:val="auto"/>
        <w:rPr>
          <w:rFonts w:hint="eastAsia" w:ascii="微软雅黑" w:hAnsi="微软雅黑" w:eastAsia="微软雅黑" w:cs="微软雅黑"/>
          <w:b/>
          <w:color w:val="000000" w:themeColor="text1"/>
          <w:sz w:val="36"/>
          <w:szCs w:val="36"/>
          <w14:textFill>
            <w14:solidFill>
              <w14:schemeClr w14:val="tx1"/>
            </w14:solidFill>
          </w14:textFill>
        </w:rPr>
      </w:pPr>
      <w:bookmarkStart w:id="68" w:name="_Toc28327"/>
      <w:bookmarkStart w:id="69" w:name="_Toc485108787"/>
    </w:p>
    <w:p>
      <w:pPr>
        <w:rPr>
          <w:rFonts w:hint="eastAsia" w:ascii="微软雅黑" w:hAnsi="微软雅黑" w:eastAsia="微软雅黑" w:cs="微软雅黑"/>
          <w:b/>
          <w:color w:val="000000" w:themeColor="text1"/>
          <w:sz w:val="36"/>
          <w:szCs w:val="36"/>
          <w14:textFill>
            <w14:solidFill>
              <w14:schemeClr w14:val="tx1"/>
            </w14:solidFill>
          </w14:textFill>
        </w:rPr>
      </w:pPr>
    </w:p>
    <w:p>
      <w:pPr>
        <w:pStyle w:val="2"/>
        <w:rPr>
          <w:rFonts w:hint="eastAsia"/>
        </w:rPr>
      </w:pPr>
    </w:p>
    <w:p>
      <w:pPr>
        <w:pStyle w:val="3"/>
        <w:pageBreakBefore w:val="0"/>
        <w:widowControl w:val="0"/>
        <w:kinsoku/>
        <w:wordWrap/>
        <w:overflowPunct/>
        <w:topLinePunct w:val="0"/>
        <w:autoSpaceDE/>
        <w:autoSpaceDN/>
        <w:bidi w:val="0"/>
        <w:adjustRightInd/>
        <w:jc w:val="center"/>
        <w:textAlignment w:val="auto"/>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7"/>
      <w:bookmarkEnd w:id="68"/>
      <w:bookmarkEnd w:id="69"/>
      <w:bookmarkStart w:id="70" w:name="_Toc11641055"/>
      <w:bookmarkStart w:id="71" w:name="_Toc12789059"/>
    </w:p>
    <w:p>
      <w:pPr>
        <w:pStyle w:val="4"/>
        <w:pageBreakBefore w:val="0"/>
        <w:widowControl w:val="0"/>
        <w:kinsoku/>
        <w:wordWrap/>
        <w:overflowPunct/>
        <w:topLinePunct w:val="0"/>
        <w:autoSpaceDE/>
        <w:autoSpaceDN/>
        <w:bidi w:val="0"/>
        <w:adjustRightInd/>
        <w:spacing w:line="240" w:lineRule="auto"/>
        <w:textAlignment w:val="auto"/>
        <w:rPr>
          <w:rFonts w:hint="eastAsia" w:ascii="微软雅黑" w:hAnsi="微软雅黑" w:eastAsia="微软雅黑" w:cs="微软雅黑"/>
          <w:color w:val="FF0000"/>
          <w:sz w:val="24"/>
          <w:szCs w:val="24"/>
          <w:lang w:val="en-US" w:eastAsia="zh-CN"/>
        </w:rPr>
      </w:pPr>
      <w:bookmarkStart w:id="72" w:name="_Toc11645"/>
      <w:bookmarkStart w:id="73" w:name="_Toc403569795"/>
      <w:bookmarkStart w:id="74" w:name="_Toc7358"/>
      <w:bookmarkStart w:id="75" w:name="_Toc485108793"/>
      <w:r>
        <w:rPr>
          <w:rFonts w:hint="eastAsia" w:ascii="微软雅黑" w:hAnsi="微软雅黑" w:eastAsia="微软雅黑" w:cs="微软雅黑"/>
          <w:color w:val="FF0000"/>
          <w:sz w:val="24"/>
          <w:szCs w:val="24"/>
          <w:lang w:val="en-US" w:eastAsia="zh-CN"/>
        </w:rPr>
        <w:t>一、商务需求</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1、现场勘查：联系人曾老师，联系电话13996200492。</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2、验收方式：经采购方验收合格后签字确认。</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3、质保期限：半年及以上</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4、付款方式：本次采购无预付款，全部内容完工后，经采购方验收合格，凭正式发票于60日内转账支付合同总价的95%，余款5%为履约保证金，质保期满后无息支付。</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p>
      <w:pPr>
        <w:pStyle w:val="4"/>
        <w:pageBreakBefore w:val="0"/>
        <w:widowControl w:val="0"/>
        <w:kinsoku/>
        <w:wordWrap/>
        <w:overflowPunct/>
        <w:topLinePunct w:val="0"/>
        <w:autoSpaceDE/>
        <w:autoSpaceDN/>
        <w:bidi w:val="0"/>
        <w:adjustRightInd/>
        <w:spacing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72"/>
    </w:p>
    <w:p>
      <w:pPr>
        <w:pageBreakBefore w:val="0"/>
        <w:widowControl w:val="0"/>
        <w:kinsoku/>
        <w:wordWrap/>
        <w:overflowPunct/>
        <w:topLinePunct w:val="0"/>
        <w:autoSpaceDE/>
        <w:autoSpaceDN/>
        <w:bidi w:val="0"/>
        <w:adjustRightInd/>
        <w:snapToGrid w:val="0"/>
        <w:spacing w:line="400" w:lineRule="exact"/>
        <w:ind w:firstLine="540"/>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4"/>
        <w:pageBreakBefore w:val="0"/>
        <w:widowControl w:val="0"/>
        <w:kinsoku/>
        <w:wordWrap/>
        <w:overflowPunct/>
        <w:topLinePunct w:val="0"/>
        <w:autoSpaceDE/>
        <w:autoSpaceDN/>
        <w:bidi w:val="0"/>
        <w:adjustRightInd/>
        <w:spacing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、其他</w:t>
      </w:r>
      <w:bookmarkEnd w:id="73"/>
      <w:bookmarkEnd w:id="74"/>
      <w:bookmarkEnd w:id="75"/>
    </w:p>
    <w:p>
      <w:pPr>
        <w:pageBreakBefore w:val="0"/>
        <w:widowControl w:val="0"/>
        <w:kinsoku/>
        <w:wordWrap/>
        <w:overflowPunct/>
        <w:topLinePunct w:val="0"/>
        <w:autoSpaceDE/>
        <w:autoSpaceDN/>
        <w:bidi w:val="0"/>
        <w:adjustRightInd/>
        <w:snapToGrid w:val="0"/>
        <w:spacing w:line="400" w:lineRule="exact"/>
        <w:ind w:firstLine="540"/>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3"/>
        <w:pageBreakBefore w:val="0"/>
        <w:widowControl w:val="0"/>
        <w:kinsoku/>
        <w:wordWrap/>
        <w:overflowPunct/>
        <w:topLinePunct w:val="0"/>
        <w:autoSpaceDE/>
        <w:autoSpaceDN/>
        <w:bidi w:val="0"/>
        <w:adjustRightInd/>
        <w:jc w:val="center"/>
        <w:textAlignment w:val="auto"/>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0"/>
      <w:bookmarkEnd w:id="71"/>
      <w:bookmarkStart w:id="76" w:name="_Toc14840"/>
      <w:bookmarkStart w:id="77" w:name="_Toc485108794"/>
      <w:bookmarkStart w:id="78" w:name="_Toc403569796"/>
      <w:bookmarkStart w:id="79" w:name="_Toc303945820"/>
      <w:bookmarkStart w:id="80"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76"/>
      <w:bookmarkEnd w:id="77"/>
      <w:bookmarkEnd w:id="78"/>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1" w:name="_Toc30815"/>
      <w:bookmarkStart w:id="82"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81"/>
      <w:bookmarkEnd w:id="8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3"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4"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5"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6"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7"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87"/>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8" w:name="_Toc54718203"/>
      <w:bookmarkStart w:id="89" w:name="_Toc17879"/>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88"/>
      <w:bookmarkEnd w:id="8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0"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90"/>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1" w:name="_Toc54718204"/>
      <w:bookmarkStart w:id="92"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25177"/>
      <w:bookmarkStart w:id="94"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95"/>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6"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7"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8"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9"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99"/>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0" w:name="_Toc54718206"/>
      <w:bookmarkStart w:id="101"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02" w:name="_Toc12985"/>
      <w:bookmarkStart w:id="103"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03"/>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4" w:name="_Toc9053"/>
      <w:bookmarkStart w:id="105"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6"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7"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0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8"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08"/>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9" w:name="_Toc54718211"/>
      <w:bookmarkStart w:id="110" w:name="_Toc11586"/>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1"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2"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12"/>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13" w:name="_Toc54718210"/>
      <w:bookmarkStart w:id="114" w:name="_Toc31719"/>
      <w:bookmarkStart w:id="115" w:name="_Toc54718212"/>
      <w:bookmarkStart w:id="116" w:name="_Toc26580"/>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13"/>
      <w:bookmarkEnd w:id="114"/>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17"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18"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18"/>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19"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0"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1"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2"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3"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4"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5"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3"/>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26" w:name="_Hlt41879464"/>
      <w:bookmarkEnd w:id="126"/>
      <w:bookmarkStart w:id="127" w:name="_Toc12789072"/>
      <w:bookmarkStart w:id="128" w:name="_Toc485108795"/>
      <w:bookmarkStart w:id="129" w:name="_Toc13696"/>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27"/>
      <w:bookmarkEnd w:id="128"/>
      <w:bookmarkEnd w:id="129"/>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0"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30"/>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1"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31"/>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2"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32"/>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3" w:name="_Toc38358147"/>
      <w:bookmarkStart w:id="134" w:name="OLE_LINK10"/>
      <w:bookmarkStart w:id="135"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6"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36"/>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7"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37"/>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34"/>
    <w:bookmarkEnd w:id="135"/>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b/>
          <w:color w:val="000000" w:themeColor="text1"/>
          <w14:textFill>
            <w14:solidFill>
              <w14:schemeClr w14:val="tx1"/>
            </w14:solidFill>
          </w14:textFill>
        </w:rPr>
      </w:pPr>
      <w:bookmarkStart w:id="138" w:name="_Toc480979018"/>
      <w:bookmarkStart w:id="139" w:name="_Toc342913419"/>
      <w:bookmarkStart w:id="140" w:name="_Toc485108796"/>
      <w:bookmarkStart w:id="141" w:name="_Toc313888360"/>
      <w:bookmarkStart w:id="142" w:name="_Toc313008356"/>
      <w:bookmarkStart w:id="143" w:name="_Toc283382454"/>
      <w:bookmarkStart w:id="144" w:name="_Toc12789073"/>
      <w:r>
        <w:rPr>
          <w:rFonts w:hint="eastAsia"/>
          <w:b/>
          <w:color w:val="000000" w:themeColor="text1"/>
          <w14:textFill>
            <w14:solidFill>
              <w14:schemeClr w14:val="tx1"/>
            </w14:solidFill>
          </w14:textFill>
        </w:rPr>
        <w:t>经济部分</w:t>
      </w:r>
      <w:bookmarkEnd w:id="138"/>
      <w:bookmarkEnd w:id="139"/>
      <w:bookmarkEnd w:id="140"/>
      <w:bookmarkEnd w:id="141"/>
      <w:bookmarkEnd w:id="142"/>
    </w:p>
    <w:p>
      <w:pPr>
        <w:pStyle w:val="180"/>
        <w:ind w:left="450" w:firstLine="0" w:firstLineChars="0"/>
        <w:rPr>
          <w:b/>
          <w:color w:val="000000" w:themeColor="text1"/>
          <w14:textFill>
            <w14:solidFill>
              <w14:schemeClr w14:val="tx1"/>
            </w14:solidFill>
          </w14:textFill>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pacing w:line="360" w:lineRule="auto"/>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附件</w:t>
      </w:r>
    </w:p>
    <w:p>
      <w:pPr>
        <w:pStyle w:val="2"/>
        <w:jc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报价表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019"/>
        <w:gridCol w:w="2158"/>
        <w:gridCol w:w="978"/>
        <w:gridCol w:w="1131"/>
        <w:gridCol w:w="1340"/>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序号</w:t>
            </w:r>
          </w:p>
        </w:tc>
        <w:tc>
          <w:tcPr>
            <w:tcW w:w="1019"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default" w:ascii="方正仿宋_GBK" w:hAnsi="宋体" w:eastAsia="方正仿宋_GBK" w:cs="Times New Roman"/>
                <w:color w:val="FF0000"/>
                <w:kern w:val="2"/>
                <w:sz w:val="24"/>
                <w:szCs w:val="24"/>
                <w:lang w:val="en-US" w:eastAsia="zh-CN" w:bidi="ar-SA"/>
              </w:rPr>
              <w:t>名称</w:t>
            </w:r>
          </w:p>
        </w:tc>
        <w:tc>
          <w:tcPr>
            <w:tcW w:w="2158"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default" w:ascii="方正仿宋_GBK" w:hAnsi="宋体" w:eastAsia="方正仿宋_GBK" w:cs="Times New Roman"/>
                <w:color w:val="FF0000"/>
                <w:kern w:val="2"/>
                <w:sz w:val="24"/>
                <w:szCs w:val="24"/>
                <w:lang w:val="en-US" w:eastAsia="zh-CN" w:bidi="ar-SA"/>
              </w:rPr>
              <w:t>数量</w:t>
            </w:r>
          </w:p>
        </w:tc>
        <w:tc>
          <w:tcPr>
            <w:tcW w:w="978"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单位</w:t>
            </w:r>
          </w:p>
        </w:tc>
        <w:tc>
          <w:tcPr>
            <w:tcW w:w="1131" w:type="dxa"/>
          </w:tcPr>
          <w:p>
            <w:pPr>
              <w:widowControl/>
              <w:jc w:val="center"/>
              <w:textAlignment w:val="center"/>
              <w:rPr>
                <w:rFonts w:hint="default" w:ascii="方正仿宋_GBK" w:hAnsi="宋体" w:eastAsia="方正仿宋_GBK" w:cs="Times New Roman"/>
                <w:color w:val="FF0000"/>
                <w:kern w:val="2"/>
                <w:sz w:val="24"/>
                <w:szCs w:val="24"/>
                <w:lang w:val="en-US" w:eastAsia="zh-CN" w:bidi="ar-SA"/>
              </w:rPr>
            </w:pPr>
            <w:r>
              <w:rPr>
                <w:rFonts w:hint="default" w:ascii="方正仿宋_GBK" w:hAnsi="宋体" w:eastAsia="方正仿宋_GBK" w:cs="Times New Roman"/>
                <w:color w:val="FF0000"/>
                <w:kern w:val="2"/>
                <w:sz w:val="24"/>
                <w:szCs w:val="24"/>
                <w:lang w:val="en-US" w:eastAsia="zh-CN" w:bidi="ar-SA"/>
              </w:rPr>
              <w:t>单价(元)</w:t>
            </w:r>
          </w:p>
        </w:tc>
        <w:tc>
          <w:tcPr>
            <w:tcW w:w="1340" w:type="dxa"/>
            <w:vAlign w:val="center"/>
          </w:tcPr>
          <w:p>
            <w:pPr>
              <w:widowControl/>
              <w:jc w:val="center"/>
              <w:textAlignment w:val="center"/>
              <w:rPr>
                <w:rFonts w:hint="default" w:ascii="方正仿宋_GBK" w:hAnsi="宋体" w:eastAsia="方正仿宋_GBK" w:cs="Times New Roman"/>
                <w:color w:val="FF0000"/>
                <w:kern w:val="2"/>
                <w:sz w:val="24"/>
                <w:szCs w:val="24"/>
                <w:lang w:val="en-US" w:eastAsia="zh-CN" w:bidi="ar-SA"/>
              </w:rPr>
            </w:pPr>
            <w:r>
              <w:rPr>
                <w:rFonts w:hint="default" w:ascii="方正仿宋_GBK" w:hAnsi="宋体" w:eastAsia="方正仿宋_GBK" w:cs="Times New Roman"/>
                <w:color w:val="FF0000"/>
                <w:kern w:val="2"/>
                <w:sz w:val="24"/>
                <w:szCs w:val="24"/>
                <w:lang w:val="en-US" w:eastAsia="zh-CN" w:bidi="ar-SA"/>
              </w:rPr>
              <w:t>合计（元）</w:t>
            </w:r>
          </w:p>
        </w:tc>
        <w:tc>
          <w:tcPr>
            <w:tcW w:w="1145" w:type="dxa"/>
            <w:vAlign w:val="center"/>
          </w:tcPr>
          <w:p>
            <w:pPr>
              <w:widowControl/>
              <w:jc w:val="center"/>
              <w:textAlignment w:val="center"/>
              <w:rPr>
                <w:rFonts w:hint="default" w:ascii="方正仿宋_GBK" w:hAnsi="宋体" w:eastAsia="方正仿宋_GBK" w:cs="Times New Roman"/>
                <w:color w:val="FF0000"/>
                <w:kern w:val="2"/>
                <w:sz w:val="24"/>
                <w:szCs w:val="24"/>
                <w:lang w:val="en-US" w:eastAsia="zh-CN" w:bidi="ar-SA"/>
              </w:rPr>
            </w:pPr>
            <w:r>
              <w:rPr>
                <w:rFonts w:hint="default" w:ascii="方正仿宋_GBK" w:hAnsi="宋体" w:eastAsia="方正仿宋_GBK" w:cs="Times New Roman"/>
                <w:color w:val="FF0000"/>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w:t>
            </w:r>
          </w:p>
        </w:tc>
        <w:tc>
          <w:tcPr>
            <w:tcW w:w="1019"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边线</w:t>
            </w:r>
          </w:p>
        </w:tc>
        <w:tc>
          <w:tcPr>
            <w:tcW w:w="2158"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3000米*0.15=450</w:t>
            </w:r>
          </w:p>
        </w:tc>
        <w:tc>
          <w:tcPr>
            <w:tcW w:w="978"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default" w:ascii="方正仿宋_GBK" w:hAnsi="宋体" w:eastAsia="方正仿宋_GBK" w:cs="Times New Roman"/>
                <w:color w:val="FF0000"/>
                <w:kern w:val="2"/>
                <w:sz w:val="24"/>
                <w:szCs w:val="24"/>
                <w:lang w:val="en-US" w:eastAsia="zh-CN" w:bidi="ar-SA"/>
              </w:rPr>
              <w:t>平方米</w:t>
            </w:r>
          </w:p>
        </w:tc>
        <w:tc>
          <w:tcPr>
            <w:tcW w:w="1131"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c>
          <w:tcPr>
            <w:tcW w:w="1340"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c>
          <w:tcPr>
            <w:tcW w:w="1145"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w:t>
            </w:r>
          </w:p>
        </w:tc>
        <w:tc>
          <w:tcPr>
            <w:tcW w:w="1019"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箭头</w:t>
            </w:r>
          </w:p>
        </w:tc>
        <w:tc>
          <w:tcPr>
            <w:tcW w:w="2158"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5个* 3米</w:t>
            </w:r>
          </w:p>
        </w:tc>
        <w:tc>
          <w:tcPr>
            <w:tcW w:w="978"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个</w:t>
            </w:r>
          </w:p>
        </w:tc>
        <w:tc>
          <w:tcPr>
            <w:tcW w:w="1131"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c>
          <w:tcPr>
            <w:tcW w:w="1340"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c>
          <w:tcPr>
            <w:tcW w:w="1145"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w:t>
            </w:r>
          </w:p>
        </w:tc>
        <w:tc>
          <w:tcPr>
            <w:tcW w:w="1019"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地面</w:t>
            </w:r>
          </w:p>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文字</w:t>
            </w:r>
          </w:p>
        </w:tc>
        <w:tc>
          <w:tcPr>
            <w:tcW w:w="2158"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14</w:t>
            </w:r>
          </w:p>
        </w:tc>
        <w:tc>
          <w:tcPr>
            <w:tcW w:w="978"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个</w:t>
            </w:r>
          </w:p>
        </w:tc>
        <w:tc>
          <w:tcPr>
            <w:tcW w:w="1131"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c>
          <w:tcPr>
            <w:tcW w:w="1340" w:type="dxa"/>
            <w:vAlign w:val="center"/>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c>
          <w:tcPr>
            <w:tcW w:w="1145"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7" w:type="dxa"/>
            <w:gridSpan w:val="6"/>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总计（元）:</w:t>
            </w:r>
          </w:p>
        </w:tc>
        <w:tc>
          <w:tcPr>
            <w:tcW w:w="1145"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7" w:type="dxa"/>
            <w:gridSpan w:val="6"/>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工期（天）：</w:t>
            </w:r>
          </w:p>
        </w:tc>
        <w:tc>
          <w:tcPr>
            <w:tcW w:w="1145"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7" w:type="dxa"/>
            <w:gridSpan w:val="6"/>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质保期:</w:t>
            </w:r>
          </w:p>
        </w:tc>
        <w:tc>
          <w:tcPr>
            <w:tcW w:w="1145" w:type="dxa"/>
          </w:tcPr>
          <w:p>
            <w:pPr>
              <w:widowControl/>
              <w:jc w:val="center"/>
              <w:textAlignment w:val="center"/>
              <w:rPr>
                <w:rFonts w:hint="eastAsia" w:ascii="方正仿宋_GBK" w:hAnsi="宋体" w:eastAsia="方正仿宋_GBK" w:cs="Times New Roman"/>
                <w:color w:val="FF0000"/>
                <w:kern w:val="2"/>
                <w:sz w:val="24"/>
                <w:szCs w:val="24"/>
                <w:lang w:val="en-US" w:eastAsia="zh-CN" w:bidi="ar-SA"/>
              </w:rPr>
            </w:pPr>
          </w:p>
        </w:tc>
      </w:tr>
    </w:tbl>
    <w:p>
      <w:pPr>
        <w:widowControl/>
        <w:jc w:val="left"/>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注：1、需要对后期上述项目破损后补划项目进行报价，本表可拓展。</w:t>
      </w:r>
    </w:p>
    <w:p>
      <w:pPr>
        <w:pStyle w:val="51"/>
        <w:spacing w:before="0" w:beforeAutospacing="0" w:after="0" w:afterAutospacing="0"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eastAsia="方正仿宋_GBK" w:cs="Times New Roman"/>
          <w:color w:val="FF0000"/>
          <w:kern w:val="2"/>
          <w:sz w:val="24"/>
          <w:szCs w:val="24"/>
          <w:lang w:val="en-US" w:eastAsia="zh-CN" w:bidi="ar-SA"/>
        </w:rPr>
        <w:t>2、</w:t>
      </w:r>
      <w:r>
        <w:rPr>
          <w:rFonts w:hint="eastAsia" w:ascii="方正仿宋_GBK" w:hAnsi="宋体" w:eastAsia="方正仿宋_GBK" w:cs="Times New Roman"/>
          <w:color w:val="FF0000"/>
          <w:kern w:val="2"/>
          <w:sz w:val="24"/>
          <w:szCs w:val="24"/>
          <w:lang w:val="en-US" w:eastAsia="zh-CN" w:bidi="ar-SA"/>
        </w:rPr>
        <w:t>报价为包干价，包含人工费、材料费、机械费、服务费、保险费、税费等各项费用。</w:t>
      </w:r>
    </w:p>
    <w:p>
      <w:pPr>
        <w:spacing w:line="360" w:lineRule="auto"/>
        <w:jc w:val="center"/>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000000" w:themeColor="text1"/>
          <w14:textFill>
            <w14:solidFill>
              <w14:schemeClr w14:val="tx1"/>
            </w14:solidFill>
          </w14:textFill>
        </w:rPr>
      </w:pPr>
      <w:bookmarkStart w:id="145" w:name="_Toc313888361"/>
      <w:bookmarkStart w:id="146" w:name="_Toc480979019"/>
      <w:bookmarkStart w:id="147" w:name="_Toc342913420"/>
      <w:bookmarkStart w:id="148" w:name="_Toc313008357"/>
      <w:bookmarkStart w:id="149" w:name="_Toc485108797"/>
      <w:r>
        <w:rPr>
          <w:rFonts w:hint="eastAsia"/>
          <w:b/>
          <w:color w:val="000000" w:themeColor="text1"/>
          <w14:textFill>
            <w14:solidFill>
              <w14:schemeClr w14:val="tx1"/>
            </w14:solidFill>
          </w14:textFill>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50" w:name="_Toc342913421"/>
      <w:bookmarkStart w:id="151" w:name="_Toc480979020"/>
      <w:bookmarkStart w:id="152" w:name="_Toc313008358"/>
      <w:bookmarkStart w:id="153" w:name="_Toc313888362"/>
      <w:bookmarkStart w:id="154" w:name="_Toc485108798"/>
      <w:r>
        <w:rPr>
          <w:rFonts w:hint="eastAsia"/>
          <w:b/>
          <w:color w:val="000000" w:themeColor="text1"/>
          <w14:textFill>
            <w14:solidFill>
              <w14:schemeClr w14:val="tx1"/>
            </w14:solidFill>
          </w14:textFill>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55"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55"/>
      <w:bookmarkStart w:id="156" w:name="_Toc342913422"/>
      <w:bookmarkStart w:id="157" w:name="_Toc313888363"/>
      <w:bookmarkStart w:id="158" w:name="_Toc313008359"/>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56"/>
      <w:bookmarkEnd w:id="157"/>
      <w:bookmarkEnd w:id="158"/>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59" w:name="OLE_LINK4"/>
      <w:bookmarkStart w:id="160"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59"/>
    <w:bookmarkEnd w:id="160"/>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4"/>
        <w:bidi w:val="0"/>
        <w:rPr>
          <w:rFonts w:hint="eastAsia"/>
          <w:color w:val="000000" w:themeColor="text1"/>
          <w:lang w:val="en-US" w:eastAsia="zh-CN"/>
          <w14:textFill>
            <w14:solidFill>
              <w14:schemeClr w14:val="tx1"/>
            </w14:solidFill>
          </w14:textFill>
        </w:rPr>
      </w:pPr>
      <w:bookmarkStart w:id="161" w:name="_Toc31463"/>
      <w:bookmarkStart w:id="162"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4"/>
        <w:bidi w:val="0"/>
        <w:rPr>
          <w:rFonts w:hint="eastAsia"/>
          <w:color w:val="000000" w:themeColor="text1"/>
          <w:lang w:val="en-US" w:eastAsia="zh-CN"/>
          <w14:textFill>
            <w14:solidFill>
              <w14:schemeClr w14:val="tx1"/>
            </w14:solidFill>
          </w14:textFill>
        </w:rPr>
      </w:pPr>
    </w:p>
    <w:bookmarkEnd w:id="161"/>
    <w:bookmarkEnd w:id="162"/>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C5E3E9C-65D5-497D-9E60-0577849ECF66}"/>
  </w:font>
  <w:font w:name="黑体">
    <w:panose1 w:val="02010609060101010101"/>
    <w:charset w:val="86"/>
    <w:family w:val="auto"/>
    <w:pitch w:val="default"/>
    <w:sig w:usb0="800002BF" w:usb1="38CF7CFA" w:usb2="00000016" w:usb3="00000000" w:csb0="00040001" w:csb1="00000000"/>
    <w:embedRegular r:id="rId2" w:fontKey="{FF737496-6EA0-470A-A41B-59897211146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8F6D551-4C5A-436E-94A6-BBB1272CC839}"/>
  </w:font>
  <w:font w:name="仿宋_GB2312">
    <w:altName w:val="仿宋"/>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embedRegular r:id="rId4" w:fontKey="{9E07EF04-DA75-40C6-B8A8-2F46E6F42B8B}"/>
  </w:font>
  <w:font w:name="方正黑体_GBK">
    <w:altName w:val="微软雅黑"/>
    <w:panose1 w:val="00000000000000000000"/>
    <w:charset w:val="86"/>
    <w:family w:val="script"/>
    <w:pitch w:val="default"/>
    <w:sig w:usb0="00000000" w:usb1="00000000" w:usb2="00000000" w:usb3="00000000" w:csb0="00040000" w:csb1="00000000"/>
    <w:embedRegular r:id="rId5" w:fontKey="{E84A9591-CCBF-4E7C-B118-D04BA4259BDF}"/>
  </w:font>
  <w:font w:name="方正小标宋_GBK">
    <w:panose1 w:val="02000000000000000000"/>
    <w:charset w:val="86"/>
    <w:family w:val="script"/>
    <w:pitch w:val="default"/>
    <w:sig w:usb0="A00002BF" w:usb1="38CF7CFA" w:usb2="00082016" w:usb3="00000000" w:csb0="00040001" w:csb1="00000000"/>
    <w:embedRegular r:id="rId6" w:fontKey="{D74AC378-E8F8-4C4D-BCD3-E78871E2F7E0}"/>
  </w:font>
  <w:font w:name="仿宋">
    <w:panose1 w:val="02010609060101010101"/>
    <w:charset w:val="86"/>
    <w:family w:val="auto"/>
    <w:pitch w:val="default"/>
    <w:sig w:usb0="800002BF" w:usb1="38CF7CFA" w:usb2="00000016" w:usb3="00000000" w:csb0="00040001" w:csb1="00000000"/>
    <w:embedRegular r:id="rId7" w:fontKey="{75149120-7DBB-46E3-B59F-DD808A79690D}"/>
  </w:font>
  <w:font w:name="微软雅黑">
    <w:panose1 w:val="020B0503020204020204"/>
    <w:charset w:val="86"/>
    <w:family w:val="auto"/>
    <w:pitch w:val="default"/>
    <w:sig w:usb0="80000287" w:usb1="280F3C52" w:usb2="00000016" w:usb3="00000000" w:csb0="0004001F" w:csb1="00000000"/>
    <w:embedRegular r:id="rId8" w:fontKey="{8C2E2D28-6B1F-4322-B3B1-11EF2DCD938C}"/>
  </w:font>
  <w:font w:name="方正仿宋_GBK">
    <w:altName w:val="微软雅黑"/>
    <w:panose1 w:val="00000000000000000000"/>
    <w:charset w:val="86"/>
    <w:family w:val="script"/>
    <w:pitch w:val="default"/>
    <w:sig w:usb0="00000000" w:usb1="00000000" w:usb2="00000010" w:usb3="00000000" w:csb0="00040000" w:csb1="00000000"/>
    <w:embedRegular r:id="rId9" w:fontKey="{07D2D605-920C-4D04-A765-EC66A234F595}"/>
  </w:font>
  <w:font w:name="楷体">
    <w:panose1 w:val="02010609060101010101"/>
    <w:charset w:val="86"/>
    <w:family w:val="auto"/>
    <w:pitch w:val="default"/>
    <w:sig w:usb0="800002BF" w:usb1="38CF7CFA" w:usb2="00000016" w:usb3="00000000" w:csb0="00040001" w:csb1="00000000"/>
    <w:embedRegular r:id="rId10" w:fontKey="{C3D02523-CE32-4BBD-844E-F7EB95BCC1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C931BB2"/>
    <w:rsid w:val="0E0E625A"/>
    <w:rsid w:val="0E4D3D6E"/>
    <w:rsid w:val="0E5721EA"/>
    <w:rsid w:val="0E5A796A"/>
    <w:rsid w:val="0E5B6625"/>
    <w:rsid w:val="0E9859A3"/>
    <w:rsid w:val="0ECE4584"/>
    <w:rsid w:val="0F291536"/>
    <w:rsid w:val="0FAB0EE6"/>
    <w:rsid w:val="0FD61CDB"/>
    <w:rsid w:val="10246EEB"/>
    <w:rsid w:val="10413B50"/>
    <w:rsid w:val="104D689B"/>
    <w:rsid w:val="109D57E0"/>
    <w:rsid w:val="116A53EB"/>
    <w:rsid w:val="134E0964"/>
    <w:rsid w:val="14B95EDB"/>
    <w:rsid w:val="14C6168E"/>
    <w:rsid w:val="15604521"/>
    <w:rsid w:val="18130842"/>
    <w:rsid w:val="19394057"/>
    <w:rsid w:val="19B7492C"/>
    <w:rsid w:val="1A1A437B"/>
    <w:rsid w:val="1A9D1D74"/>
    <w:rsid w:val="1B925650"/>
    <w:rsid w:val="1C0025BA"/>
    <w:rsid w:val="1CED540D"/>
    <w:rsid w:val="1CF736B7"/>
    <w:rsid w:val="1D632E00"/>
    <w:rsid w:val="1DD87EDC"/>
    <w:rsid w:val="1E9D4968"/>
    <w:rsid w:val="1F2D0A6E"/>
    <w:rsid w:val="1F6D6E4A"/>
    <w:rsid w:val="1FCE723D"/>
    <w:rsid w:val="203372B2"/>
    <w:rsid w:val="204C6181"/>
    <w:rsid w:val="20635545"/>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CD4235"/>
    <w:rsid w:val="28D01566"/>
    <w:rsid w:val="28E31299"/>
    <w:rsid w:val="2BBD2276"/>
    <w:rsid w:val="2CF34CEA"/>
    <w:rsid w:val="2F1F1F02"/>
    <w:rsid w:val="2F2348BD"/>
    <w:rsid w:val="2F6F1AD9"/>
    <w:rsid w:val="2FD06C0B"/>
    <w:rsid w:val="30A44277"/>
    <w:rsid w:val="31466E58"/>
    <w:rsid w:val="32050A97"/>
    <w:rsid w:val="32284BF5"/>
    <w:rsid w:val="32DA1DD4"/>
    <w:rsid w:val="33323C73"/>
    <w:rsid w:val="3361798A"/>
    <w:rsid w:val="34477E1A"/>
    <w:rsid w:val="34B44507"/>
    <w:rsid w:val="35687566"/>
    <w:rsid w:val="35B15F88"/>
    <w:rsid w:val="35D501BC"/>
    <w:rsid w:val="35E87A5C"/>
    <w:rsid w:val="369E4A52"/>
    <w:rsid w:val="36A73740"/>
    <w:rsid w:val="375A306E"/>
    <w:rsid w:val="377759CE"/>
    <w:rsid w:val="38442273"/>
    <w:rsid w:val="38C010B0"/>
    <w:rsid w:val="391C67AE"/>
    <w:rsid w:val="39486CC3"/>
    <w:rsid w:val="39A3534F"/>
    <w:rsid w:val="3B30241A"/>
    <w:rsid w:val="3C4F6F1A"/>
    <w:rsid w:val="3DD60FEB"/>
    <w:rsid w:val="3E263CAA"/>
    <w:rsid w:val="3E491747"/>
    <w:rsid w:val="3E6B192F"/>
    <w:rsid w:val="3EA55BAC"/>
    <w:rsid w:val="3F591E5E"/>
    <w:rsid w:val="40113C23"/>
    <w:rsid w:val="403F2E01"/>
    <w:rsid w:val="40E52488"/>
    <w:rsid w:val="41007A8F"/>
    <w:rsid w:val="415869FC"/>
    <w:rsid w:val="41AB14E8"/>
    <w:rsid w:val="41D67141"/>
    <w:rsid w:val="42030507"/>
    <w:rsid w:val="429D5EC0"/>
    <w:rsid w:val="444565A3"/>
    <w:rsid w:val="461B60BF"/>
    <w:rsid w:val="475461C4"/>
    <w:rsid w:val="477A0BC3"/>
    <w:rsid w:val="47F3755A"/>
    <w:rsid w:val="48FA020D"/>
    <w:rsid w:val="492C6FBB"/>
    <w:rsid w:val="499D1F70"/>
    <w:rsid w:val="4A1025A8"/>
    <w:rsid w:val="4AC26B09"/>
    <w:rsid w:val="4AD41B9B"/>
    <w:rsid w:val="4AED1C9D"/>
    <w:rsid w:val="4BC14D8A"/>
    <w:rsid w:val="4BE8259F"/>
    <w:rsid w:val="4C4E289A"/>
    <w:rsid w:val="4EF70D4B"/>
    <w:rsid w:val="4F2E0C11"/>
    <w:rsid w:val="4F79418A"/>
    <w:rsid w:val="50FE286B"/>
    <w:rsid w:val="514069D9"/>
    <w:rsid w:val="51D77CAA"/>
    <w:rsid w:val="52ED493F"/>
    <w:rsid w:val="531F0FF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815672"/>
    <w:rsid w:val="6972525B"/>
    <w:rsid w:val="69FC5E8B"/>
    <w:rsid w:val="6B217424"/>
    <w:rsid w:val="6B28360F"/>
    <w:rsid w:val="6B9F4D55"/>
    <w:rsid w:val="6BAA3DD9"/>
    <w:rsid w:val="6DC70D5C"/>
    <w:rsid w:val="6E45126B"/>
    <w:rsid w:val="6F062BB9"/>
    <w:rsid w:val="6F213E8F"/>
    <w:rsid w:val="70E64A50"/>
    <w:rsid w:val="71231A63"/>
    <w:rsid w:val="739465A0"/>
    <w:rsid w:val="73B34AD5"/>
    <w:rsid w:val="783A1618"/>
    <w:rsid w:val="788222E3"/>
    <w:rsid w:val="7908485F"/>
    <w:rsid w:val="7936053E"/>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23"/>
    <w:qFormat/>
    <w:uiPriority w:val="0"/>
    <w:rPr>
      <w:rFonts w:ascii="仿宋_GB2312" w:hAnsi="Times New Roman" w:eastAsia="仿宋_GB2312" w:cs="Times New Roman"/>
      <w:sz w:val="32"/>
      <w:szCs w:val="20"/>
    </w:r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0"/>
    <w:unhideWhenUsed/>
    <w:qFormat/>
    <w:uiPriority w:val="0"/>
    <w:pPr>
      <w:jc w:val="left"/>
    </w:pPr>
  </w:style>
  <w:style w:type="paragraph" w:styleId="21">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3"/>
    <w:qFormat/>
    <w:uiPriority w:val="0"/>
    <w:rPr>
      <w:rFonts w:ascii="宋体" w:hAnsi="Times New Roman" w:eastAsia="宋体" w:cs="Times New Roman"/>
      <w:sz w:val="28"/>
      <w:szCs w:val="20"/>
    </w:rPr>
  </w:style>
  <w:style w:type="character" w:customStyle="1" w:styleId="69">
    <w:name w:val="标题 2 Char"/>
    <w:basedOn w:val="60"/>
    <w:link w:val="4"/>
    <w:qFormat/>
    <w:uiPriority w:val="0"/>
    <w:rPr>
      <w:rFonts w:ascii="Arial" w:hAnsi="Arial" w:eastAsia="黑体" w:cs="Times New Roman"/>
      <w:b/>
      <w:sz w:val="32"/>
      <w:szCs w:val="20"/>
    </w:rPr>
  </w:style>
  <w:style w:type="character" w:customStyle="1" w:styleId="70">
    <w:name w:val="标题 3 Char"/>
    <w:basedOn w:val="60"/>
    <w:link w:val="5"/>
    <w:qFormat/>
    <w:uiPriority w:val="0"/>
    <w:rPr>
      <w:rFonts w:ascii="Times New Roman" w:hAnsi="Times New Roman" w:eastAsia="宋体" w:cs="Times New Roman"/>
      <w:b/>
      <w:sz w:val="32"/>
      <w:szCs w:val="20"/>
    </w:rPr>
  </w:style>
  <w:style w:type="character" w:customStyle="1" w:styleId="71">
    <w:name w:val="标题 4 Char"/>
    <w:basedOn w:val="60"/>
    <w:link w:val="6"/>
    <w:qFormat/>
    <w:uiPriority w:val="0"/>
    <w:rPr>
      <w:rFonts w:ascii="Arial" w:hAnsi="Arial" w:eastAsia="黑体" w:cs="Times New Roman"/>
      <w:b/>
      <w:sz w:val="28"/>
      <w:szCs w:val="20"/>
    </w:rPr>
  </w:style>
  <w:style w:type="character" w:customStyle="1" w:styleId="72">
    <w:name w:val="标题 5 Char"/>
    <w:basedOn w:val="60"/>
    <w:link w:val="7"/>
    <w:qFormat/>
    <w:uiPriority w:val="0"/>
    <w:rPr>
      <w:rFonts w:ascii="Times New Roman" w:hAnsi="Times New Roman" w:eastAsia="宋体" w:cs="Times New Roman"/>
      <w:b/>
      <w:sz w:val="28"/>
      <w:szCs w:val="20"/>
    </w:rPr>
  </w:style>
  <w:style w:type="character" w:customStyle="1" w:styleId="73">
    <w:name w:val="标题 6 Char"/>
    <w:basedOn w:val="60"/>
    <w:link w:val="8"/>
    <w:qFormat/>
    <w:uiPriority w:val="0"/>
    <w:rPr>
      <w:rFonts w:ascii="Arial" w:hAnsi="Arial" w:eastAsia="黑体" w:cs="Times New Roman"/>
      <w:b/>
      <w:sz w:val="24"/>
      <w:szCs w:val="20"/>
    </w:rPr>
  </w:style>
  <w:style w:type="character" w:customStyle="1" w:styleId="74">
    <w:name w:val="标题 7 Char"/>
    <w:basedOn w:val="60"/>
    <w:link w:val="9"/>
    <w:qFormat/>
    <w:uiPriority w:val="0"/>
    <w:rPr>
      <w:rFonts w:ascii="Arial" w:hAnsi="Arial" w:eastAsia="黑体" w:cs="Times New Roman"/>
      <w:b/>
      <w:sz w:val="24"/>
      <w:szCs w:val="20"/>
    </w:rPr>
  </w:style>
  <w:style w:type="character" w:customStyle="1" w:styleId="75">
    <w:name w:val="标题 8 Char"/>
    <w:basedOn w:val="60"/>
    <w:link w:val="10"/>
    <w:qFormat/>
    <w:uiPriority w:val="0"/>
    <w:rPr>
      <w:rFonts w:ascii="Arial" w:hAnsi="Arial" w:eastAsia="黑体" w:cs="Times New Roman"/>
      <w:b/>
      <w:sz w:val="24"/>
      <w:szCs w:val="20"/>
    </w:rPr>
  </w:style>
  <w:style w:type="character" w:customStyle="1" w:styleId="76">
    <w:name w:val="标题 9 Char"/>
    <w:basedOn w:val="60"/>
    <w:link w:val="11"/>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8"/>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1"/>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20"/>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qFormat/>
    <w:uiPriority w:val="0"/>
    <w:pPr>
      <w:ind w:firstLine="480" w:firstLineChars="200"/>
    </w:pPr>
  </w:style>
  <w:style w:type="paragraph" w:customStyle="1" w:styleId="237">
    <w:name w:val="可研正文"/>
    <w:basedOn w:val="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character" w:customStyle="1" w:styleId="267">
    <w:name w:val="font11"/>
    <w:basedOn w:val="60"/>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2</TotalTime>
  <ScaleCrop>false</ScaleCrop>
  <LinksUpToDate>false</LinksUpToDate>
  <CharactersWithSpaces>18825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2023-11-13T00:03:24Z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