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2023FW047</w:t>
      </w:r>
    </w:p>
    <w:p>
      <w:pPr>
        <w:spacing w:line="700" w:lineRule="exact"/>
        <w:ind w:firstLine="840" w:firstLineChars="300"/>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门面租赁</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四</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一</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11641050"/>
      <w:bookmarkStart w:id="1" w:name="_Toc485108766"/>
      <w:bookmarkStart w:id="2" w:name="_Toc25875"/>
      <w:bookmarkStart w:id="3" w:name="_Toc12789052"/>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门面租赁</w:t>
      </w:r>
      <w:r>
        <w:rPr>
          <w:rFonts w:hint="eastAsia" w:ascii="方正仿宋_GBK" w:hAnsi="宋体" w:eastAsia="方正仿宋_GBK" w:cs="Times New Roman"/>
          <w:color w:val="000000" w:themeColor="text1"/>
          <w:sz w:val="24"/>
          <w:szCs w:val="24"/>
          <w14:textFill>
            <w14:solidFill>
              <w14:schemeClr w14:val="tx1"/>
            </w14:solidFill>
          </w14:textFill>
        </w:rPr>
        <w:t>进行院内比选</w:t>
      </w:r>
      <w:r>
        <w:rPr>
          <w:rFonts w:hint="eastAsia" w:ascii="方正仿宋_GBK" w:hAnsi="宋体" w:eastAsia="方正仿宋_GBK" w:cs="Times New Roman"/>
          <w:color w:val="000000" w:themeColor="text1"/>
          <w:sz w:val="24"/>
          <w:szCs w:val="24"/>
          <w:lang w:eastAsia="zh-CN"/>
          <w14:textFill>
            <w14:solidFill>
              <w14:schemeClr w14:val="tx1"/>
            </w14:solidFill>
          </w14:textFill>
        </w:rPr>
        <w:t>招租</w:t>
      </w:r>
      <w:r>
        <w:rPr>
          <w:rFonts w:hint="eastAsia" w:ascii="方正仿宋_GBK" w:hAnsi="宋体" w:eastAsia="方正仿宋_GBK" w:cs="Times New Roman"/>
          <w:color w:val="000000" w:themeColor="text1"/>
          <w:sz w:val="24"/>
          <w:szCs w:val="24"/>
          <w14:textFill>
            <w14:solidFill>
              <w14:schemeClr w14:val="tx1"/>
            </w14:solidFill>
          </w14:textFill>
        </w:rPr>
        <w:t>。欢迎有资格、有实力的潜在供应商参加。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317775175"/>
      <w:bookmarkStart w:id="7" w:name="_Toc313893526"/>
      <w:bookmarkStart w:id="8" w:name="_Toc485108767"/>
      <w:bookmarkStart w:id="9" w:name="_Toc28443"/>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415"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415" w:type="dxa"/>
            <w:vAlign w:val="center"/>
          </w:tcPr>
          <w:p>
            <w:pPr>
              <w:spacing w:line="400" w:lineRule="exact"/>
              <w:jc w:val="center"/>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门面租赁</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jc w:val="center"/>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（一）</w:t>
      </w:r>
      <w:r>
        <w:rPr>
          <w:rFonts w:hint="eastAsia" w:ascii="方正仿宋_GBK" w:hAnsi="宋体" w:eastAsia="方正仿宋_GBK"/>
          <w:color w:val="FF0000"/>
          <w:sz w:val="24"/>
          <w:szCs w:val="24"/>
        </w:rPr>
        <w:t>基本</w:t>
      </w:r>
      <w:r>
        <w:rPr>
          <w:rFonts w:hint="eastAsia" w:ascii="方正仿宋_GBK" w:hAnsi="宋体" w:eastAsia="方正仿宋_GBK" w:cs="Times New Roman"/>
          <w:color w:val="FF0000"/>
          <w:sz w:val="24"/>
          <w:szCs w:val="24"/>
        </w:rPr>
        <w:t>资格条件</w:t>
      </w:r>
    </w:p>
    <w:bookmarkEnd w:id="4"/>
    <w:bookmarkEnd w:id="5"/>
    <w:p>
      <w:pPr>
        <w:spacing w:line="480" w:lineRule="exact"/>
        <w:ind w:firstLine="480" w:firstLineChars="200"/>
        <w:rPr>
          <w:rFonts w:ascii="方正仿宋_GBK" w:hAnsi="宋体" w:eastAsia="方正仿宋_GBK" w:cs="Times New Roman"/>
          <w:color w:val="FF0000"/>
          <w:sz w:val="24"/>
          <w:szCs w:val="24"/>
        </w:rPr>
      </w:pPr>
      <w:bookmarkStart w:id="16" w:name="_Toc6"/>
      <w:bookmarkStart w:id="17" w:name="_Toc11958"/>
      <w:bookmarkStart w:id="18" w:name="_Toc102227313"/>
      <w:bookmarkStart w:id="19" w:name="_Toc485108774"/>
      <w:r>
        <w:rPr>
          <w:rFonts w:hint="eastAsia" w:ascii="方正仿宋_GBK" w:hAnsi="宋体" w:eastAsia="方正仿宋_GBK" w:cs="Times New Roman"/>
          <w:color w:val="FF0000"/>
          <w:sz w:val="24"/>
          <w:szCs w:val="24"/>
        </w:rPr>
        <w:t>1.具有独立承担民事责任的能力；</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4.有依法缴纳税收和社会保障资金的良好记录；</w:t>
      </w:r>
    </w:p>
    <w:p>
      <w:pPr>
        <w:ind w:firstLine="480" w:firstLineChars="200"/>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6.法律、行政法规规定的其他条件；</w:t>
      </w:r>
    </w:p>
    <w:p>
      <w:pPr>
        <w:ind w:firstLine="480" w:firstLineChars="200"/>
        <w:rPr>
          <w:rFonts w:hint="eastAsia" w:ascii="方正仿宋_GBK" w:hAnsi="宋体" w:eastAsia="方正仿宋_GBK" w:cs="Times New Roman"/>
          <w:bCs/>
          <w:color w:val="FF0000"/>
          <w:sz w:val="24"/>
          <w:szCs w:val="24"/>
        </w:rPr>
      </w:pPr>
      <w:r>
        <w:rPr>
          <w:rFonts w:hint="eastAsia" w:ascii="方正仿宋_GBK" w:hAnsi="宋体" w:eastAsia="方正仿宋_GBK" w:cs="Times New Roman"/>
          <w:bCs/>
          <w:color w:val="FF0000"/>
          <w:sz w:val="24"/>
          <w:szCs w:val="24"/>
        </w:rPr>
        <w:t>7.营业执照、法人身份证复印件等相关资料</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rFonts w:hint="eastAsia" w:ascii="微软雅黑" w:hAnsi="微软雅黑" w:eastAsia="微软雅黑" w:cs="微软雅黑"/>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日）起</w:t>
      </w:r>
      <w:r>
        <w:rPr>
          <w:rFonts w:hint="eastAsia" w:ascii="方正仿宋_GBK" w:hAnsi="宋体" w:eastAsia="方正仿宋_GBK" w:cs="Times New Roman"/>
          <w:color w:val="000000" w:themeColor="text1"/>
          <w:sz w:val="24"/>
          <w:szCs w:val="24"/>
          <w:lang w:eastAsia="zh-CN"/>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个工作日。</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w:t>
      </w:r>
      <w:r>
        <w:rPr>
          <w:rFonts w:hint="eastAsia" w:ascii="方正仿宋_GBK" w:hAnsi="宋体" w:eastAsia="方正仿宋_GBK"/>
          <w:color w:val="000000" w:themeColor="text1"/>
          <w:sz w:val="24"/>
          <w:szCs w:val="24"/>
          <w:lang w:val="en-US" w:eastAsia="zh-CN"/>
          <w14:textFill>
            <w14:solidFill>
              <w14:schemeClr w14:val="tx1"/>
            </w14:solidFill>
          </w14:textFill>
        </w:rPr>
        <w:t>4</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8</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0:00</w:t>
      </w:r>
      <w:r>
        <w:rPr>
          <w:rFonts w:hint="eastAsia" w:ascii="方正仿宋_GBK" w:hAnsi="宋体" w:eastAsia="方正仿宋_GBK"/>
          <w:color w:val="000000" w:themeColor="text1"/>
          <w:sz w:val="24"/>
          <w:szCs w:val="24"/>
          <w14:textFill>
            <w14:solidFill>
              <w14:schemeClr w14:val="tx1"/>
            </w14:solidFill>
          </w14:textFill>
        </w:rPr>
        <w:t>时至202</w:t>
      </w:r>
      <w:r>
        <w:rPr>
          <w:rFonts w:hint="eastAsia" w:ascii="方正仿宋_GBK" w:hAnsi="宋体" w:eastAsia="方正仿宋_GBK"/>
          <w:color w:val="000000" w:themeColor="text1"/>
          <w:sz w:val="24"/>
          <w:szCs w:val="24"/>
          <w:lang w:val="en-US" w:eastAsia="zh-CN"/>
          <w14:textFill>
            <w14:solidFill>
              <w14:schemeClr w14:val="tx1"/>
            </w14:solidFill>
          </w14:textFill>
        </w:rPr>
        <w:t>4</w:t>
      </w:r>
      <w:r>
        <w:rPr>
          <w:rFonts w:hint="eastAsia" w:ascii="方正仿宋_GBK" w:hAnsi="宋体" w:eastAsia="方正仿宋_GBK"/>
          <w:color w:val="000000" w:themeColor="text1"/>
          <w:sz w:val="24"/>
          <w:szCs w:val="24"/>
          <w14:textFill>
            <w14:solidFill>
              <w14:schemeClr w14:val="tx1"/>
            </w14:solidFill>
          </w14:textFill>
        </w:rPr>
        <w:t>年</w:t>
      </w:r>
      <w:r>
        <w:rPr>
          <w:rFonts w:hint="eastAsia" w:ascii="方正仿宋_GBK" w:hAnsi="宋体" w:eastAsia="方正仿宋_GBK"/>
          <w:color w:val="000000" w:themeColor="text1"/>
          <w:sz w:val="24"/>
          <w:szCs w:val="24"/>
          <w:lang w:val="en-US" w:eastAsia="zh-CN"/>
          <w14:textFill>
            <w14:solidFill>
              <w14:schemeClr w14:val="tx1"/>
            </w14:solidFill>
          </w14:textFill>
        </w:rPr>
        <w:t>1</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12</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24:00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2806"/>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9130"/>
      <w:bookmarkStart w:id="29" w:name="_Toc3139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FF0000"/>
          <w:sz w:val="24"/>
          <w:szCs w:val="24"/>
        </w:rPr>
      </w:pPr>
      <w:r>
        <w:rPr>
          <w:rFonts w:hint="eastAsia" w:ascii="方正仿宋_GBK" w:hAnsi="宋体" w:eastAsia="方正仿宋_GBK" w:cs="Times New Roman"/>
          <w:b/>
          <w:bCs/>
          <w:color w:val="FF0000"/>
          <w:sz w:val="24"/>
          <w:szCs w:val="24"/>
        </w:rPr>
        <w:t>（二）报价要求</w:t>
      </w:r>
    </w:p>
    <w:p>
      <w:pPr>
        <w:spacing w:line="400" w:lineRule="exact"/>
        <w:ind w:firstLine="480" w:firstLineChars="200"/>
        <w:rPr>
          <w:rFonts w:hint="eastAsia" w:ascii="方正仿宋_GBK" w:hAnsi="宋体" w:eastAsia="方正仿宋_GBK" w:cs="Times New Roman"/>
          <w:color w:val="FF0000"/>
          <w:sz w:val="24"/>
          <w:szCs w:val="24"/>
          <w:lang w:eastAsia="zh-CN"/>
        </w:rPr>
      </w:pPr>
      <w:r>
        <w:rPr>
          <w:rFonts w:hint="eastAsia" w:ascii="方正仿宋_GBK" w:hAnsi="宋体" w:eastAsia="方正仿宋_GBK" w:cs="Times New Roman"/>
          <w:b/>
          <w:bCs/>
          <w:color w:val="FF0000"/>
          <w:sz w:val="24"/>
          <w:szCs w:val="24"/>
        </w:rPr>
        <w:t>报价要求：</w:t>
      </w:r>
      <w:r>
        <w:rPr>
          <w:rFonts w:hint="eastAsia" w:ascii="方正仿宋_GBK" w:hAnsi="宋体" w:eastAsia="方正仿宋_GBK" w:cs="Times New Roman"/>
          <w:color w:val="FF0000"/>
          <w:sz w:val="24"/>
          <w:szCs w:val="24"/>
        </w:rPr>
        <w:t>1、比选报价</w:t>
      </w:r>
      <w:r>
        <w:rPr>
          <w:rFonts w:hint="eastAsia" w:ascii="方正仿宋_GBK" w:hAnsi="宋体" w:eastAsia="方正仿宋_GBK" w:cs="Times New Roman"/>
          <w:color w:val="FF0000"/>
          <w:sz w:val="24"/>
          <w:szCs w:val="24"/>
          <w:lang w:eastAsia="zh-CN"/>
        </w:rPr>
        <w:t>不</w:t>
      </w:r>
      <w:r>
        <w:rPr>
          <w:rFonts w:hint="eastAsia" w:ascii="方正仿宋_GBK" w:hAnsi="宋体" w:eastAsia="方正仿宋_GBK" w:cs="Times New Roman"/>
          <w:color w:val="FF0000"/>
          <w:sz w:val="24"/>
          <w:szCs w:val="24"/>
        </w:rPr>
        <w:t>包括承租方在租用期间的水费、电费、物管费及税费等其他费用</w:t>
      </w:r>
      <w:r>
        <w:rPr>
          <w:rFonts w:hint="eastAsia" w:ascii="方正仿宋_GBK" w:hAnsi="宋体" w:eastAsia="方正仿宋_GBK" w:cs="Times New Roman"/>
          <w:color w:val="FF0000"/>
          <w:sz w:val="24"/>
          <w:szCs w:val="24"/>
          <w:lang w:eastAsia="zh-CN"/>
        </w:rPr>
        <w:t>，</w:t>
      </w:r>
      <w:r>
        <w:rPr>
          <w:rFonts w:hint="eastAsia" w:ascii="方正仿宋_GBK" w:hAnsi="宋体" w:eastAsia="方正仿宋_GBK" w:cs="Times New Roman"/>
          <w:color w:val="FF0000"/>
          <w:sz w:val="24"/>
          <w:szCs w:val="24"/>
        </w:rPr>
        <w:t>租用期间的水费、电费、物管费及税费等其他费用由承</w:t>
      </w:r>
      <w:r>
        <w:rPr>
          <w:rFonts w:hint="eastAsia" w:ascii="方正仿宋_GBK" w:hAnsi="宋体" w:eastAsia="方正仿宋_GBK" w:cs="Times New Roman"/>
          <w:color w:val="FF0000"/>
          <w:sz w:val="24"/>
          <w:szCs w:val="24"/>
          <w:lang w:eastAsia="zh-CN"/>
        </w:rPr>
        <w:t>租</w:t>
      </w:r>
      <w:r>
        <w:rPr>
          <w:rFonts w:hint="eastAsia" w:ascii="方正仿宋_GBK" w:hAnsi="宋体" w:eastAsia="方正仿宋_GBK" w:cs="Times New Roman"/>
          <w:color w:val="FF0000"/>
          <w:sz w:val="24"/>
          <w:szCs w:val="24"/>
        </w:rPr>
        <w:t>方自行承担，</w:t>
      </w:r>
      <w:r>
        <w:rPr>
          <w:rFonts w:hint="eastAsia" w:ascii="方正仿宋_GBK" w:hAnsi="宋体" w:eastAsia="方正仿宋_GBK" w:cs="Times New Roman"/>
          <w:bCs/>
          <w:color w:val="FF0000"/>
          <w:sz w:val="24"/>
          <w:szCs w:val="24"/>
        </w:rPr>
        <w:t>其交费标准按商业用收费标准计算每月交入重庆医科大学附属永川医院财务科</w:t>
      </w:r>
      <w:r>
        <w:rPr>
          <w:rFonts w:hint="eastAsia" w:ascii="方正仿宋_GBK" w:hAnsi="宋体" w:eastAsia="方正仿宋_GBK" w:cs="Times New Roman"/>
          <w:color w:val="FF0000"/>
          <w:sz w:val="24"/>
          <w:szCs w:val="24"/>
        </w:rPr>
        <w:t>。因成交供应商自身原因造成漏报、少报皆由其自行承担责任，采购人不再补偿</w:t>
      </w:r>
      <w:r>
        <w:rPr>
          <w:rFonts w:hint="eastAsia" w:ascii="方正仿宋_GBK" w:hAnsi="宋体" w:eastAsia="方正仿宋_GBK" w:cs="Times New Roman"/>
          <w:color w:val="FF0000"/>
          <w:sz w:val="24"/>
          <w:szCs w:val="24"/>
          <w:lang w:eastAsia="zh-CN"/>
        </w:rPr>
        <w:t>。</w:t>
      </w:r>
    </w:p>
    <w:p>
      <w:pPr>
        <w:pStyle w:val="22"/>
        <w:numPr>
          <w:ilvl w:val="0"/>
          <w:numId w:val="13"/>
        </w:numPr>
        <w:ind w:left="480" w:leftChars="0" w:firstLine="0" w:firstLineChars="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门诊临街门面11、12号可整租也可单租，基础租金不低于4800元/月/间。</w:t>
      </w:r>
    </w:p>
    <w:p>
      <w:pPr>
        <w:spacing w:line="400" w:lineRule="exact"/>
        <w:ind w:firstLine="480" w:firstLineChars="200"/>
        <w:rPr>
          <w:rFonts w:hint="default"/>
          <w:lang w:val="en-US" w:eastAsia="zh-CN"/>
        </w:rPr>
      </w:pPr>
      <w:r>
        <w:rPr>
          <w:rFonts w:hint="eastAsia" w:ascii="方正仿宋_GBK" w:hAnsi="宋体" w:eastAsia="方正仿宋_GBK" w:cs="Times New Roman"/>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w:t>
      </w:r>
      <w:bookmarkStart w:id="174" w:name="_GoBack"/>
      <w:bookmarkEnd w:id="174"/>
      <w:r>
        <w:rPr>
          <w:rFonts w:hint="eastAsia" w:ascii="方正仿宋_GBK" w:hAnsi="宋体" w:eastAsia="方正仿宋_GBK" w:cs="Times New Roman"/>
          <w:color w:val="auto"/>
          <w:sz w:val="24"/>
          <w:szCs w:val="24"/>
        </w:rPr>
        <w:t>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8"/>
      <w:bookmarkStart w:id="36" w:name="OLE_LINK3"/>
      <w:bookmarkStart w:id="37" w:name="OLE_LINK9"/>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79714298"/>
      <w:bookmarkStart w:id="39" w:name="_Toc18122"/>
      <w:bookmarkStart w:id="40" w:name="_Toc19143"/>
      <w:bookmarkStart w:id="41" w:name="_Toc403569780"/>
      <w:bookmarkStart w:id="42" w:name="_Toc102227319"/>
      <w:bookmarkStart w:id="43" w:name="_Toc34291339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403569782"/>
      <w:bookmarkStart w:id="51" w:name="_Toc29340"/>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FF0000"/>
          <w:sz w:val="24"/>
          <w:szCs w:val="24"/>
        </w:rPr>
      </w:pPr>
      <w:r>
        <w:rPr>
          <w:rFonts w:hint="eastAsia" w:ascii="方正仿宋_GBK" w:hAnsi="宋体" w:eastAsia="方正仿宋_GBK"/>
          <w:color w:val="FF0000"/>
          <w:sz w:val="24"/>
          <w:szCs w:val="24"/>
        </w:rPr>
        <w:t>（3）</w:t>
      </w:r>
      <w:r>
        <w:rPr>
          <w:rFonts w:hint="eastAsia" w:ascii="方正仿宋_GBK" w:hAnsi="宋体" w:eastAsia="方正仿宋_GBK" w:cs="Times New Roman"/>
          <w:color w:val="FF0000"/>
          <w:sz w:val="24"/>
          <w:szCs w:val="24"/>
        </w:rPr>
        <w:t>在采购过程中符合竞争要求的供应商不足3家的，</w:t>
      </w:r>
      <w:r>
        <w:rPr>
          <w:rFonts w:hint="eastAsia" w:ascii="方正仿宋_GBK" w:hAnsi="宋体" w:eastAsia="方正仿宋_GBK"/>
          <w:color w:val="FF0000"/>
          <w:sz w:val="24"/>
          <w:szCs w:val="24"/>
        </w:rPr>
        <w:t>但《医院采购管理办法（试行）》第二十</w:t>
      </w:r>
      <w:r>
        <w:rPr>
          <w:rFonts w:hint="eastAsia" w:ascii="方正仿宋_GBK" w:hAnsi="宋体" w:eastAsia="方正仿宋_GBK"/>
          <w:color w:val="FF0000"/>
          <w:sz w:val="24"/>
          <w:szCs w:val="24"/>
          <w:lang w:eastAsia="zh-CN"/>
        </w:rPr>
        <w:t>八</w:t>
      </w:r>
      <w:r>
        <w:rPr>
          <w:rFonts w:hint="eastAsia" w:ascii="方正仿宋_GBK" w:hAnsi="宋体" w:eastAsia="方正仿宋_GBK"/>
          <w:color w:val="FF0000"/>
          <w:sz w:val="24"/>
          <w:szCs w:val="24"/>
        </w:rPr>
        <w:t>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7135"/>
      <w:bookmarkStart w:id="53" w:name="_Toc102227321"/>
      <w:bookmarkStart w:id="54" w:name="_Toc403569783"/>
      <w:bookmarkStart w:id="55" w:name="_Toc342913395"/>
      <w:bookmarkStart w:id="56" w:name="_Toc3212"/>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keepNext/>
        <w:keepLines/>
        <w:pageBreakBefore w:val="0"/>
        <w:widowControl w:val="0"/>
        <w:numPr>
          <w:ilvl w:val="0"/>
          <w:numId w:val="14"/>
        </w:numPr>
        <w:kinsoku/>
        <w:wordWrap/>
        <w:overflowPunct/>
        <w:topLinePunct w:val="0"/>
        <w:autoSpaceDE/>
        <w:autoSpaceDN/>
        <w:bidi w:val="0"/>
        <w:adjustRightInd/>
        <w:snapToGrid/>
        <w:spacing w:line="240" w:lineRule="auto"/>
        <w:ind w:left="482" w:hanging="482"/>
        <w:textAlignment w:val="auto"/>
        <w:rPr>
          <w:rFonts w:hint="eastAsia" w:ascii="微软雅黑" w:hAnsi="微软雅黑" w:eastAsia="微软雅黑" w:cs="微软雅黑"/>
          <w:sz w:val="24"/>
          <w:szCs w:val="24"/>
        </w:rPr>
      </w:pPr>
      <w:bookmarkStart w:id="67" w:name="_Toc769"/>
      <w:bookmarkStart w:id="68" w:name="_Toc12789058"/>
      <w:r>
        <w:rPr>
          <w:rFonts w:hint="eastAsia" w:ascii="微软雅黑" w:hAnsi="微软雅黑" w:eastAsia="微软雅黑" w:cs="微软雅黑"/>
          <w:sz w:val="24"/>
          <w:szCs w:val="24"/>
        </w:rPr>
        <w:t>项目一览表</w:t>
      </w:r>
      <w:bookmarkEnd w:id="67"/>
    </w:p>
    <w:tbl>
      <w:tblPr>
        <w:tblStyle w:val="58"/>
        <w:tblpPr w:leftFromText="180" w:rightFromText="180" w:vertAnchor="text" w:tblpXSpec="center" w:tblpY="1"/>
        <w:tblOverlap w:val="never"/>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41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项目名称</w:t>
            </w:r>
          </w:p>
        </w:tc>
        <w:tc>
          <w:tcPr>
            <w:tcW w:w="2150" w:type="dxa"/>
            <w:vAlign w:val="center"/>
          </w:tcPr>
          <w:p>
            <w:pPr>
              <w:spacing w:line="400" w:lineRule="exact"/>
              <w:ind w:left="630" w:hanging="630" w:hangingChars="300"/>
              <w:rPr>
                <w:rFonts w:ascii="方正仿宋_GBK" w:hAnsi="宋体" w:eastAsia="方正仿宋_GBK"/>
                <w:szCs w:val="21"/>
              </w:rPr>
            </w:pPr>
            <w:r>
              <w:rPr>
                <w:rFonts w:hint="eastAsia" w:ascii="方正仿宋_GBK" w:hAnsi="宋体" w:eastAsia="方正仿宋_GBK"/>
                <w:szCs w:val="21"/>
              </w:rPr>
              <w:t>成交供应商数量（名）</w:t>
            </w:r>
          </w:p>
        </w:tc>
        <w:tc>
          <w:tcPr>
            <w:tcW w:w="122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最高限价</w:t>
            </w:r>
          </w:p>
          <w:p>
            <w:pPr>
              <w:spacing w:line="400" w:lineRule="exact"/>
              <w:rPr>
                <w:rFonts w:ascii="方正仿宋_GBK" w:hAnsi="宋体" w:eastAsia="方正仿宋_GBK"/>
                <w:szCs w:val="21"/>
              </w:rPr>
            </w:pPr>
            <w:r>
              <w:rPr>
                <w:rFonts w:hint="eastAsia" w:ascii="方正仿宋_GBK" w:hAnsi="宋体" w:eastAsia="方正仿宋_GBK"/>
                <w:szCs w:val="21"/>
              </w:rPr>
              <w:t>（万元）</w:t>
            </w:r>
          </w:p>
        </w:tc>
        <w:tc>
          <w:tcPr>
            <w:tcW w:w="212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临街门面招租</w:t>
            </w:r>
          </w:p>
        </w:tc>
        <w:tc>
          <w:tcPr>
            <w:tcW w:w="2150" w:type="dxa"/>
            <w:vAlign w:val="center"/>
          </w:tcPr>
          <w:p>
            <w:pPr>
              <w:spacing w:line="400" w:lineRule="exact"/>
              <w:ind w:firstLine="420" w:firstLineChars="200"/>
              <w:rPr>
                <w:rFonts w:hint="eastAsia" w:ascii="方正仿宋_GBK" w:hAnsi="宋体" w:eastAsia="方正仿宋_GBK"/>
                <w:szCs w:val="21"/>
                <w:lang w:eastAsia="zh-CN"/>
              </w:rPr>
            </w:pPr>
            <w:r>
              <w:rPr>
                <w:rFonts w:hint="eastAsia" w:ascii="方正仿宋_GBK" w:hAnsi="宋体" w:eastAsia="方正仿宋_GBK"/>
                <w:szCs w:val="21"/>
                <w:lang w:val="en-US" w:eastAsia="zh-CN"/>
              </w:rPr>
              <w:t>1</w:t>
            </w:r>
            <w:r>
              <w:rPr>
                <w:rFonts w:hint="eastAsia" w:ascii="方正仿宋_GBK" w:hAnsi="宋体" w:eastAsia="方正仿宋_GBK"/>
                <w:szCs w:val="21"/>
              </w:rPr>
              <w:t>或者</w:t>
            </w:r>
            <w:r>
              <w:rPr>
                <w:rFonts w:hint="eastAsia" w:ascii="方正仿宋_GBK" w:hAnsi="宋体" w:eastAsia="方正仿宋_GBK"/>
                <w:szCs w:val="21"/>
                <w:lang w:val="en-US" w:eastAsia="zh-CN"/>
              </w:rPr>
              <w:t>2</w:t>
            </w:r>
          </w:p>
        </w:tc>
        <w:tc>
          <w:tcPr>
            <w:tcW w:w="1225" w:type="dxa"/>
            <w:vAlign w:val="center"/>
          </w:tcPr>
          <w:p>
            <w:pPr>
              <w:spacing w:line="400" w:lineRule="exact"/>
              <w:jc w:val="center"/>
              <w:rPr>
                <w:rFonts w:ascii="方正仿宋_GBK" w:hAnsi="宋体" w:eastAsia="方正仿宋_GBK"/>
                <w:szCs w:val="21"/>
              </w:rPr>
            </w:pPr>
          </w:p>
        </w:tc>
        <w:tc>
          <w:tcPr>
            <w:tcW w:w="2125" w:type="dxa"/>
            <w:vAlign w:val="center"/>
          </w:tcPr>
          <w:p>
            <w:pPr>
              <w:spacing w:line="400" w:lineRule="exact"/>
              <w:rPr>
                <w:rFonts w:ascii="方正仿宋_GBK" w:hAnsi="宋体" w:eastAsia="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租赁期限：</w:t>
            </w:r>
            <w:r>
              <w:rPr>
                <w:rFonts w:ascii="方正仿宋_GBK" w:hAnsi="宋体" w:eastAsia="方正仿宋_GBK"/>
                <w:szCs w:val="21"/>
              </w:rPr>
              <w:t xml:space="preserve"> </w:t>
            </w:r>
          </w:p>
        </w:tc>
        <w:tc>
          <w:tcPr>
            <w:tcW w:w="5500" w:type="dxa"/>
            <w:gridSpan w:val="3"/>
            <w:vAlign w:val="center"/>
          </w:tcPr>
          <w:p>
            <w:pPr>
              <w:spacing w:line="400" w:lineRule="exact"/>
              <w:ind w:firstLine="2310" w:firstLineChars="1100"/>
              <w:rPr>
                <w:rFonts w:hint="eastAsia" w:ascii="方正仿宋_GBK" w:hAnsi="宋体" w:eastAsia="方正仿宋_GBK"/>
                <w:szCs w:val="21"/>
                <w:lang w:eastAsia="zh-CN"/>
              </w:rPr>
            </w:pPr>
            <w:r>
              <w:rPr>
                <w:rFonts w:hint="eastAsia" w:ascii="方正仿宋_GBK" w:hAnsi="宋体" w:eastAsia="方正仿宋_GBK"/>
                <w:szCs w:val="21"/>
              </w:rPr>
              <w:t>三年</w:t>
            </w:r>
            <w:r>
              <w:rPr>
                <w:rFonts w:hint="eastAsia" w:ascii="方正仿宋_GBK" w:hAnsi="宋体" w:eastAsia="方正仿宋_GBK"/>
                <w:szCs w:val="21"/>
                <w:lang w:eastAsia="zh-CN"/>
              </w:rPr>
              <w:t>一签</w:t>
            </w:r>
          </w:p>
        </w:tc>
      </w:tr>
    </w:tbl>
    <w:p>
      <w:pPr>
        <w:rPr>
          <w:rFonts w:hint="eastAsia"/>
        </w:rPr>
      </w:pPr>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ascii="微软雅黑" w:hAnsi="微软雅黑" w:eastAsia="微软雅黑" w:cs="微软雅黑"/>
          <w:sz w:val="24"/>
          <w:szCs w:val="24"/>
        </w:rPr>
      </w:pPr>
      <w:bookmarkStart w:id="69" w:name="_Toc32069"/>
      <w:r>
        <w:rPr>
          <w:rFonts w:hint="eastAsia" w:ascii="方正仿宋_GBK" w:hAnsi="宋体" w:eastAsia="方正仿宋_GBK"/>
          <w:bCs/>
          <w:sz w:val="24"/>
          <w:szCs w:val="24"/>
        </w:rPr>
        <w:t>二、</w:t>
      </w:r>
      <w:r>
        <w:rPr>
          <w:rFonts w:hint="eastAsia" w:ascii="微软雅黑" w:hAnsi="微软雅黑" w:eastAsia="微软雅黑" w:cs="微软雅黑"/>
          <w:sz w:val="24"/>
          <w:szCs w:val="24"/>
        </w:rPr>
        <w:t>承租方须知</w:t>
      </w:r>
      <w:bookmarkEnd w:id="69"/>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所有门面均不得改变所租门面的建筑结构，不得损坏其设施。门面如需装修装饰应经院方同意后方可实施，其费用由承租方自行承担，承租方承诺在退租房屋时不得向院方提出索要其装修装饰费用，不能搬走的装修部分归院方所有。</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、严禁承租方在租用的门面内经营医疗、美容、中西药品、茶园、卡厅和饮食业，否则属承租方违约，院方有权单方面解除本合同，并赔偿院方的损失，承租方无权提出异议。</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3</w:t>
      </w:r>
      <w:r>
        <w:rPr>
          <w:rFonts w:hint="eastAsia" w:ascii="方正仿宋_GBK" w:hAnsi="宋体" w:eastAsia="方正仿宋_GBK" w:cs="Times New Roman"/>
          <w:color w:val="FF0000"/>
          <w:sz w:val="24"/>
          <w:szCs w:val="24"/>
        </w:rPr>
        <w:t>、承租方在租用门面期间，如因特殊原因不再租用，应提前30天与院方协商停止租用，办理退租手续，同时将门面交回院方，承租方不得将所租门面私自转租给他人或收取转让费。本合同期满后，若承租方不愿续租，院方凭收据无息退还保证金；除承租方外，其他任何人持保证金收据均不能退还门面保证金。</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4</w:t>
      </w:r>
      <w:r>
        <w:rPr>
          <w:rFonts w:hint="eastAsia" w:ascii="方正仿宋_GBK" w:hAnsi="宋体" w:eastAsia="方正仿宋_GBK" w:cs="Times New Roman"/>
          <w:color w:val="FF0000"/>
          <w:sz w:val="24"/>
          <w:szCs w:val="24"/>
        </w:rPr>
        <w:t>、承租方在租用该门面期间应守法经营，自行负责向税务、工商等部门交纳税费或其它费用，如有违法行为，一律与院方无关，一切后果由承租方负责承担。</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5</w:t>
      </w:r>
      <w:r>
        <w:rPr>
          <w:rFonts w:hint="eastAsia" w:ascii="方正仿宋_GBK" w:hAnsi="宋体" w:eastAsia="方正仿宋_GBK" w:cs="Times New Roman"/>
          <w:color w:val="FF0000"/>
          <w:sz w:val="24"/>
          <w:szCs w:val="24"/>
        </w:rPr>
        <w:t>、承租方要做好门前三包，防火防盗，不得使用电热器取暖、做饭等，如发生火灾，按《安全生产法》《消防法》等有关规定，自行承担法律责任。</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6</w:t>
      </w:r>
      <w:r>
        <w:rPr>
          <w:rFonts w:hint="eastAsia" w:ascii="方正仿宋_GBK" w:hAnsi="宋体" w:eastAsia="方正仿宋_GBK" w:cs="Times New Roman"/>
          <w:color w:val="FF0000"/>
          <w:sz w:val="24"/>
          <w:szCs w:val="24"/>
        </w:rPr>
        <w:t>、经营期间若发生下列情况，承租方承诺自行承担全部损失，院方对承租方不作任何经济补偿，本协议自然终止：</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（1）不可抗力因素如自然灾害等导致的毁损；</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（2）由于国家政策层面的原因需终止的；</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（3）由于上级主管部门明令禁止的原因等；</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（4）院方若提前收回门面应提前30天通知承租方。</w:t>
      </w:r>
    </w:p>
    <w:p>
      <w:pPr>
        <w:spacing w:line="390" w:lineRule="exact"/>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7</w:t>
      </w:r>
      <w:r>
        <w:rPr>
          <w:rFonts w:hint="eastAsia" w:ascii="方正仿宋_GBK" w:hAnsi="宋体" w:eastAsia="方正仿宋_GBK" w:cs="Times New Roman"/>
          <w:color w:val="FF0000"/>
          <w:sz w:val="24"/>
          <w:szCs w:val="24"/>
        </w:rPr>
        <w:t>、承租方要爱护所租门面的全部设施，合同到期时，双方共同检查验收门面设施，如因使用不当或违反本合同规定造成损失，承租方按价赔偿或承担修理费用。</w:t>
      </w:r>
    </w:p>
    <w:p>
      <w:pPr>
        <w:spacing w:line="390" w:lineRule="exact"/>
        <w:ind w:firstLine="480" w:firstLineChars="200"/>
        <w:rPr>
          <w:rFonts w:hint="default"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8、如上级有关政策规定，医院有用途时，随时收回门面，解除合同，互不补偿。</w:t>
      </w:r>
    </w:p>
    <w:p>
      <w:pPr>
        <w:pStyle w:val="22"/>
        <w:rPr>
          <w:rFonts w:hint="default" w:eastAsia="方正仿宋_GBK"/>
          <w:lang w:val="en-US" w:eastAsia="zh-CN"/>
        </w:rPr>
      </w:pPr>
    </w:p>
    <w:p>
      <w:pPr>
        <w:pStyle w:val="22"/>
        <w:rPr>
          <w:rFonts w:hint="eastAsia"/>
        </w:rPr>
      </w:pPr>
      <w:bookmarkStart w:id="70" w:name="_Toc485108787"/>
      <w:bookmarkStart w:id="71" w:name="_Toc28327"/>
    </w:p>
    <w:p>
      <w:pPr>
        <w:pStyle w:val="2"/>
        <w:pageBreakBefore w:val="0"/>
        <w:widowControl w:val="0"/>
        <w:kinsoku/>
        <w:wordWrap/>
        <w:overflowPunct/>
        <w:topLinePunct w:val="0"/>
        <w:autoSpaceDE/>
        <w:autoSpaceDN/>
        <w:bidi w:val="0"/>
        <w:adjustRightInd/>
        <w:jc w:val="center"/>
        <w:textAlignment w:val="auto"/>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8"/>
      <w:bookmarkEnd w:id="70"/>
      <w:bookmarkEnd w:id="71"/>
      <w:bookmarkStart w:id="72" w:name="_Toc12789059"/>
      <w:bookmarkStart w:id="73" w:name="_Toc11641055"/>
    </w:p>
    <w:bookmarkEnd w:id="72"/>
    <w:bookmarkEnd w:id="73"/>
    <w:p>
      <w:pPr>
        <w:pStyle w:val="3"/>
        <w:spacing w:line="240" w:lineRule="auto"/>
        <w:rPr>
          <w:rFonts w:ascii="微软雅黑" w:hAnsi="微软雅黑" w:eastAsia="微软雅黑" w:cs="微软雅黑"/>
          <w:sz w:val="24"/>
          <w:szCs w:val="24"/>
        </w:rPr>
      </w:pPr>
      <w:bookmarkStart w:id="74" w:name="_Toc485108788"/>
      <w:bookmarkStart w:id="75" w:name="_Toc18605"/>
      <w:bookmarkStart w:id="76" w:name="_Toc344475121"/>
      <w:bookmarkStart w:id="77" w:name="_Toc403569796"/>
      <w:bookmarkStart w:id="78" w:name="_Toc485108794"/>
      <w:bookmarkStart w:id="79" w:name="_Toc14840"/>
      <w:bookmarkStart w:id="80" w:name="_Toc148265480"/>
      <w:bookmarkStart w:id="81" w:name="_Toc303945820"/>
      <w:r>
        <w:rPr>
          <w:rFonts w:hint="eastAsia" w:ascii="微软雅黑" w:hAnsi="微软雅黑" w:eastAsia="微软雅黑" w:cs="微软雅黑"/>
          <w:sz w:val="24"/>
          <w:szCs w:val="24"/>
        </w:rPr>
        <w:t>一、租赁期限、地点</w:t>
      </w:r>
      <w:bookmarkEnd w:id="74"/>
      <w:bookmarkEnd w:id="75"/>
    </w:p>
    <w:p>
      <w:pPr>
        <w:spacing w:line="400" w:lineRule="exact"/>
        <w:ind w:firstLine="480" w:firstLineChars="200"/>
        <w:rPr>
          <w:rFonts w:ascii="仿宋" w:hAnsi="仿宋" w:eastAsia="仿宋" w:cs="仿宋"/>
          <w:color w:val="92D050"/>
          <w:sz w:val="24"/>
          <w:szCs w:val="24"/>
        </w:rPr>
      </w:pPr>
      <w:r>
        <w:rPr>
          <w:rFonts w:hint="eastAsia" w:ascii="方正仿宋_GBK" w:hAnsi="宋体" w:eastAsia="方正仿宋_GBK" w:cs="Times New Roman"/>
          <w:color w:val="auto"/>
          <w:sz w:val="24"/>
          <w:szCs w:val="24"/>
        </w:rPr>
        <w:t>（一）租赁期限：</w:t>
      </w:r>
      <w:r>
        <w:rPr>
          <w:rFonts w:hint="eastAsia" w:ascii="方正仿宋_GBK" w:hAnsi="宋体" w:eastAsia="方正仿宋_GBK" w:cs="Times New Roman"/>
          <w:sz w:val="24"/>
          <w:szCs w:val="24"/>
        </w:rPr>
        <w:t>期限三年。</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（二）招租地点：重庆医科大学附属永川医院（</w:t>
      </w:r>
      <w:r>
        <w:rPr>
          <w:rFonts w:hint="eastAsia" w:ascii="方正仿宋_GBK" w:hAnsi="宋体" w:eastAsia="方正仿宋_GBK"/>
          <w:sz w:val="24"/>
          <w:szCs w:val="24"/>
        </w:rPr>
        <w:t>重庆市永川区萱花路439号</w:t>
      </w:r>
      <w:r>
        <w:rPr>
          <w:rFonts w:hint="eastAsia" w:ascii="方正仿宋_GBK" w:hAnsi="宋体" w:eastAsia="方正仿宋_GBK" w:cs="Times New Roman"/>
          <w:sz w:val="24"/>
          <w:szCs w:val="24"/>
        </w:rPr>
        <w:t xml:space="preserve">） </w:t>
      </w:r>
    </w:p>
    <w:bookmarkEnd w:id="76"/>
    <w:p>
      <w:pPr>
        <w:pStyle w:val="3"/>
        <w:spacing w:line="240" w:lineRule="auto"/>
        <w:rPr>
          <w:rFonts w:ascii="微软雅黑" w:hAnsi="微软雅黑" w:eastAsia="微软雅黑" w:cs="微软雅黑"/>
          <w:sz w:val="24"/>
          <w:szCs w:val="24"/>
        </w:rPr>
      </w:pPr>
      <w:bookmarkStart w:id="82" w:name="_Toc485108790"/>
      <w:bookmarkStart w:id="83" w:name="_Toc344475122"/>
      <w:bookmarkStart w:id="84" w:name="_Toc24832"/>
      <w:r>
        <w:rPr>
          <w:rFonts w:hint="eastAsia" w:ascii="微软雅黑" w:hAnsi="微软雅黑" w:eastAsia="微软雅黑" w:cs="微软雅黑"/>
          <w:sz w:val="24"/>
          <w:szCs w:val="24"/>
          <w:lang w:eastAsia="zh-CN"/>
        </w:rPr>
        <w:t>二</w:t>
      </w:r>
      <w:r>
        <w:rPr>
          <w:rFonts w:hint="eastAsia" w:ascii="微软雅黑" w:hAnsi="微软雅黑" w:eastAsia="微软雅黑" w:cs="微软雅黑"/>
          <w:sz w:val="24"/>
          <w:szCs w:val="24"/>
        </w:rPr>
        <w:t>、付款方式</w:t>
      </w:r>
      <w:bookmarkEnd w:id="82"/>
      <w:bookmarkEnd w:id="83"/>
      <w:bookmarkEnd w:id="84"/>
    </w:p>
    <w:p>
      <w:pPr>
        <w:snapToGrid w:val="0"/>
        <w:spacing w:line="400" w:lineRule="exact"/>
        <w:ind w:firstLine="480" w:firstLineChars="200"/>
        <w:rPr>
          <w:rFonts w:ascii="方正仿宋_GBK" w:hAnsi="宋体" w:eastAsia="方正仿宋_GBK" w:cs="宋体"/>
          <w:kern w:val="0"/>
          <w:sz w:val="24"/>
          <w:szCs w:val="24"/>
        </w:rPr>
      </w:pPr>
      <w:bookmarkStart w:id="85" w:name="_Toc403569793"/>
      <w:bookmarkStart w:id="86" w:name="_Toc485108791"/>
      <w:r>
        <w:rPr>
          <w:rFonts w:hint="eastAsia" w:ascii="方正仿宋_GBK" w:hAnsi="宋体" w:eastAsia="方正仿宋_GBK" w:cs="宋体"/>
          <w:kern w:val="0"/>
          <w:sz w:val="24"/>
          <w:szCs w:val="24"/>
        </w:rPr>
        <w:t>（一）履约保证金形式</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1.履约保证金形式：采用银行转账的形式缴纳履约保证金，通过银行转账方式直接划付到医院提供的以下银行账户，其中产生的手续费由成交供应商承担。</w:t>
      </w:r>
    </w:p>
    <w:p>
      <w:pPr>
        <w:snapToGrid w:val="0"/>
        <w:spacing w:line="400" w:lineRule="exact"/>
        <w:ind w:firstLine="480" w:firstLineChars="200"/>
        <w:rPr>
          <w:rFonts w:ascii="方正仿宋_GBK" w:hAnsi="宋体" w:eastAsia="方正仿宋_GBK" w:cs="宋体"/>
          <w:color w:val="92D050"/>
          <w:kern w:val="0"/>
          <w:sz w:val="24"/>
          <w:szCs w:val="24"/>
        </w:rPr>
      </w:pPr>
      <w:r>
        <w:rPr>
          <w:rFonts w:hint="eastAsia" w:ascii="方正仿宋_GBK" w:hAnsi="宋体" w:eastAsia="方正仿宋_GBK" w:cs="宋体"/>
          <w:kern w:val="0"/>
          <w:sz w:val="24"/>
          <w:szCs w:val="24"/>
        </w:rPr>
        <w:t>2.缴纳时间及金额：合同签订后</w:t>
      </w:r>
      <w:bookmarkEnd w:id="85"/>
      <w:bookmarkEnd w:id="86"/>
      <w:r>
        <w:rPr>
          <w:rFonts w:hint="eastAsia" w:ascii="方正仿宋_GBK" w:hAnsi="宋体" w:eastAsia="方正仿宋_GBK" w:cs="宋体"/>
          <w:kern w:val="0"/>
          <w:sz w:val="24"/>
          <w:szCs w:val="24"/>
        </w:rPr>
        <w:t>支付，10号、11号门面保证金为3000元/间。</w:t>
      </w:r>
    </w:p>
    <w:p>
      <w:pPr>
        <w:snapToGrid w:val="0"/>
        <w:spacing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（二）付款方式</w:t>
      </w:r>
    </w:p>
    <w:p>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租金按季预交，上季度最后10日预交下季度租金至重庆医科大学附属永川医院财务科。</w:t>
      </w:r>
    </w:p>
    <w:p>
      <w:pPr>
        <w:pStyle w:val="3"/>
        <w:rPr>
          <w:rFonts w:ascii="微软雅黑" w:hAnsi="微软雅黑" w:eastAsia="微软雅黑" w:cs="微软雅黑"/>
          <w:sz w:val="24"/>
          <w:szCs w:val="24"/>
        </w:rPr>
      </w:pPr>
      <w:bookmarkStart w:id="87" w:name="_Toc2651"/>
      <w:r>
        <w:rPr>
          <w:rFonts w:hint="eastAsia" w:ascii="微软雅黑" w:hAnsi="微软雅黑" w:eastAsia="微软雅黑" w:cs="微软雅黑"/>
          <w:sz w:val="24"/>
          <w:szCs w:val="24"/>
          <w:lang w:eastAsia="zh-CN"/>
        </w:rPr>
        <w:t>三</w:t>
      </w:r>
      <w:r>
        <w:rPr>
          <w:rFonts w:hint="eastAsia" w:ascii="微软雅黑" w:hAnsi="微软雅黑" w:eastAsia="微软雅黑" w:cs="微软雅黑"/>
          <w:sz w:val="24"/>
          <w:szCs w:val="24"/>
        </w:rPr>
        <w:t>、违约责任</w:t>
      </w:r>
      <w:bookmarkEnd w:id="87"/>
    </w:p>
    <w:p>
      <w:pPr>
        <w:snapToGrid w:val="0"/>
        <w:spacing w:line="400" w:lineRule="exact"/>
        <w:ind w:firstLine="480" w:firstLineChars="200"/>
        <w:rPr>
          <w:rFonts w:ascii="方正仿宋_GBK" w:hAnsi="宋体" w:eastAsia="方正仿宋_GBK" w:cs="宋体"/>
          <w:color w:val="FF0000"/>
          <w:kern w:val="0"/>
          <w:sz w:val="24"/>
          <w:szCs w:val="24"/>
        </w:rPr>
      </w:pPr>
      <w:r>
        <w:rPr>
          <w:rFonts w:hint="eastAsia" w:ascii="方正仿宋_GBK" w:hAnsi="宋体" w:eastAsia="方正仿宋_GBK" w:cs="宋体"/>
          <w:color w:val="FF0000"/>
          <w:kern w:val="0"/>
          <w:sz w:val="24"/>
          <w:szCs w:val="24"/>
        </w:rPr>
        <w:t>1.如成交供应商未按以上规定时间缴纳履约保证金，采购人将视其为不诚信行为，并作为无故弃标处理，取消其成交资格。</w:t>
      </w:r>
    </w:p>
    <w:p>
      <w:pPr>
        <w:snapToGrid w:val="0"/>
        <w:spacing w:line="400" w:lineRule="exact"/>
        <w:ind w:firstLine="480" w:firstLineChars="200"/>
        <w:rPr>
          <w:rFonts w:ascii="方正仿宋_GBK" w:hAnsi="宋体" w:eastAsia="方正仿宋_GBK" w:cs="宋体"/>
          <w:color w:val="FF0000"/>
          <w:kern w:val="0"/>
          <w:sz w:val="24"/>
          <w:szCs w:val="24"/>
        </w:rPr>
      </w:pPr>
      <w:r>
        <w:rPr>
          <w:rFonts w:hint="eastAsia" w:ascii="方正仿宋_GBK" w:hAnsi="宋体" w:eastAsia="方正仿宋_GBK" w:cs="宋体"/>
          <w:color w:val="FF0000"/>
          <w:kern w:val="0"/>
          <w:sz w:val="24"/>
          <w:szCs w:val="24"/>
        </w:rPr>
        <w:t>2.应急抢险任务1小时内未到达现场，采购人当次有权委托其他单位进行的，产生的费用由服务单位承担，并按考核办法处违约金。</w:t>
      </w:r>
    </w:p>
    <w:p>
      <w:pPr>
        <w:snapToGrid w:val="0"/>
        <w:spacing w:line="400" w:lineRule="exact"/>
        <w:ind w:firstLine="480" w:firstLineChars="200"/>
        <w:rPr>
          <w:rFonts w:ascii="方正仿宋_GBK" w:hAnsi="宋体" w:eastAsia="方正仿宋_GBK" w:cs="宋体"/>
          <w:color w:val="FF0000"/>
          <w:kern w:val="0"/>
          <w:sz w:val="24"/>
          <w:szCs w:val="24"/>
        </w:rPr>
      </w:pPr>
      <w:r>
        <w:rPr>
          <w:rFonts w:hint="eastAsia" w:ascii="方正仿宋_GBK" w:hAnsi="宋体" w:eastAsia="方正仿宋_GBK" w:cs="宋体"/>
          <w:color w:val="FF0000"/>
          <w:kern w:val="0"/>
          <w:sz w:val="24"/>
          <w:szCs w:val="24"/>
        </w:rPr>
        <w:t>3.合同签订后，服务单位无正当理由提出解除合同，采购人没收全额履约保证金，服务单位还应支付合同（暂定或固定）总价的</w:t>
      </w:r>
      <w:r>
        <w:rPr>
          <w:rFonts w:hint="eastAsia" w:ascii="方正仿宋_GBK" w:hAnsi="宋体" w:eastAsia="方正仿宋_GBK" w:cs="宋体"/>
          <w:color w:val="FF0000"/>
          <w:kern w:val="0"/>
          <w:sz w:val="24"/>
          <w:szCs w:val="24"/>
          <w:lang w:val="en-US" w:eastAsia="zh-CN"/>
        </w:rPr>
        <w:t>2</w:t>
      </w:r>
      <w:r>
        <w:rPr>
          <w:rFonts w:hint="eastAsia" w:ascii="方正仿宋_GBK" w:hAnsi="宋体" w:eastAsia="方正仿宋_GBK" w:cs="宋体"/>
          <w:color w:val="FF0000"/>
          <w:kern w:val="0"/>
          <w:sz w:val="24"/>
          <w:szCs w:val="24"/>
        </w:rPr>
        <w:t>0%作为违约金给采购人，并赔偿给采购人造成的其他损失。</w:t>
      </w:r>
    </w:p>
    <w:p>
      <w:pPr>
        <w:snapToGrid w:val="0"/>
        <w:spacing w:line="400" w:lineRule="exact"/>
        <w:ind w:firstLine="480" w:firstLineChars="200"/>
        <w:rPr>
          <w:rFonts w:hint="eastAsia" w:ascii="方正仿宋_GBK" w:hAnsi="宋体" w:eastAsia="方正仿宋_GBK" w:cs="Times New Roman"/>
          <w:bCs/>
          <w:color w:val="FF0000"/>
          <w:sz w:val="24"/>
          <w:szCs w:val="24"/>
        </w:rPr>
      </w:pPr>
      <w:r>
        <w:rPr>
          <w:rFonts w:hint="eastAsia" w:ascii="方正仿宋_GBK" w:hAnsi="宋体" w:eastAsia="方正仿宋_GBK" w:cs="Times New Roman"/>
          <w:bCs/>
          <w:color w:val="FF0000"/>
          <w:sz w:val="24"/>
          <w:szCs w:val="24"/>
        </w:rPr>
        <w:t>4.如承租方未按时交纳租金，属承租方违约，承租方应及时补缴租金，每逾期一天承租方按照月租金/30的标准支付逾期付款违约金，超过30天，院方有权单方解除本合同，承租方无权提出异议。</w:t>
      </w:r>
    </w:p>
    <w:p>
      <w:pPr>
        <w:snapToGrid w:val="0"/>
        <w:spacing w:line="400" w:lineRule="exact"/>
        <w:ind w:firstLine="480" w:firstLineChars="200"/>
        <w:rPr>
          <w:rFonts w:hint="eastAsia" w:ascii="方正仿宋_GBK" w:hAnsi="宋体" w:eastAsia="方正仿宋_GBK" w:cs="Times New Roman"/>
          <w:bCs/>
          <w:color w:val="FF0000"/>
          <w:sz w:val="24"/>
          <w:szCs w:val="24"/>
        </w:rPr>
      </w:pPr>
      <w:r>
        <w:rPr>
          <w:rFonts w:hint="eastAsia" w:ascii="方正仿宋_GBK" w:hAnsi="宋体" w:eastAsia="方正仿宋_GBK" w:cs="Times New Roman"/>
          <w:bCs/>
          <w:color w:val="FF0000"/>
          <w:sz w:val="24"/>
          <w:szCs w:val="24"/>
        </w:rPr>
        <w:t>5.承租方在租用的门面内经营医疗、美容、中西药品、茶园、卡厅和饮食业，属承租方违约，院方有权单方面解除本合同，并赔偿院方的损失，承租方无权提出异议。</w:t>
      </w:r>
      <w:bookmarkStart w:id="88" w:name="_Toc17767"/>
    </w:p>
    <w:p>
      <w:pPr>
        <w:pStyle w:val="3"/>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四、合同终止</w:t>
      </w:r>
      <w:bookmarkEnd w:id="88"/>
    </w:p>
    <w:p>
      <w:pPr>
        <w:snapToGrid w:val="0"/>
        <w:spacing w:line="400" w:lineRule="exact"/>
        <w:ind w:firstLine="480" w:firstLineChars="200"/>
        <w:rPr>
          <w:rFonts w:hint="eastAsia" w:ascii="方正仿宋_GBK" w:hAnsi="宋体" w:eastAsia="方正仿宋_GBK" w:cs="Times New Roman"/>
          <w:bCs/>
          <w:sz w:val="24"/>
          <w:szCs w:val="24"/>
        </w:rPr>
      </w:pPr>
      <w:r>
        <w:rPr>
          <w:rFonts w:hint="eastAsia" w:ascii="方正仿宋_GBK" w:hAnsi="宋体" w:eastAsia="方正仿宋_GBK" w:cs="Times New Roman"/>
          <w:bCs/>
          <w:sz w:val="24"/>
          <w:szCs w:val="24"/>
        </w:rPr>
        <w:t>1、合同期限届满</w:t>
      </w:r>
    </w:p>
    <w:p>
      <w:pPr>
        <w:snapToGrid w:val="0"/>
        <w:spacing w:line="400" w:lineRule="exact"/>
        <w:ind w:firstLine="480" w:firstLineChars="200"/>
        <w:rPr>
          <w:rFonts w:hint="eastAsia" w:ascii="方正仿宋_GBK" w:hAnsi="宋体" w:eastAsia="方正仿宋_GBK" w:cs="Times New Roman"/>
          <w:bCs/>
          <w:sz w:val="24"/>
          <w:szCs w:val="24"/>
          <w:lang w:val="en-US" w:eastAsia="zh-CN"/>
        </w:rPr>
      </w:pPr>
      <w:r>
        <w:rPr>
          <w:rFonts w:hint="eastAsia" w:ascii="方正仿宋_GBK" w:hAnsi="宋体" w:eastAsia="方正仿宋_GBK" w:cs="Times New Roman"/>
          <w:bCs/>
          <w:sz w:val="24"/>
          <w:szCs w:val="24"/>
        </w:rPr>
        <w:t>2、</w:t>
      </w:r>
      <w:r>
        <w:rPr>
          <w:rFonts w:hint="eastAsia" w:ascii="方正仿宋_GBK" w:hAnsi="宋体" w:eastAsia="方正仿宋_GBK" w:cs="Times New Roman"/>
          <w:bCs/>
          <w:sz w:val="24"/>
          <w:szCs w:val="24"/>
          <w:lang w:val="en-US" w:eastAsia="zh-CN"/>
        </w:rPr>
        <w:t>如上级有关政策规定，医院有用途时，随时收回门面，解除合同，互不补偿。</w:t>
      </w:r>
      <w:bookmarkStart w:id="89" w:name="_Toc485108793"/>
      <w:bookmarkStart w:id="90" w:name="_Toc403569795"/>
      <w:bookmarkStart w:id="91" w:name="_Toc8982"/>
    </w:p>
    <w:p>
      <w:pPr>
        <w:snapToGrid w:val="0"/>
        <w:spacing w:line="40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五</w:t>
      </w:r>
      <w:r>
        <w:rPr>
          <w:rFonts w:hint="eastAsia" w:ascii="微软雅黑" w:hAnsi="微软雅黑" w:eastAsia="微软雅黑" w:cs="微软雅黑"/>
          <w:sz w:val="24"/>
          <w:szCs w:val="24"/>
        </w:rPr>
        <w:t>、其他</w:t>
      </w:r>
      <w:bookmarkEnd w:id="89"/>
      <w:bookmarkEnd w:id="90"/>
      <w:bookmarkEnd w:id="91"/>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（一）供应商必须在响应文件中对以上条款和服务承诺明确列出，承诺内容必须达到本篇及比选其他条款的要求。</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（二）其他未尽事宜由供需双方在采购合同中详细约定。</w:t>
      </w:r>
    </w:p>
    <w:p>
      <w:pPr>
        <w:pStyle w:val="2"/>
        <w:pageBreakBefore w:val="0"/>
        <w:widowControl w:val="0"/>
        <w:kinsoku/>
        <w:wordWrap/>
        <w:overflowPunct/>
        <w:topLinePunct w:val="0"/>
        <w:autoSpaceDE/>
        <w:autoSpaceDN/>
        <w:bidi w:val="0"/>
        <w:adjustRightInd/>
        <w:jc w:val="center"/>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both"/>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center"/>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both"/>
        <w:textAlignment w:val="auto"/>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rPr>
          <w:rFonts w:hint="eastAsia" w:ascii="微软雅黑" w:hAnsi="微软雅黑" w:eastAsia="微软雅黑" w:cs="微软雅黑"/>
          <w:b/>
          <w:color w:val="000000" w:themeColor="text1"/>
          <w:sz w:val="36"/>
          <w:szCs w:val="36"/>
          <w14:textFill>
            <w14:solidFill>
              <w14:schemeClr w14:val="tx1"/>
            </w14:solidFill>
          </w14:textFill>
        </w:rPr>
      </w:pPr>
    </w:p>
    <w:p>
      <w:pPr>
        <w:pStyle w:val="2"/>
        <w:pageBreakBefore w:val="0"/>
        <w:widowControl w:val="0"/>
        <w:kinsoku/>
        <w:wordWrap/>
        <w:overflowPunct/>
        <w:topLinePunct w:val="0"/>
        <w:autoSpaceDE/>
        <w:autoSpaceDN/>
        <w:bidi w:val="0"/>
        <w:adjustRightInd/>
        <w:jc w:val="center"/>
        <w:textAlignment w:val="auto"/>
        <w:rPr>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77"/>
      <w:bookmarkEnd w:id="78"/>
      <w:bookmarkEnd w:id="7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2" w:name="_Toc54718202"/>
      <w:bookmarkStart w:id="93" w:name="_Toc30815"/>
      <w:r>
        <w:rPr>
          <w:rFonts w:hint="eastAsia" w:ascii="微软雅黑" w:hAnsi="微软雅黑" w:eastAsia="微软雅黑" w:cs="微软雅黑"/>
          <w:color w:val="000000" w:themeColor="text1"/>
          <w:sz w:val="24"/>
          <w:szCs w:val="24"/>
          <w14:textFill>
            <w14:solidFill>
              <w14:schemeClr w14:val="tx1"/>
            </w14:solidFill>
          </w14:textFill>
        </w:rPr>
        <w:t>一、定义</w:t>
      </w:r>
      <w:bookmarkEnd w:id="92"/>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4"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9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6"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7"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8"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9" w:name="_Toc17879"/>
      <w:bookmarkStart w:id="100" w:name="_Toc54718203"/>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9"/>
      <w:bookmarkEnd w:id="10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1"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101"/>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2" w:name="_Toc54718204"/>
      <w:bookmarkStart w:id="103"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102"/>
      <w:bookmarkEnd w:id="1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4" w:name="_Toc25177"/>
      <w:bookmarkStart w:id="105"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7"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5"/>
      <w:bookmarkEnd w:id="1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8"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9"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0"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10"/>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1" w:name="_Toc54718206"/>
      <w:bookmarkStart w:id="112"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11"/>
      <w:bookmarkEnd w:id="11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13" w:name="_Toc12985"/>
      <w:bookmarkStart w:id="114"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13"/>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1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5" w:name="_Toc54718207"/>
      <w:bookmarkStart w:id="116" w:name="_Toc9053"/>
      <w:r>
        <w:rPr>
          <w:rFonts w:hint="eastAsia" w:ascii="微软雅黑" w:hAnsi="微软雅黑" w:eastAsia="微软雅黑" w:cs="微软雅黑"/>
          <w:color w:val="000000" w:themeColor="text1"/>
          <w:sz w:val="24"/>
          <w:szCs w:val="24"/>
          <w14:textFill>
            <w14:solidFill>
              <w14:schemeClr w14:val="tx1"/>
            </w14:solidFill>
          </w14:textFill>
        </w:rPr>
        <w:t>六、付款</w:t>
      </w:r>
      <w:bookmarkEnd w:id="115"/>
      <w:bookmarkEnd w:id="11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7"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8"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9"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0" w:name="_Toc11586"/>
      <w:bookmarkStart w:id="121"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20"/>
      <w:bookmarkEnd w:id="12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2"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2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23"/>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24" w:name="_Toc54718210"/>
      <w:bookmarkStart w:id="125" w:name="_Toc31719"/>
      <w:bookmarkStart w:id="126" w:name="_Toc26580"/>
      <w:bookmarkStart w:id="127" w:name="_Toc54718212"/>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24"/>
      <w:bookmarkEnd w:id="125"/>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8"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8"/>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9"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6"/>
      <w:bookmarkEnd w:id="12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30"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1"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30"/>
      <w:bookmarkEnd w:id="1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2"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3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3"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3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4"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3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5"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6"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6"/>
    </w:p>
    <w:bookmarkEnd w:id="80"/>
    <w:bookmarkEnd w:id="81"/>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7" w:name="_Hlt41879464"/>
      <w:bookmarkEnd w:id="137"/>
      <w:bookmarkStart w:id="138" w:name="_Toc13696"/>
      <w:bookmarkStart w:id="139" w:name="_Toc485108795"/>
      <w:bookmarkStart w:id="140" w:name="_Toc12789072"/>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8"/>
      <w:bookmarkEnd w:id="139"/>
      <w:bookmarkEnd w:id="140"/>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1"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41"/>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2"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42"/>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3"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43"/>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44" w:name="_Toc38358147"/>
      <w:bookmarkStart w:id="145" w:name="OLE_LINK10"/>
      <w:bookmarkStart w:id="146"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44"/>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7"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7"/>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8"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8"/>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5"/>
    <w:bookmarkEnd w:id="146"/>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180"/>
        <w:numPr>
          <w:ilvl w:val="0"/>
          <w:numId w:val="15"/>
        </w:numPr>
        <w:ind w:firstLineChars="0"/>
        <w:rPr>
          <w:rFonts w:hint="eastAsia"/>
          <w:b/>
          <w:color w:val="000000" w:themeColor="text1"/>
          <w14:textFill>
            <w14:solidFill>
              <w14:schemeClr w14:val="tx1"/>
            </w14:solidFill>
          </w14:textFill>
        </w:rPr>
      </w:pPr>
      <w:bookmarkStart w:id="149" w:name="_Toc485108796"/>
      <w:bookmarkStart w:id="150" w:name="_Toc480979018"/>
      <w:bookmarkStart w:id="151" w:name="_Toc313888360"/>
      <w:bookmarkStart w:id="152" w:name="_Toc313008356"/>
      <w:bookmarkStart w:id="153" w:name="_Toc342913419"/>
      <w:bookmarkStart w:id="154" w:name="_Toc283382454"/>
      <w:bookmarkStart w:id="155" w:name="_Toc12789073"/>
      <w:r>
        <w:rPr>
          <w:rFonts w:hint="eastAsia"/>
          <w:b/>
          <w:color w:val="000000" w:themeColor="text1"/>
          <w14:textFill>
            <w14:solidFill>
              <w14:schemeClr w14:val="tx1"/>
            </w14:solidFill>
          </w14:textFill>
        </w:rPr>
        <w:t>经济部分</w:t>
      </w:r>
      <w:bookmarkEnd w:id="149"/>
      <w:bookmarkEnd w:id="150"/>
      <w:bookmarkEnd w:id="151"/>
      <w:bookmarkEnd w:id="152"/>
      <w:bookmarkEnd w:id="153"/>
    </w:p>
    <w:p>
      <w:pPr>
        <w:pStyle w:val="180"/>
        <w:ind w:left="450" w:firstLine="0" w:firstLineChars="0"/>
        <w:rPr>
          <w:b/>
          <w:color w:val="000000" w:themeColor="text1"/>
          <w14:textFill>
            <w14:solidFill>
              <w14:schemeClr w14:val="tx1"/>
            </w14:solidFill>
          </w14:textFill>
        </w:rPr>
      </w:pPr>
    </w:p>
    <w:bookmarkEnd w:id="154"/>
    <w:bookmarkEnd w:id="155"/>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pacing w:line="360" w:lineRule="auto"/>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附件</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r>
              <w:rPr>
                <w:rFonts w:hint="eastAsia" w:ascii="方正仿宋_GBK" w:hAnsi="宋体" w:eastAsia="方正仿宋_GBK" w:cs="Times New Roman"/>
                <w:color w:val="FF0000"/>
                <w:sz w:val="24"/>
                <w:szCs w:val="24"/>
                <w:vertAlign w:val="baseline"/>
                <w:lang w:val="en-US" w:eastAsia="zh-CN"/>
              </w:rPr>
              <w:t>租赁位置</w:t>
            </w:r>
          </w:p>
        </w:tc>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r>
              <w:rPr>
                <w:rFonts w:hint="eastAsia" w:ascii="方正仿宋_GBK" w:hAnsi="宋体" w:eastAsia="方正仿宋_GBK" w:cs="Times New Roman"/>
                <w:color w:val="FF0000"/>
                <w:sz w:val="24"/>
                <w:szCs w:val="24"/>
                <w:vertAlign w:val="baseline"/>
                <w:lang w:val="en-US" w:eastAsia="zh-CN"/>
              </w:rPr>
              <w:t>价格（元）</w:t>
            </w:r>
          </w:p>
        </w:tc>
        <w:tc>
          <w:tcPr>
            <w:tcW w:w="3210"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r>
              <w:rPr>
                <w:rFonts w:hint="eastAsia" w:ascii="方正仿宋_GBK" w:hAnsi="宋体" w:eastAsia="方正仿宋_GBK" w:cs="Times New Roman"/>
                <w:color w:val="FF0000"/>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p>
        </w:tc>
        <w:tc>
          <w:tcPr>
            <w:tcW w:w="3209"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p>
        </w:tc>
        <w:tc>
          <w:tcPr>
            <w:tcW w:w="3210" w:type="dxa"/>
            <w:vAlign w:val="center"/>
          </w:tcPr>
          <w:p>
            <w:pPr>
              <w:spacing w:line="360" w:lineRule="auto"/>
              <w:jc w:val="center"/>
              <w:rPr>
                <w:rFonts w:hint="eastAsia" w:ascii="方正仿宋_GBK" w:hAnsi="宋体" w:eastAsia="方正仿宋_GBK" w:cs="Times New Roman"/>
                <w:color w:val="FF0000"/>
                <w:sz w:val="24"/>
                <w:szCs w:val="24"/>
                <w:vertAlign w:val="baseline"/>
                <w:lang w:val="en-US" w:eastAsia="zh-CN"/>
              </w:rPr>
            </w:pPr>
          </w:p>
        </w:tc>
      </w:tr>
    </w:tbl>
    <w:p>
      <w:pPr>
        <w:spacing w:line="360" w:lineRule="auto"/>
        <w:rPr>
          <w:rFonts w:hint="eastAsia" w:ascii="方正仿宋_GBK" w:hAnsi="宋体" w:eastAsia="方正仿宋_GBK" w:cs="Times New Roman"/>
          <w:color w:val="FF0000"/>
          <w:sz w:val="24"/>
          <w:szCs w:val="24"/>
          <w:lang w:val="en-US" w:eastAsia="zh-CN"/>
        </w:rPr>
      </w:pPr>
    </w:p>
    <w:p>
      <w:pPr>
        <w:widowControl/>
        <w:jc w:val="left"/>
        <w:textAlignment w:val="center"/>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注：1、该报价不含</w:t>
      </w:r>
      <w:r>
        <w:rPr>
          <w:rFonts w:hint="eastAsia" w:ascii="方正仿宋_GBK" w:hAnsi="宋体" w:eastAsia="方正仿宋_GBK" w:cs="Times New Roman"/>
          <w:color w:val="FF0000"/>
          <w:sz w:val="24"/>
          <w:szCs w:val="24"/>
        </w:rPr>
        <w:t>承租方在租用期间的水费、电费、物管费及税费等其他费用</w:t>
      </w:r>
      <w:r>
        <w:rPr>
          <w:rFonts w:hint="eastAsia" w:ascii="方正仿宋_GBK" w:hAnsi="宋体" w:eastAsia="方正仿宋_GBK" w:cs="Times New Roman"/>
          <w:color w:val="FF0000"/>
          <w:sz w:val="24"/>
          <w:szCs w:val="24"/>
          <w:lang w:eastAsia="zh-CN"/>
        </w:rPr>
        <w:t>。</w:t>
      </w:r>
    </w:p>
    <w:p>
      <w:pPr>
        <w:spacing w:line="360" w:lineRule="auto"/>
        <w:jc w:val="center"/>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000000" w:themeColor="text1"/>
          <w14:textFill>
            <w14:solidFill>
              <w14:schemeClr w14:val="tx1"/>
            </w14:solidFill>
          </w14:textFill>
        </w:rPr>
      </w:pPr>
      <w:bookmarkStart w:id="156" w:name="_Toc313008357"/>
      <w:bookmarkStart w:id="157" w:name="_Toc313888361"/>
      <w:bookmarkStart w:id="158" w:name="_Toc485108797"/>
      <w:bookmarkStart w:id="159" w:name="_Toc480979019"/>
      <w:bookmarkStart w:id="160" w:name="_Toc342913420"/>
      <w:r>
        <w:rPr>
          <w:rFonts w:hint="eastAsia"/>
          <w:b/>
          <w:color w:val="000000" w:themeColor="text1"/>
          <w14:textFill>
            <w14:solidFill>
              <w14:schemeClr w14:val="tx1"/>
            </w14:solidFill>
          </w14:textFill>
        </w:rPr>
        <w:t>二、服务部分</w:t>
      </w:r>
      <w:bookmarkEnd w:id="156"/>
      <w:bookmarkEnd w:id="157"/>
      <w:bookmarkEnd w:id="158"/>
      <w:bookmarkEnd w:id="159"/>
      <w:bookmarkEnd w:id="160"/>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61" w:name="_Toc342913421"/>
      <w:bookmarkStart w:id="162" w:name="_Toc313888362"/>
      <w:bookmarkStart w:id="163" w:name="_Toc485108798"/>
      <w:bookmarkStart w:id="164" w:name="_Toc313008358"/>
      <w:bookmarkStart w:id="165" w:name="_Toc480979020"/>
      <w:r>
        <w:rPr>
          <w:rFonts w:hint="eastAsia"/>
          <w:b/>
          <w:color w:val="000000" w:themeColor="text1"/>
          <w14:textFill>
            <w14:solidFill>
              <w14:schemeClr w14:val="tx1"/>
            </w14:solidFill>
          </w14:textFill>
        </w:rPr>
        <w:t>三、商务部分</w:t>
      </w:r>
      <w:bookmarkEnd w:id="161"/>
      <w:bookmarkEnd w:id="162"/>
      <w:bookmarkEnd w:id="163"/>
      <w:bookmarkEnd w:id="164"/>
      <w:bookmarkEnd w:id="165"/>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6"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6"/>
      <w:bookmarkStart w:id="167" w:name="_Toc313008359"/>
      <w:bookmarkStart w:id="168" w:name="_Toc342913422"/>
      <w:bookmarkStart w:id="169" w:name="_Toc313888363"/>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7"/>
      <w:bookmarkEnd w:id="168"/>
      <w:bookmarkEnd w:id="169"/>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70" w:name="OLE_LINK4"/>
      <w:bookmarkStart w:id="171"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70"/>
    <w:bookmarkEnd w:id="171"/>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72" w:name="_Toc31463"/>
      <w:bookmarkStart w:id="173"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72"/>
    <w:bookmarkEnd w:id="173"/>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F87894B-15EE-4C33-970C-5D043277693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2" w:fontKey="{C9987B56-8DFE-4190-AD08-C567102FA977}"/>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embedRegular r:id="rId3" w:fontKey="{CC032076-83FE-46A3-A8A7-8B6DA19CB694}"/>
  </w:font>
  <w:font w:name="方正黑体_GBK">
    <w:altName w:val="微软雅黑"/>
    <w:panose1 w:val="00000000000000000000"/>
    <w:charset w:val="86"/>
    <w:family w:val="script"/>
    <w:pitch w:val="default"/>
    <w:sig w:usb0="00000000" w:usb1="00000000" w:usb2="00000000" w:usb3="00000000" w:csb0="00040000" w:csb1="00000000"/>
    <w:embedRegular r:id="rId4" w:fontKey="{7FDC800A-0772-46BA-9795-23EC28AA8F5E}"/>
  </w:font>
  <w:font w:name="方正小标宋_GBK">
    <w:panose1 w:val="02000000000000000000"/>
    <w:charset w:val="86"/>
    <w:family w:val="script"/>
    <w:pitch w:val="default"/>
    <w:sig w:usb0="A00002BF" w:usb1="38CF7CFA" w:usb2="00082016" w:usb3="00000000" w:csb0="00040001" w:csb1="00000000"/>
    <w:embedRegular r:id="rId5" w:fontKey="{0728F77B-CEFC-4B71-AC47-1552BB3B2F29}"/>
  </w:font>
  <w:font w:name="仿宋">
    <w:panose1 w:val="02010609060101010101"/>
    <w:charset w:val="86"/>
    <w:family w:val="auto"/>
    <w:pitch w:val="default"/>
    <w:sig w:usb0="800002BF" w:usb1="38CF7CFA" w:usb2="00000016" w:usb3="00000000" w:csb0="00040001" w:csb1="00000000"/>
    <w:embedRegular r:id="rId6" w:fontKey="{8820136C-B680-4C72-B617-500F61FA21D8}"/>
  </w:font>
  <w:font w:name="微软雅黑">
    <w:panose1 w:val="020B0503020204020204"/>
    <w:charset w:val="86"/>
    <w:family w:val="auto"/>
    <w:pitch w:val="default"/>
    <w:sig w:usb0="80000287" w:usb1="280F3C52" w:usb2="00000016" w:usb3="00000000" w:csb0="0004001F" w:csb1="00000000"/>
    <w:embedRegular r:id="rId7" w:fontKey="{893F6A92-DD74-405A-BDF6-FCC9A5031EBE}"/>
  </w:font>
  <w:font w:name="方正仿宋_GBK">
    <w:altName w:val="微软雅黑"/>
    <w:panose1 w:val="00000000000000000000"/>
    <w:charset w:val="86"/>
    <w:family w:val="script"/>
    <w:pitch w:val="default"/>
    <w:sig w:usb0="00000000" w:usb1="00000000" w:usb2="00000010" w:usb3="00000000" w:csb0="00040000" w:csb1="00000000"/>
    <w:embedRegular r:id="rId8" w:fontKey="{59C487C3-C04A-493F-96CF-98FF56A370DF}"/>
  </w:font>
  <w:font w:name="楷体">
    <w:panose1 w:val="02010609060101010101"/>
    <w:charset w:val="86"/>
    <w:family w:val="auto"/>
    <w:pitch w:val="default"/>
    <w:sig w:usb0="800002BF" w:usb1="38CF7CFA" w:usb2="00000016" w:usb3="00000000" w:csb0="00040001" w:csb1="00000000"/>
    <w:embedRegular r:id="rId9" w:fontKey="{89F46F94-1C52-493D-AE34-2B85854719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B21AB9"/>
    <w:multiLevelType w:val="singleLevel"/>
    <w:tmpl w:val="B6B21AB9"/>
    <w:lvl w:ilvl="0" w:tentative="0">
      <w:start w:val="2"/>
      <w:numFmt w:val="decimal"/>
      <w:suff w:val="nothing"/>
      <w:lvlText w:val="%1、"/>
      <w:lvlJc w:val="left"/>
      <w:pPr>
        <w:ind w:left="480" w:leftChars="0" w:firstLine="0" w:firstLineChars="0"/>
      </w:p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6412C07"/>
    <w:multiLevelType w:val="multilevel"/>
    <w:tmpl w:val="06412C07"/>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65A5121"/>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9D57E0"/>
    <w:rsid w:val="12B51F0D"/>
    <w:rsid w:val="134E0964"/>
    <w:rsid w:val="14B95EDB"/>
    <w:rsid w:val="14C6168E"/>
    <w:rsid w:val="15604521"/>
    <w:rsid w:val="18130842"/>
    <w:rsid w:val="19394057"/>
    <w:rsid w:val="19B7492C"/>
    <w:rsid w:val="1A1A437B"/>
    <w:rsid w:val="1A9D1D74"/>
    <w:rsid w:val="1B925650"/>
    <w:rsid w:val="1C0025BA"/>
    <w:rsid w:val="1CED540D"/>
    <w:rsid w:val="1CF736B7"/>
    <w:rsid w:val="1D632E00"/>
    <w:rsid w:val="1DD87EDC"/>
    <w:rsid w:val="1E566D6C"/>
    <w:rsid w:val="1E9D4968"/>
    <w:rsid w:val="1F2D0A6E"/>
    <w:rsid w:val="1F6D6E4A"/>
    <w:rsid w:val="1FCE723D"/>
    <w:rsid w:val="203372B2"/>
    <w:rsid w:val="204C6181"/>
    <w:rsid w:val="20635545"/>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BBD2276"/>
    <w:rsid w:val="2CF34CEA"/>
    <w:rsid w:val="2F1F1F02"/>
    <w:rsid w:val="2F2348BD"/>
    <w:rsid w:val="2F6F1AD9"/>
    <w:rsid w:val="2FD06C0B"/>
    <w:rsid w:val="30A44277"/>
    <w:rsid w:val="31466E58"/>
    <w:rsid w:val="316B7C96"/>
    <w:rsid w:val="32050A97"/>
    <w:rsid w:val="32284BF5"/>
    <w:rsid w:val="32B51087"/>
    <w:rsid w:val="32DA1DD4"/>
    <w:rsid w:val="33323C73"/>
    <w:rsid w:val="3361798A"/>
    <w:rsid w:val="34477E1A"/>
    <w:rsid w:val="34B44507"/>
    <w:rsid w:val="35687566"/>
    <w:rsid w:val="35B15F88"/>
    <w:rsid w:val="35D501BC"/>
    <w:rsid w:val="35E87A5C"/>
    <w:rsid w:val="369E4A52"/>
    <w:rsid w:val="36A73740"/>
    <w:rsid w:val="375A306E"/>
    <w:rsid w:val="377759CE"/>
    <w:rsid w:val="38442273"/>
    <w:rsid w:val="38C010B0"/>
    <w:rsid w:val="391C67AE"/>
    <w:rsid w:val="39486CC3"/>
    <w:rsid w:val="39A3534F"/>
    <w:rsid w:val="3B1A0232"/>
    <w:rsid w:val="3B30241A"/>
    <w:rsid w:val="3C4F6F1A"/>
    <w:rsid w:val="3DD60FEB"/>
    <w:rsid w:val="3E263CAA"/>
    <w:rsid w:val="3E491747"/>
    <w:rsid w:val="3E6B192F"/>
    <w:rsid w:val="3EA55BAC"/>
    <w:rsid w:val="3F591E5E"/>
    <w:rsid w:val="40113C23"/>
    <w:rsid w:val="403F2E01"/>
    <w:rsid w:val="40E52488"/>
    <w:rsid w:val="41007A8F"/>
    <w:rsid w:val="415869FC"/>
    <w:rsid w:val="41AB14E8"/>
    <w:rsid w:val="41D67141"/>
    <w:rsid w:val="42030507"/>
    <w:rsid w:val="429D5EC0"/>
    <w:rsid w:val="444565A3"/>
    <w:rsid w:val="461B60BF"/>
    <w:rsid w:val="475461C4"/>
    <w:rsid w:val="477A0BC3"/>
    <w:rsid w:val="47F3755A"/>
    <w:rsid w:val="48AF3956"/>
    <w:rsid w:val="48FA020D"/>
    <w:rsid w:val="492C6FBB"/>
    <w:rsid w:val="499D1F70"/>
    <w:rsid w:val="4A1025A8"/>
    <w:rsid w:val="4AC26B09"/>
    <w:rsid w:val="4AD41B9B"/>
    <w:rsid w:val="4AED1C9D"/>
    <w:rsid w:val="4BC14D8A"/>
    <w:rsid w:val="4BE8259F"/>
    <w:rsid w:val="4C4E289A"/>
    <w:rsid w:val="4D6A7A7E"/>
    <w:rsid w:val="4EF70D4B"/>
    <w:rsid w:val="4F2E0C11"/>
    <w:rsid w:val="4F79418A"/>
    <w:rsid w:val="50FE286B"/>
    <w:rsid w:val="514069D9"/>
    <w:rsid w:val="51D77CAA"/>
    <w:rsid w:val="52ED493F"/>
    <w:rsid w:val="531F0FF7"/>
    <w:rsid w:val="551B5A8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545EE8"/>
    <w:rsid w:val="619C43F3"/>
    <w:rsid w:val="6269072D"/>
    <w:rsid w:val="62A30CCB"/>
    <w:rsid w:val="645A13DB"/>
    <w:rsid w:val="6485154F"/>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83A1618"/>
    <w:rsid w:val="788222E3"/>
    <w:rsid w:val="7908485F"/>
    <w:rsid w:val="7936053E"/>
    <w:rsid w:val="793F0B2C"/>
    <w:rsid w:val="797D07AB"/>
    <w:rsid w:val="79AC25AE"/>
    <w:rsid w:val="7B306E47"/>
    <w:rsid w:val="7C683BAE"/>
    <w:rsid w:val="7CBD0742"/>
    <w:rsid w:val="7E3C60AD"/>
    <w:rsid w:val="7EC25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character" w:customStyle="1" w:styleId="267">
    <w:name w:val="font11"/>
    <w:basedOn w:val="60"/>
    <w:autoRedefine/>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28</TotalTime>
  <ScaleCrop>false</ScaleCrop>
  <LinksUpToDate>false</LinksUpToDate>
  <CharactersWithSpaces>18825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2024-01-03T00:44:12Z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D90EFDEDCD294DEAB041A069E42458C9</vt:lpwstr>
  </property>
</Properties>
</file>