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2024FW006</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2号楼防火门更换</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二月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1641050"/>
      <w:bookmarkStart w:id="2" w:name="_Toc25875"/>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2号楼防火门更换</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7775175"/>
      <w:bookmarkStart w:id="8" w:name="_Toc28443"/>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2号楼防火门更换</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bookmarkStart w:id="12" w:name="_Toc31105"/>
      <w:bookmarkStart w:id="13" w:name="_Toc3816"/>
      <w:r>
        <w:rPr>
          <w:rFonts w:hint="eastAsia" w:ascii="方正仿宋_GBK" w:hAnsi="宋体" w:eastAsia="方正仿宋_GBK" w:cs="Times New Roman"/>
          <w:b/>
          <w:bCs w:val="0"/>
          <w:color w:val="auto"/>
          <w:sz w:val="24"/>
          <w:szCs w:val="24"/>
        </w:rPr>
        <w:t>医院自筹</w:t>
      </w:r>
      <w:bookmarkEnd w:id="12"/>
      <w:bookmarkEnd w:id="13"/>
    </w:p>
    <w:p>
      <w:pPr>
        <w:pStyle w:val="22"/>
        <w:numPr>
          <w:ilvl w:val="0"/>
          <w:numId w:val="0"/>
        </w:numPr>
        <w:rPr>
          <w:rFonts w:hint="default" w:eastAsia="微软雅黑"/>
          <w:b/>
          <w:bCs/>
          <w:color w:val="FF0000"/>
          <w:lang w:val="en-US" w:eastAsia="zh-CN"/>
        </w:rPr>
      </w:pPr>
      <w:r>
        <w:rPr>
          <w:rFonts w:hint="eastAsia" w:ascii="微软雅黑" w:hAnsi="微软雅黑" w:eastAsia="微软雅黑" w:cs="微软雅黑"/>
          <w:b/>
          <w:bCs/>
          <w:color w:val="FF0000"/>
          <w:sz w:val="24"/>
          <w:szCs w:val="24"/>
          <w:lang w:eastAsia="zh-CN"/>
        </w:rPr>
        <w:t>三</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项目预算：</w:t>
      </w:r>
      <w:r>
        <w:rPr>
          <w:rFonts w:hint="eastAsia" w:ascii="微软雅黑" w:hAnsi="微软雅黑" w:eastAsia="微软雅黑" w:cs="微软雅黑"/>
          <w:b/>
          <w:bCs/>
          <w:color w:val="FF0000"/>
          <w:sz w:val="24"/>
          <w:szCs w:val="24"/>
          <w:lang w:val="en-US" w:eastAsia="zh-CN"/>
        </w:rPr>
        <w:t>3.35万元。</w:t>
      </w:r>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11958"/>
      <w:bookmarkStart w:id="18" w:name="_Toc485108774"/>
      <w:bookmarkStart w:id="19" w:name="_Toc102227313"/>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无。</w:t>
      </w:r>
    </w:p>
    <w:p>
      <w:pPr>
        <w:pStyle w:val="3"/>
        <w:spacing w:line="240" w:lineRule="auto"/>
        <w:rPr>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bookmarkStart w:id="163" w:name="_GoBack"/>
      <w:bookmarkEnd w:id="163"/>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27</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29</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方正仿宋_GBK" w:hAnsi="宋体" w:eastAsia="方正仿宋_GBK"/>
          <w:color w:val="FF0000"/>
          <w:sz w:val="24"/>
          <w:szCs w:val="24"/>
          <w:lang w:val="en-US" w:eastAsia="zh-CN"/>
        </w:rPr>
      </w:pPr>
      <w:r>
        <w:rPr>
          <w:rFonts w:hint="eastAsia" w:ascii="方正仿宋_GBK" w:hAnsi="宋体" w:eastAsia="方正仿宋_GBK" w:cs="Times New Roman"/>
          <w:color w:val="auto"/>
          <w:kern w:val="2"/>
          <w:sz w:val="24"/>
          <w:szCs w:val="24"/>
          <w:lang w:val="en-US" w:eastAsia="zh-CN" w:bidi="ar-SA"/>
        </w:rPr>
        <w:t>报价要求：</w:t>
      </w:r>
      <w:r>
        <w:rPr>
          <w:rFonts w:hint="eastAsia" w:ascii="方正仿宋_GBK" w:hAnsi="宋体" w:eastAsia="方正仿宋_GBK" w:cs="Times New Roman"/>
          <w:color w:val="FF0000"/>
          <w:sz w:val="24"/>
          <w:szCs w:val="24"/>
        </w:rPr>
        <w:t>防火门成套报价包含但不限于材料费、人工费、运输费、搬运费、安装费、调试费、旧门拆除费、恢复收口的人工费、灌浆费、材料费以及旧门拆除后的除渣费、保险费、税费等各项费用。</w:t>
      </w:r>
      <w:r>
        <w:rPr>
          <w:rFonts w:hint="eastAsia" w:ascii="方正仿宋_GBK" w:hAnsi="宋体" w:eastAsia="方正仿宋_GBK" w:cs="Times New Roman"/>
          <w:color w:val="FF0000"/>
          <w:sz w:val="24"/>
          <w:szCs w:val="24"/>
          <w:lang w:eastAsia="zh-CN"/>
        </w:rPr>
        <w:t>报价表见第六章。</w:t>
      </w:r>
    </w:p>
    <w:p>
      <w:pPr>
        <w:spacing w:line="400" w:lineRule="exact"/>
        <w:ind w:firstLine="480" w:firstLineChars="200"/>
        <w:rPr>
          <w:rFonts w:hint="eastAsia" w:ascii="方正仿宋_GBK" w:hAnsi="宋体" w:eastAsia="方正仿宋_GBK"/>
          <w:color w:val="FF0000"/>
          <w:sz w:val="24"/>
          <w:szCs w:val="24"/>
          <w:lang w:val="en-US" w:eastAsia="zh-CN"/>
        </w:rPr>
      </w:pPr>
    </w:p>
    <w:p>
      <w:pPr>
        <w:spacing w:line="400" w:lineRule="exact"/>
        <w:ind w:firstLine="480" w:firstLineChars="200"/>
        <w:rPr>
          <w:rFonts w:hint="eastAsia" w:ascii="方正仿宋_GBK" w:hAnsi="宋体" w:eastAsia="方正仿宋_GBK" w:cs="Times New Roman"/>
          <w:b/>
          <w:bCs/>
          <w:color w:val="auto"/>
          <w:sz w:val="24"/>
          <w:szCs w:val="24"/>
        </w:rPr>
      </w:pP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14816"/>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102227321"/>
      <w:bookmarkStart w:id="53" w:name="_Toc7135"/>
      <w:bookmarkStart w:id="54" w:name="_Toc3212"/>
      <w:bookmarkStart w:id="55" w:name="_Toc403569783"/>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403569784"/>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snapToGrid w:val="0"/>
        <w:spacing w:line="400" w:lineRule="exact"/>
        <w:ind w:firstLine="480" w:firstLineChars="200"/>
        <w:rPr>
          <w:rFonts w:hint="eastAsia" w:ascii="方正仿宋_GBK" w:hAnsi="宋体" w:eastAsia="方正仿宋_GBK" w:cs="Times New Roman"/>
          <w:color w:val="FF0000"/>
          <w:sz w:val="24"/>
          <w:szCs w:val="24"/>
          <w:lang w:eastAsia="zh-CN"/>
        </w:rPr>
      </w:pPr>
      <w:r>
        <w:rPr>
          <w:rFonts w:hint="eastAsia" w:ascii="方正仿宋_GBK" w:hAnsi="宋体" w:eastAsia="方正仿宋_GBK" w:cs="Times New Roman"/>
          <w:color w:val="FF0000"/>
          <w:sz w:val="24"/>
          <w:szCs w:val="24"/>
        </w:rPr>
        <w:t>一、</w:t>
      </w:r>
      <w:r>
        <w:rPr>
          <w:rFonts w:hint="eastAsia" w:ascii="方正仿宋_GBK" w:hAnsi="宋体" w:eastAsia="方正仿宋_GBK" w:cs="Times New Roman"/>
          <w:color w:val="FF0000"/>
          <w:sz w:val="24"/>
          <w:szCs w:val="24"/>
          <w:lang w:eastAsia="zh-CN"/>
        </w:rPr>
        <w:t>服务需求</w:t>
      </w:r>
    </w:p>
    <w:p>
      <w:pPr>
        <w:snapToGrid w:val="0"/>
        <w:spacing w:line="400" w:lineRule="exact"/>
        <w:ind w:firstLine="480" w:firstLineChars="200"/>
        <w:rPr>
          <w:rFonts w:hint="eastAsia" w:ascii="方正仿宋_GBK" w:hAnsi="宋体" w:eastAsia="方正仿宋_GBK" w:cs="Times New Roman"/>
          <w:color w:val="FF0000"/>
          <w:sz w:val="24"/>
          <w:szCs w:val="24"/>
        </w:rPr>
      </w:pPr>
      <w:bookmarkStart w:id="67" w:name="_Toc12789058"/>
      <w:r>
        <w:rPr>
          <w:rFonts w:hint="eastAsia" w:ascii="方正仿宋_GBK" w:hAnsi="宋体" w:eastAsia="方正仿宋_GBK" w:cs="Times New Roman"/>
          <w:color w:val="FF0000"/>
          <w:sz w:val="24"/>
          <w:szCs w:val="24"/>
        </w:rPr>
        <w:t>1、2号楼需更换的27扇防火门均为木质防火门，门框为木质门框</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更换27扇防火门及其门框</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并张贴消防产品信息铭牌。</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2、安装防火门把手一副，带锁（锁为统一制式，一把为通开）。</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3、对防火门门框进行灌浆，达到国家消防要求。</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4、防火门需达到国家GB12955-2008《防火门》要求的甲级钢制防火门。防火门门框板厚度≥1.8毫米、门扇面板厚度1.0毫米，其余配件均需达到国家甲级防火要求。 </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5、对维修更换现场进行恢复，如对瓷砖及墙体有损坏的需进行修复，达到原貌或近似原貌。对更换下来的防火门及杂物进行清运、打扫，保持现场清洁、卫生。</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6、防火门详细尺寸参数见附件（具体以实际测量为准，满足采购方使用需求）。</w:t>
      </w: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附件</w:t>
      </w:r>
    </w:p>
    <w:p>
      <w:pPr>
        <w:snapToGrid w:val="0"/>
        <w:spacing w:line="400" w:lineRule="exact"/>
        <w:ind w:firstLine="3120" w:firstLineChars="13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2号楼防火门更换清单</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（尺寸仅供参考，具体以实际测量为准，以满足使用为准）</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2号楼负3层4号电梯旁强电井800mm*2100mm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2号楼负2层4号电梯旁强电井800mm*2100mm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2号楼负1层4号电梯旁强电井800mm*2100mm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2号楼2层4号电梯旁强电井800mm*2100mm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2号楼3层4号电梯旁强电井800mm*2100mm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2号楼4层4号电梯旁强电井800mm*2100mm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2号楼5层4号电梯旁强电井800mm*2100mm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2号楼6层4号电梯旁强电井800mm*2100mm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2号楼7层4号电梯旁强电井800mm*2100mm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2号楼8层4号电梯旁强电井800mm*2100mm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2号楼9层4号电梯旁强电井800mm*2100mm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2号楼10层4号电梯旁强电井800mm*2100mm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2号楼11层4号电梯旁强电井800mm*2100mm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2号楼12层4号电梯旁强电井800mm*2100mm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2号楼13层4号电梯旁强电井800mm*2100mm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2号楼14层4号电梯旁强电井800mm*2100mm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2号楼15层4号电梯旁强电井800mm*2100mm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2号楼16层4号电梯旁强电井800mm*2100mm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2号楼17层4号电梯旁强电井800mm*2100mm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2号楼18层4号电梯旁强电井800mm*2100mm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2号楼负1层卫生间对面强电井1200mm*1800mm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2号楼1层卫生间对面强电井1200mm*1800mm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2号楼2层卫生间对面强电井1200mm*1800mm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2号楼3层卫生间对面强电井1200mm*1800mm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2号楼4层卫生间对面强电井1200mm*1800mm 1樘</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2号楼5层卫生间对面强电井1200mm*1800mm 1樘</w:t>
      </w:r>
      <w:bookmarkStart w:id="68" w:name="_Toc485108787"/>
      <w:bookmarkStart w:id="69" w:name="_Toc28327"/>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85108793"/>
      <w:bookmarkStart w:id="74" w:name="_Toc7358"/>
      <w:bookmarkStart w:id="75" w:name="_Toc403569795"/>
      <w:r>
        <w:rPr>
          <w:rFonts w:hint="eastAsia" w:ascii="微软雅黑" w:hAnsi="微软雅黑" w:eastAsia="微软雅黑" w:cs="微软雅黑"/>
          <w:color w:val="auto"/>
          <w:sz w:val="24"/>
          <w:szCs w:val="24"/>
          <w:lang w:val="en-US" w:eastAsia="zh-CN"/>
        </w:rPr>
        <w:t>一、商务需求</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1、质保期：1年及以上，质保期内免费维修、更换。</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2、产品质量：采购的产品为正规厂家生产的全新合格产品，产品质量须符合国家相关的产品质量标准及要求，提供产品检验报告或合格证明。</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3、现场勘察：服务方必须到现场进行勘（工作日内），相关情况咨询请联系李老师（联系电话：19923605644）。</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4、施工安装：</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（1）服务方在施工前需由采购方相关部门提交院内施工安全许可审批，取得院内施工许可后方可施工，如需动火动焊还需取得采购方管理审批手续。</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（2）工期：合同签订后40个日历日内。</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5、验收方式：设施安装调试完成后，由采购方组织相关人员同施工方一起进行验收，服务方需移交检验报告、消防产品信息证、产品合格证等材料，验收完成后双方人员签字确认。</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付款方式：本次项目无预付款，安装验收合格后成交方提供正式发票，采购方见票后于60日内转账支付合同总金额95%，剩余5%作为履约保证金，质保期满1年后且无任何质量问题，采购方在60天内无息退还质保金。</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售后服务要求：中标方接到院方通知后应立即响应，电话咨询不能解决的应在24小时内安排技术人员到达现场处理，直至解除设施故障，给采购方造成损失的还应由中标方负责赔偿。中标方应认真履行售后服务承诺，质保期后提供售后维修服务的，维修只收取配件费。中标方提供有效的维修联系人和电话，如有变更，应及时通知采购方。</w:t>
      </w:r>
    </w:p>
    <w:p>
      <w:pPr>
        <w:pStyle w:val="51"/>
        <w:spacing w:before="0" w:beforeAutospacing="0" w:after="0" w:afterAutospacing="0" w:line="560" w:lineRule="exact"/>
        <w:ind w:firstLine="5600" w:firstLineChars="2000"/>
        <w:rPr>
          <w:sz w:val="28"/>
          <w:szCs w:val="28"/>
        </w:rPr>
      </w:pPr>
    </w:p>
    <w:p>
      <w:pPr>
        <w:spacing w:line="560" w:lineRule="exact"/>
        <w:ind w:firstLine="560" w:firstLineChars="200"/>
        <w:rPr>
          <w:rFonts w:hint="eastAsia" w:ascii="宋体" w:hAnsi="宋体" w:cs="MS Shell Dlg"/>
          <w:color w:val="auto"/>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403569796"/>
      <w:bookmarkStart w:id="77" w:name="_Toc485108794"/>
      <w:bookmarkStart w:id="78" w:name="_Toc14840"/>
      <w:bookmarkStart w:id="79" w:name="_Toc148265480"/>
      <w:bookmarkStart w:id="80" w:name="_Toc30394582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54718207"/>
      <w:bookmarkStart w:id="105" w:name="_Toc9053"/>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11586"/>
      <w:bookmarkStart w:id="11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31719"/>
      <w:bookmarkStart w:id="114" w:name="_Toc54718210"/>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3696"/>
      <w:bookmarkStart w:id="128" w:name="_Toc485108795"/>
      <w:bookmarkStart w:id="129" w:name="_Toc12789072"/>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8" w:name="_Toc313888360"/>
      <w:bookmarkStart w:id="139" w:name="_Toc313008356"/>
      <w:bookmarkStart w:id="140" w:name="_Toc342913419"/>
      <w:bookmarkStart w:id="141" w:name="_Toc485108796"/>
      <w:bookmarkStart w:id="142" w:name="_Toc480979018"/>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val="en-US" w:eastAsia="zh-CN"/>
        </w:rPr>
        <w:t>2号楼防火门更换</w:t>
      </w:r>
    </w:p>
    <w:tbl>
      <w:tblPr>
        <w:tblStyle w:val="58"/>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836"/>
        <w:gridCol w:w="1357"/>
        <w:gridCol w:w="1417"/>
        <w:gridCol w:w="851"/>
        <w:gridCol w:w="793"/>
        <w:gridCol w:w="110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92" w:type="dxa"/>
            <w:vAlign w:val="center"/>
          </w:tcPr>
          <w:p>
            <w:pPr>
              <w:tabs>
                <w:tab w:val="right" w:leader="hyphen" w:pos="8080"/>
              </w:tabs>
              <w:spacing w:line="360" w:lineRule="auto"/>
              <w:jc w:val="center"/>
              <w:outlineLvl w:val="0"/>
              <w:rPr>
                <w:rFonts w:ascii="仿宋" w:hAnsi="仿宋" w:eastAsia="仿宋"/>
                <w:sz w:val="24"/>
              </w:rPr>
            </w:pPr>
            <w:bookmarkStart w:id="145" w:name="_Toc480979019"/>
            <w:bookmarkStart w:id="146" w:name="_Toc485108797"/>
            <w:bookmarkStart w:id="147" w:name="_Toc313888361"/>
            <w:bookmarkStart w:id="148" w:name="_Toc313008357"/>
            <w:bookmarkStart w:id="149" w:name="_Toc342913420"/>
            <w:r>
              <w:rPr>
                <w:rFonts w:hint="eastAsia" w:ascii="仿宋" w:hAnsi="仿宋" w:eastAsia="仿宋"/>
                <w:sz w:val="24"/>
              </w:rPr>
              <w:t>名称</w:t>
            </w:r>
          </w:p>
        </w:tc>
        <w:tc>
          <w:tcPr>
            <w:tcW w:w="836"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品牌</w:t>
            </w:r>
          </w:p>
        </w:tc>
        <w:tc>
          <w:tcPr>
            <w:tcW w:w="1357"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生产厂家</w:t>
            </w:r>
          </w:p>
        </w:tc>
        <w:tc>
          <w:tcPr>
            <w:tcW w:w="1417"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规格型号</w:t>
            </w:r>
          </w:p>
        </w:tc>
        <w:tc>
          <w:tcPr>
            <w:tcW w:w="851"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数量</w:t>
            </w:r>
          </w:p>
        </w:tc>
        <w:tc>
          <w:tcPr>
            <w:tcW w:w="793"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单位</w:t>
            </w:r>
          </w:p>
        </w:tc>
        <w:tc>
          <w:tcPr>
            <w:tcW w:w="1105"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单价（元）</w:t>
            </w:r>
          </w:p>
        </w:tc>
        <w:tc>
          <w:tcPr>
            <w:tcW w:w="993"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92" w:type="dxa"/>
            <w:vAlign w:val="center"/>
          </w:tcPr>
          <w:p>
            <w:pPr>
              <w:spacing w:line="400" w:lineRule="exact"/>
              <w:jc w:val="center"/>
              <w:rPr>
                <w:rFonts w:ascii="仿宋" w:hAnsi="仿宋" w:eastAsia="仿宋"/>
                <w:sz w:val="24"/>
              </w:rPr>
            </w:pPr>
            <w:r>
              <w:rPr>
                <w:rFonts w:hint="eastAsia" w:ascii="仿宋" w:hAnsi="仿宋" w:eastAsia="仿宋"/>
                <w:sz w:val="24"/>
              </w:rPr>
              <w:t>防火门</w:t>
            </w:r>
          </w:p>
        </w:tc>
        <w:tc>
          <w:tcPr>
            <w:tcW w:w="836" w:type="dxa"/>
            <w:vAlign w:val="center"/>
          </w:tcPr>
          <w:p>
            <w:pPr>
              <w:spacing w:line="400" w:lineRule="exact"/>
              <w:jc w:val="center"/>
              <w:rPr>
                <w:rFonts w:ascii="仿宋" w:hAnsi="仿宋" w:eastAsia="仿宋"/>
                <w:sz w:val="24"/>
              </w:rPr>
            </w:pPr>
          </w:p>
        </w:tc>
        <w:tc>
          <w:tcPr>
            <w:tcW w:w="1357" w:type="dxa"/>
            <w:vAlign w:val="center"/>
          </w:tcPr>
          <w:p>
            <w:pPr>
              <w:spacing w:line="400" w:lineRule="exact"/>
              <w:jc w:val="center"/>
              <w:rPr>
                <w:rFonts w:ascii="仿宋" w:hAnsi="仿宋" w:eastAsia="仿宋"/>
                <w:sz w:val="24"/>
              </w:rPr>
            </w:pPr>
          </w:p>
        </w:tc>
        <w:tc>
          <w:tcPr>
            <w:tcW w:w="1417" w:type="dxa"/>
            <w:vAlign w:val="center"/>
          </w:tcPr>
          <w:p>
            <w:pPr>
              <w:spacing w:line="400" w:lineRule="exact"/>
              <w:jc w:val="center"/>
              <w:rPr>
                <w:rFonts w:ascii="仿宋" w:hAnsi="仿宋" w:eastAsia="仿宋"/>
                <w:sz w:val="24"/>
              </w:rPr>
            </w:pPr>
          </w:p>
        </w:tc>
        <w:tc>
          <w:tcPr>
            <w:tcW w:w="851" w:type="dxa"/>
            <w:vAlign w:val="center"/>
          </w:tcPr>
          <w:p>
            <w:pPr>
              <w:spacing w:line="400" w:lineRule="exact"/>
              <w:jc w:val="center"/>
              <w:rPr>
                <w:rFonts w:ascii="仿宋" w:hAnsi="仿宋" w:eastAsia="仿宋"/>
                <w:sz w:val="24"/>
              </w:rPr>
            </w:pPr>
          </w:p>
        </w:tc>
        <w:tc>
          <w:tcPr>
            <w:tcW w:w="793" w:type="dxa"/>
            <w:vAlign w:val="center"/>
          </w:tcPr>
          <w:p>
            <w:pPr>
              <w:spacing w:line="400" w:lineRule="exact"/>
              <w:jc w:val="center"/>
              <w:rPr>
                <w:rFonts w:ascii="仿宋" w:hAnsi="仿宋" w:eastAsia="仿宋"/>
                <w:sz w:val="24"/>
              </w:rPr>
            </w:pPr>
          </w:p>
        </w:tc>
        <w:tc>
          <w:tcPr>
            <w:tcW w:w="1105" w:type="dxa"/>
            <w:vAlign w:val="center"/>
          </w:tcPr>
          <w:p>
            <w:pPr>
              <w:spacing w:line="300" w:lineRule="exact"/>
              <w:jc w:val="center"/>
              <w:rPr>
                <w:rFonts w:ascii="仿宋" w:hAnsi="仿宋" w:eastAsia="仿宋"/>
                <w:sz w:val="24"/>
              </w:rPr>
            </w:pPr>
          </w:p>
        </w:tc>
        <w:tc>
          <w:tcPr>
            <w:tcW w:w="993"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92" w:type="dxa"/>
            <w:vAlign w:val="center"/>
          </w:tcPr>
          <w:p>
            <w:pPr>
              <w:spacing w:line="400" w:lineRule="exact"/>
              <w:jc w:val="center"/>
              <w:rPr>
                <w:rFonts w:ascii="仿宋" w:hAnsi="仿宋" w:eastAsia="仿宋"/>
                <w:sz w:val="24"/>
              </w:rPr>
            </w:pPr>
            <w:r>
              <w:rPr>
                <w:rFonts w:hint="eastAsia" w:ascii="仿宋" w:hAnsi="仿宋" w:eastAsia="仿宋"/>
                <w:sz w:val="24"/>
              </w:rPr>
              <w:t>防火门</w:t>
            </w:r>
          </w:p>
        </w:tc>
        <w:tc>
          <w:tcPr>
            <w:tcW w:w="836" w:type="dxa"/>
            <w:vAlign w:val="center"/>
          </w:tcPr>
          <w:p>
            <w:pPr>
              <w:spacing w:line="400" w:lineRule="exact"/>
              <w:jc w:val="center"/>
              <w:rPr>
                <w:rFonts w:ascii="仿宋" w:hAnsi="仿宋" w:eastAsia="仿宋"/>
                <w:sz w:val="24"/>
              </w:rPr>
            </w:pPr>
          </w:p>
        </w:tc>
        <w:tc>
          <w:tcPr>
            <w:tcW w:w="1357" w:type="dxa"/>
            <w:vAlign w:val="center"/>
          </w:tcPr>
          <w:p>
            <w:pPr>
              <w:spacing w:line="400" w:lineRule="exact"/>
              <w:jc w:val="center"/>
              <w:rPr>
                <w:rFonts w:ascii="仿宋" w:hAnsi="仿宋" w:eastAsia="仿宋"/>
                <w:sz w:val="24"/>
              </w:rPr>
            </w:pPr>
          </w:p>
        </w:tc>
        <w:tc>
          <w:tcPr>
            <w:tcW w:w="1417" w:type="dxa"/>
            <w:vAlign w:val="center"/>
          </w:tcPr>
          <w:p>
            <w:pPr>
              <w:spacing w:line="400" w:lineRule="exact"/>
              <w:jc w:val="center"/>
              <w:rPr>
                <w:rFonts w:ascii="仿宋" w:hAnsi="仿宋" w:eastAsia="仿宋"/>
                <w:sz w:val="24"/>
              </w:rPr>
            </w:pPr>
          </w:p>
        </w:tc>
        <w:tc>
          <w:tcPr>
            <w:tcW w:w="851" w:type="dxa"/>
            <w:vAlign w:val="center"/>
          </w:tcPr>
          <w:p>
            <w:pPr>
              <w:spacing w:line="400" w:lineRule="exact"/>
              <w:jc w:val="center"/>
              <w:rPr>
                <w:rFonts w:ascii="仿宋" w:hAnsi="仿宋" w:eastAsia="仿宋"/>
                <w:sz w:val="24"/>
              </w:rPr>
            </w:pPr>
          </w:p>
        </w:tc>
        <w:tc>
          <w:tcPr>
            <w:tcW w:w="793" w:type="dxa"/>
            <w:vAlign w:val="center"/>
          </w:tcPr>
          <w:p>
            <w:pPr>
              <w:spacing w:line="400" w:lineRule="exact"/>
              <w:jc w:val="center"/>
              <w:rPr>
                <w:rFonts w:ascii="仿宋" w:hAnsi="仿宋" w:eastAsia="仿宋"/>
                <w:sz w:val="24"/>
              </w:rPr>
            </w:pPr>
          </w:p>
        </w:tc>
        <w:tc>
          <w:tcPr>
            <w:tcW w:w="1105" w:type="dxa"/>
            <w:vAlign w:val="center"/>
          </w:tcPr>
          <w:p>
            <w:pPr>
              <w:spacing w:line="300" w:lineRule="exact"/>
              <w:jc w:val="center"/>
              <w:rPr>
                <w:rFonts w:ascii="仿宋" w:hAnsi="仿宋" w:eastAsia="仿宋"/>
                <w:sz w:val="24"/>
              </w:rPr>
            </w:pPr>
          </w:p>
        </w:tc>
        <w:tc>
          <w:tcPr>
            <w:tcW w:w="993"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92"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合计（元）</w:t>
            </w:r>
          </w:p>
        </w:tc>
        <w:tc>
          <w:tcPr>
            <w:tcW w:w="7352" w:type="dxa"/>
            <w:gridSpan w:val="7"/>
            <w:vAlign w:val="center"/>
          </w:tcPr>
          <w:p>
            <w:pPr>
              <w:tabs>
                <w:tab w:val="right" w:leader="hyphen" w:pos="8080"/>
              </w:tabs>
              <w:spacing w:line="360" w:lineRule="auto"/>
              <w:ind w:firstLine="240" w:firstLineChars="100"/>
              <w:jc w:val="left"/>
              <w:outlineLvl w:val="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92"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质保期</w:t>
            </w:r>
          </w:p>
        </w:tc>
        <w:tc>
          <w:tcPr>
            <w:tcW w:w="7352" w:type="dxa"/>
            <w:gridSpan w:val="7"/>
            <w:vAlign w:val="center"/>
          </w:tcPr>
          <w:p>
            <w:pPr>
              <w:tabs>
                <w:tab w:val="right" w:leader="hyphen" w:pos="8080"/>
              </w:tabs>
              <w:spacing w:line="360" w:lineRule="auto"/>
              <w:jc w:val="center"/>
              <w:outlineLvl w:val="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692" w:type="dxa"/>
            <w:vAlign w:val="center"/>
          </w:tcPr>
          <w:p>
            <w:pPr>
              <w:tabs>
                <w:tab w:val="right" w:leader="hyphen" w:pos="8080"/>
              </w:tabs>
              <w:spacing w:line="360" w:lineRule="auto"/>
              <w:jc w:val="center"/>
              <w:outlineLvl w:val="0"/>
              <w:rPr>
                <w:rFonts w:ascii="仿宋" w:hAnsi="仿宋" w:eastAsia="仿宋"/>
                <w:sz w:val="24"/>
              </w:rPr>
            </w:pPr>
            <w:r>
              <w:rPr>
                <w:rFonts w:hint="eastAsia" w:ascii="仿宋" w:hAnsi="仿宋" w:eastAsia="仿宋"/>
                <w:sz w:val="24"/>
              </w:rPr>
              <w:t>到货及施工期</w:t>
            </w:r>
          </w:p>
        </w:tc>
        <w:tc>
          <w:tcPr>
            <w:tcW w:w="7352" w:type="dxa"/>
            <w:gridSpan w:val="7"/>
            <w:vAlign w:val="center"/>
          </w:tcPr>
          <w:p>
            <w:pPr>
              <w:tabs>
                <w:tab w:val="right" w:leader="hyphen" w:pos="8080"/>
              </w:tabs>
              <w:spacing w:line="360" w:lineRule="auto"/>
              <w:jc w:val="center"/>
              <w:outlineLvl w:val="0"/>
              <w:rPr>
                <w:rFonts w:ascii="仿宋" w:hAnsi="仿宋" w:eastAsia="仿宋"/>
                <w:sz w:val="24"/>
              </w:rPr>
            </w:pPr>
          </w:p>
        </w:tc>
      </w:tr>
    </w:tbl>
    <w:p>
      <w:pPr>
        <w:pStyle w:val="269"/>
        <w:jc w:val="both"/>
        <w:rPr>
          <w:rFonts w:hint="default" w:eastAsia="宋体"/>
          <w:color w:val="auto"/>
          <w:lang w:val="en-US" w:eastAsia="zh-CN"/>
        </w:rPr>
      </w:pPr>
      <w:r>
        <w:rPr>
          <w:rFonts w:hint="eastAsia"/>
          <w:color w:val="auto"/>
          <w:lang w:val="en-US" w:eastAsia="zh-CN"/>
        </w:rPr>
        <w:t xml:space="preserve"> </w:t>
      </w:r>
      <w:r>
        <w:rPr>
          <w:rFonts w:hint="eastAsia" w:ascii="方正仿宋_GBK" w:hAnsi="宋体" w:eastAsia="方正仿宋_GBK" w:cs="Times New Roman"/>
          <w:color w:val="FF0000"/>
          <w:sz w:val="24"/>
          <w:szCs w:val="24"/>
          <w:lang w:val="en-US" w:eastAsia="zh-CN"/>
        </w:rPr>
        <w:t xml:space="preserve">  注：</w:t>
      </w:r>
      <w:r>
        <w:rPr>
          <w:rFonts w:hint="eastAsia" w:ascii="方正仿宋_GBK" w:hAnsi="宋体" w:eastAsia="方正仿宋_GBK" w:cs="Times New Roman"/>
          <w:color w:val="FF0000"/>
          <w:sz w:val="24"/>
          <w:szCs w:val="24"/>
        </w:rPr>
        <w:t>防火门成套报价包含但不限于材料费、人工费、运输费、搬运费、安装费、调试费、旧门拆除费、恢复收口的人工费、灌浆费、材料费以及旧门拆除后的除渣费、保险费、税费等各项费用。</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480979020"/>
      <w:bookmarkStart w:id="152" w:name="_Toc313008358"/>
      <w:bookmarkStart w:id="153" w:name="_Toc313888362"/>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008359"/>
      <w:bookmarkStart w:id="157" w:name="_Toc313888363"/>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B43A8B3-F7E5-40F7-80E3-A33623664A41}"/>
  </w:font>
  <w:font w:name="黑体">
    <w:panose1 w:val="02010609060101010101"/>
    <w:charset w:val="86"/>
    <w:family w:val="auto"/>
    <w:pitch w:val="default"/>
    <w:sig w:usb0="800002BF" w:usb1="38CF7CFA" w:usb2="00000016" w:usb3="00000000" w:csb0="00040001" w:csb1="00000000"/>
    <w:embedRegular r:id="rId2" w:fontKey="{0F93DFCF-0D7B-45C2-B742-7DA73B7928E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D628B879-2980-4A6D-8AAA-70E8F34B451B}"/>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B072C1C3-CC9B-4A6B-804B-C9F19B0B9952}"/>
  </w:font>
  <w:font w:name="方正小标宋简体">
    <w:altName w:val="黑体"/>
    <w:panose1 w:val="00000000000000000000"/>
    <w:charset w:val="86"/>
    <w:family w:val="auto"/>
    <w:pitch w:val="default"/>
    <w:sig w:usb0="00000000" w:usb1="00000000" w:usb2="00000010" w:usb3="00000000" w:csb0="00040000" w:csb1="00000000"/>
    <w:embedRegular r:id="rId5" w:fontKey="{E5DCFE65-BB22-4A62-8987-5B86230A4DAA}"/>
  </w:font>
  <w:font w:name="方正黑体_GBK">
    <w:altName w:val="微软雅黑"/>
    <w:panose1 w:val="00000000000000000000"/>
    <w:charset w:val="86"/>
    <w:family w:val="script"/>
    <w:pitch w:val="default"/>
    <w:sig w:usb0="00000000" w:usb1="00000000" w:usb2="00000000" w:usb3="00000000" w:csb0="00040000" w:csb1="00000000"/>
    <w:embedRegular r:id="rId6" w:fontKey="{8A79B976-1798-44E2-97C1-1B42D14E1A5F}"/>
  </w:font>
  <w:font w:name="方正小标宋_GBK">
    <w:panose1 w:val="02000000000000000000"/>
    <w:charset w:val="86"/>
    <w:family w:val="script"/>
    <w:pitch w:val="default"/>
    <w:sig w:usb0="A00002BF" w:usb1="38CF7CFA" w:usb2="00082016" w:usb3="00000000" w:csb0="00040001" w:csb1="00000000"/>
    <w:embedRegular r:id="rId7" w:fontKey="{2A8A19ED-2EAA-436B-96D0-49EA380A0DDE}"/>
  </w:font>
  <w:font w:name="微软雅黑">
    <w:panose1 w:val="020B0503020204020204"/>
    <w:charset w:val="86"/>
    <w:family w:val="auto"/>
    <w:pitch w:val="default"/>
    <w:sig w:usb0="80000287" w:usb1="280F3C52" w:usb2="00000016" w:usb3="00000000" w:csb0="0004001F" w:csb1="00000000"/>
    <w:embedRegular r:id="rId8" w:fontKey="{BCD8B583-DF7A-4A8C-9F73-AE171C2AD9A5}"/>
  </w:font>
  <w:font w:name="方正仿宋_GBK">
    <w:altName w:val="微软雅黑"/>
    <w:panose1 w:val="00000000000000000000"/>
    <w:charset w:val="86"/>
    <w:family w:val="script"/>
    <w:pitch w:val="default"/>
    <w:sig w:usb0="00000000" w:usb1="00000000" w:usb2="00000010" w:usb3="00000000" w:csb0="00040000" w:csb1="00000000"/>
    <w:embedRegular r:id="rId9" w:fontKey="{917B0900-42BE-460A-957E-C0922668AE4A}"/>
  </w:font>
  <w:font w:name="MS Shell Dlg">
    <w:altName w:val="Microsoft Sans Serif"/>
    <w:panose1 w:val="020B0604020202020204"/>
    <w:charset w:val="00"/>
    <w:family w:val="swiss"/>
    <w:pitch w:val="default"/>
    <w:sig w:usb0="00000000" w:usb1="00000000" w:usb2="00000008" w:usb3="00000000" w:csb0="000101FF" w:csb1="00000000"/>
    <w:embedRegular r:id="rId10" w:fontKey="{C1C288EB-899F-4E13-9108-4C778BE49073}"/>
  </w:font>
  <w:font w:name="楷体">
    <w:panose1 w:val="02010609060101010101"/>
    <w:charset w:val="86"/>
    <w:family w:val="auto"/>
    <w:pitch w:val="default"/>
    <w:sig w:usb0="800002BF" w:usb1="38CF7CFA" w:usb2="00000016" w:usb3="00000000" w:csb0="00040001" w:csb1="00000000"/>
    <w:embedRegular r:id="rId11" w:fontKey="{89397558-BF10-469E-B8DB-62BA26B90182}"/>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7E52B34"/>
    <w:rsid w:val="18130842"/>
    <w:rsid w:val="18675712"/>
    <w:rsid w:val="19394057"/>
    <w:rsid w:val="19B7492C"/>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3D6767"/>
    <w:rsid w:val="2BBD2276"/>
    <w:rsid w:val="2E4A05E4"/>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4A2E64"/>
    <w:rsid w:val="40E52488"/>
    <w:rsid w:val="41007A8F"/>
    <w:rsid w:val="415869FC"/>
    <w:rsid w:val="41AB14E8"/>
    <w:rsid w:val="41D67141"/>
    <w:rsid w:val="42030507"/>
    <w:rsid w:val="420A020E"/>
    <w:rsid w:val="429D5EC0"/>
    <w:rsid w:val="444565A3"/>
    <w:rsid w:val="461B60BF"/>
    <w:rsid w:val="46C96141"/>
    <w:rsid w:val="475461C4"/>
    <w:rsid w:val="477A0BC3"/>
    <w:rsid w:val="47F3755A"/>
    <w:rsid w:val="48FA020D"/>
    <w:rsid w:val="492C6FBB"/>
    <w:rsid w:val="499D1F70"/>
    <w:rsid w:val="4A1025A8"/>
    <w:rsid w:val="4AC26B09"/>
    <w:rsid w:val="4AD41B9B"/>
    <w:rsid w:val="4AED1C9D"/>
    <w:rsid w:val="4BE8259F"/>
    <w:rsid w:val="4C4E289A"/>
    <w:rsid w:val="4E231003"/>
    <w:rsid w:val="4EF70D4B"/>
    <w:rsid w:val="4F2E0C11"/>
    <w:rsid w:val="4F79418A"/>
    <w:rsid w:val="50B9275C"/>
    <w:rsid w:val="50FE286B"/>
    <w:rsid w:val="514069D9"/>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7E25A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0</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2024-02-26T09:25:53Z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