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2025FW007</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兴龙湖院区教学部生活垃圾清运服务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129EB96">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11641050"/>
      <w:bookmarkStart w:id="3"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兴龙湖院区教学部生活垃圾清运服务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485108767"/>
      <w:bookmarkStart w:id="8" w:name="_Toc317775175"/>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兴龙湖院区教学部生活垃圾清运服务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项目预算：2025年上学期垃圾清运服务费预算540元/月；2025 年下学期及以后服务费预算2500元/月。</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bookmarkStart w:id="161" w:name="_GoBack"/>
      <w:bookmarkEnd w:id="161"/>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718176"/>
      <w:bookmarkStart w:id="23" w:name="_Toc54171062"/>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9130"/>
      <w:bookmarkStart w:id="27"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629C341C">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adjustRightInd w:val="0"/>
        <w:spacing w:line="50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1.报价为包干价，包含但不限于清运费、人工费、车辆维护及维修、燃油费及税金等乙方履行本合同的全部费用。供应商按照报价表进行报价</w:t>
      </w:r>
      <w:r>
        <w:rPr>
          <w:rFonts w:hint="eastAsia" w:ascii="宋体" w:hAnsi="宋体" w:eastAsia="宋体" w:cs="宋体"/>
          <w:color w:val="FF0000"/>
          <w:sz w:val="24"/>
          <w:szCs w:val="24"/>
          <w:shd w:val="clear" w:color="auto" w:fill="auto"/>
          <w:lang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9"/>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79714298"/>
      <w:bookmarkStart w:id="37" w:name="_Toc342913393"/>
      <w:bookmarkStart w:id="38" w:name="_Toc18122"/>
      <w:bookmarkStart w:id="39" w:name="_Toc19143"/>
      <w:bookmarkStart w:id="40" w:name="_Toc403569780"/>
      <w:bookmarkStart w:id="41"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AEBD146">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485108787"/>
      <w:bookmarkStart w:id="66" w:name="_Toc28327"/>
      <w:bookmarkStart w:id="67"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7691FB5">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1.收运地点：兴龙湖院区教学部。</w:t>
      </w:r>
    </w:p>
    <w:p w14:paraId="24ABD7CF">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2.合同期限：2025年2月20日-2027年5月10日。</w:t>
      </w:r>
    </w:p>
    <w:p w14:paraId="34AD15DA">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.服务方需根据采购方垃圾产生量合理安排收运次数，及时收运医院的生活垃圾，原则上收运频次每日至少1次。收运时做好交接记录。</w:t>
      </w:r>
    </w:p>
    <w:p w14:paraId="4884C839">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.服务方须严格遵守国家的相关法律法规，在收运过程中，服务方应采取有效的安全措施，保证工作人员和其他人员的人身安全，并承担因安全事故导致的一切经济和法律责任。如有损坏财产须照价赔偿。</w:t>
      </w:r>
    </w:p>
    <w:p w14:paraId="3C8B9B2D">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w:t>
      </w:r>
      <w:r>
        <w:rPr>
          <w:rFonts w:hint="eastAsia" w:ascii="宋体" w:hAnsi="宋体" w:eastAsia="宋体" w:cs="宋体"/>
          <w:color w:val="FF0000"/>
          <w:sz w:val="24"/>
          <w:szCs w:val="24"/>
          <w:shd w:val="clear" w:color="auto" w:fill="auto"/>
        </w:rPr>
        <w:t>服务方</w:t>
      </w:r>
      <w:r>
        <w:rPr>
          <w:rFonts w:hint="eastAsia" w:ascii="宋体" w:hAnsi="宋体" w:eastAsia="宋体" w:cs="宋体"/>
          <w:color w:val="FF0000"/>
          <w:sz w:val="24"/>
          <w:szCs w:val="24"/>
          <w:shd w:val="clear" w:color="auto" w:fill="auto"/>
          <w:lang w:val="en-US" w:eastAsia="zh-CN"/>
        </w:rPr>
        <w:t>清运工作必须遵守重庆医科大学附属永川医院的有关规章制度，服从采购人工作监督。</w:t>
      </w:r>
    </w:p>
    <w:p w14:paraId="384FFD12">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6.</w:t>
      </w:r>
      <w:r>
        <w:rPr>
          <w:rFonts w:hint="eastAsia" w:ascii="宋体" w:hAnsi="宋体" w:eastAsia="宋体" w:cs="宋体"/>
          <w:color w:val="FF0000"/>
          <w:sz w:val="24"/>
          <w:szCs w:val="24"/>
          <w:shd w:val="clear" w:color="auto" w:fill="auto"/>
        </w:rPr>
        <w:t>服务方</w:t>
      </w:r>
      <w:r>
        <w:rPr>
          <w:rFonts w:hint="eastAsia" w:ascii="宋体" w:hAnsi="宋体" w:eastAsia="宋体" w:cs="宋体"/>
          <w:color w:val="FF0000"/>
          <w:sz w:val="24"/>
          <w:szCs w:val="24"/>
          <w:shd w:val="clear" w:color="auto" w:fill="auto"/>
          <w:lang w:val="en-US" w:eastAsia="zh-CN"/>
        </w:rPr>
        <w:t>负责对垃圾点的垃圾进行清运，负责搞好垃圾点周边的卫生清洁。</w:t>
      </w:r>
    </w:p>
    <w:p w14:paraId="76799A1B">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7.对于节假日或实际情况需要增加清运次数的，</w:t>
      </w:r>
      <w:r>
        <w:rPr>
          <w:rFonts w:hint="eastAsia" w:ascii="宋体" w:hAnsi="宋体" w:eastAsia="宋体" w:cs="宋体"/>
          <w:color w:val="FF0000"/>
          <w:sz w:val="24"/>
          <w:szCs w:val="24"/>
          <w:shd w:val="clear" w:color="auto" w:fill="auto"/>
        </w:rPr>
        <w:t>服务方</w:t>
      </w:r>
      <w:r>
        <w:rPr>
          <w:rFonts w:hint="eastAsia" w:ascii="宋体" w:hAnsi="宋体" w:eastAsia="宋体" w:cs="宋体"/>
          <w:color w:val="FF0000"/>
          <w:sz w:val="24"/>
          <w:szCs w:val="24"/>
          <w:shd w:val="clear" w:color="auto" w:fill="auto"/>
          <w:lang w:val="en-US" w:eastAsia="zh-CN"/>
        </w:rPr>
        <w:t>应接到采购人通知后，立即执行，且采购人无需因此而额外支付乙方费用。</w:t>
      </w:r>
    </w:p>
    <w:p w14:paraId="0D14D885">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8.乙方因垃圾清运所发生的一切安全事故及政府处罚，概由</w:t>
      </w:r>
      <w:r>
        <w:rPr>
          <w:rFonts w:hint="eastAsia" w:ascii="宋体" w:hAnsi="宋体" w:eastAsia="宋体" w:cs="宋体"/>
          <w:color w:val="FF0000"/>
          <w:sz w:val="24"/>
          <w:szCs w:val="24"/>
          <w:shd w:val="clear" w:color="auto" w:fill="auto"/>
        </w:rPr>
        <w:t>服务方</w:t>
      </w:r>
      <w:r>
        <w:rPr>
          <w:rFonts w:hint="eastAsia" w:ascii="宋体" w:hAnsi="宋体" w:eastAsia="宋体" w:cs="宋体"/>
          <w:color w:val="FF0000"/>
          <w:sz w:val="24"/>
          <w:szCs w:val="24"/>
          <w:shd w:val="clear" w:color="auto" w:fill="auto"/>
          <w:lang w:val="en-US" w:eastAsia="zh-CN"/>
        </w:rPr>
        <w:t>自行承担。</w:t>
      </w:r>
    </w:p>
    <w:p w14:paraId="38B3E447">
      <w:pPr>
        <w:spacing w:line="39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9.乙方从事清运工作人员为乙方工作人员，清运工作造成的包括乙方工作人员在内的任何第三方的人身或财产损害均由乙方承担赔偿责任。</w:t>
      </w:r>
    </w:p>
    <w:p w14:paraId="1A56EE8F">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B0105C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B1DAD0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75434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8909B6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58159C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7BDEB5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7358"/>
      <w:bookmarkStart w:id="72" w:name="_Toc403569795"/>
      <w:bookmarkStart w:id="73"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CD06A59">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.付款方式：每半年支付一次服务费用，采购方自收到合法发票审核无误后60日内付款。</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03569796"/>
      <w:bookmarkStart w:id="75" w:name="_Toc14840"/>
      <w:bookmarkStart w:id="76" w:name="_Toc485108794"/>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30815"/>
      <w:bookmarkStart w:id="8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54718210"/>
      <w:bookmarkStart w:id="112" w:name="_Toc31719"/>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7172B15">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405DFE9B">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1C134960">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64D0BAE">
      <w:pPr>
        <w:pStyle w:val="52"/>
        <w:spacing w:beforeAutospacing="0" w:afterAutospacing="0" w:line="480" w:lineRule="exact"/>
        <w:jc w:val="center"/>
        <w:rPr>
          <w:rFonts w:cs="MS Shell Dlg"/>
          <w:color w:val="000000" w:themeColor="text1"/>
          <w:sz w:val="28"/>
          <w:szCs w:val="28"/>
          <w14:textFill>
            <w14:solidFill>
              <w14:schemeClr w14:val="tx1"/>
            </w14:solidFill>
          </w14:textFill>
        </w:rPr>
      </w:pPr>
      <w:bookmarkStart w:id="143" w:name="_Toc485108797"/>
      <w:bookmarkStart w:id="144" w:name="_Toc313888361"/>
      <w:bookmarkStart w:id="145" w:name="_Toc480979019"/>
      <w:bookmarkStart w:id="146" w:name="_Toc342913420"/>
      <w:bookmarkStart w:id="147" w:name="_Toc313008357"/>
      <w:r>
        <w:rPr>
          <w:rFonts w:hint="eastAsia" w:cs="MS Shell Dlg"/>
          <w:color w:val="000000" w:themeColor="text1"/>
          <w:sz w:val="28"/>
          <w:szCs w:val="28"/>
          <w14:textFill>
            <w14:solidFill>
              <w14:schemeClr w14:val="tx1"/>
            </w14:solidFill>
          </w14:textFill>
        </w:rPr>
        <w:t>报价表</w:t>
      </w:r>
    </w:p>
    <w:tbl>
      <w:tblPr>
        <w:tblStyle w:val="59"/>
        <w:tblW w:w="9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1262"/>
        <w:gridCol w:w="3252"/>
        <w:gridCol w:w="1710"/>
        <w:gridCol w:w="1692"/>
      </w:tblGrid>
      <w:tr w14:paraId="671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1709" w:type="dxa"/>
            <w:vAlign w:val="center"/>
          </w:tcPr>
          <w:p w14:paraId="55C8AD09">
            <w:pPr>
              <w:pStyle w:val="52"/>
              <w:spacing w:beforeAutospacing="0" w:afterAutospacing="0" w:line="480" w:lineRule="auto"/>
              <w:jc w:val="center"/>
              <w:rPr>
                <w:sz w:val="22"/>
                <w:szCs w:val="28"/>
              </w:rPr>
            </w:pPr>
            <w:r>
              <w:rPr>
                <w:rFonts w:hint="eastAsia"/>
                <w:sz w:val="22"/>
                <w:szCs w:val="28"/>
              </w:rPr>
              <w:t>项目</w:t>
            </w:r>
          </w:p>
        </w:tc>
        <w:tc>
          <w:tcPr>
            <w:tcW w:w="1262" w:type="dxa"/>
            <w:vAlign w:val="center"/>
          </w:tcPr>
          <w:p w14:paraId="0A0BFF0A">
            <w:pPr>
              <w:pStyle w:val="52"/>
              <w:spacing w:beforeAutospacing="0" w:afterAutospacing="0" w:line="480" w:lineRule="auto"/>
              <w:jc w:val="center"/>
              <w:rPr>
                <w:rFonts w:hint="eastAsia" w:eastAsia="宋体"/>
                <w:sz w:val="22"/>
                <w:szCs w:val="28"/>
                <w:lang w:eastAsia="zh-CN"/>
              </w:rPr>
            </w:pPr>
            <w:r>
              <w:rPr>
                <w:rFonts w:hint="eastAsia"/>
                <w:sz w:val="22"/>
                <w:szCs w:val="28"/>
                <w:lang w:eastAsia="zh-CN"/>
              </w:rPr>
              <w:t>最高限价（元</w:t>
            </w:r>
            <w:r>
              <w:rPr>
                <w:rFonts w:hint="eastAsia"/>
                <w:sz w:val="22"/>
                <w:szCs w:val="28"/>
                <w:lang w:val="en-US" w:eastAsia="zh-CN"/>
              </w:rPr>
              <w:t>/月</w:t>
            </w:r>
            <w:r>
              <w:rPr>
                <w:rFonts w:hint="eastAsia"/>
                <w:sz w:val="22"/>
                <w:szCs w:val="28"/>
                <w:lang w:eastAsia="zh-CN"/>
              </w:rPr>
              <w:t>）</w:t>
            </w:r>
          </w:p>
        </w:tc>
        <w:tc>
          <w:tcPr>
            <w:tcW w:w="3252" w:type="dxa"/>
            <w:vAlign w:val="center"/>
          </w:tcPr>
          <w:p w14:paraId="1E8447DC">
            <w:pPr>
              <w:pStyle w:val="52"/>
              <w:spacing w:beforeAutospacing="0" w:afterAutospacing="0" w:line="480" w:lineRule="auto"/>
              <w:jc w:val="center"/>
              <w:rPr>
                <w:sz w:val="22"/>
                <w:szCs w:val="28"/>
              </w:rPr>
            </w:pPr>
            <w:r>
              <w:rPr>
                <w:rFonts w:hint="eastAsia"/>
                <w:sz w:val="22"/>
                <w:szCs w:val="28"/>
              </w:rPr>
              <w:t>价格（元/月）</w:t>
            </w:r>
          </w:p>
        </w:tc>
        <w:tc>
          <w:tcPr>
            <w:tcW w:w="1710" w:type="dxa"/>
            <w:vAlign w:val="center"/>
          </w:tcPr>
          <w:p w14:paraId="00604474">
            <w:pPr>
              <w:pStyle w:val="52"/>
              <w:spacing w:beforeAutospacing="0" w:afterAutospacing="0" w:line="480" w:lineRule="auto"/>
              <w:jc w:val="center"/>
              <w:rPr>
                <w:sz w:val="22"/>
                <w:szCs w:val="28"/>
              </w:rPr>
            </w:pPr>
            <w:r>
              <w:rPr>
                <w:rFonts w:hint="eastAsia"/>
                <w:sz w:val="22"/>
                <w:szCs w:val="28"/>
              </w:rPr>
              <w:t>日期</w:t>
            </w:r>
          </w:p>
        </w:tc>
        <w:tc>
          <w:tcPr>
            <w:tcW w:w="1692" w:type="dxa"/>
            <w:vAlign w:val="center"/>
          </w:tcPr>
          <w:p w14:paraId="57DD9102">
            <w:pPr>
              <w:pStyle w:val="52"/>
              <w:spacing w:beforeAutospacing="0" w:afterAutospacing="0" w:line="480" w:lineRule="auto"/>
              <w:jc w:val="center"/>
              <w:rPr>
                <w:sz w:val="22"/>
                <w:szCs w:val="28"/>
              </w:rPr>
            </w:pPr>
            <w:r>
              <w:rPr>
                <w:sz w:val="22"/>
                <w:szCs w:val="28"/>
              </w:rPr>
              <w:t>备注</w:t>
            </w:r>
          </w:p>
        </w:tc>
      </w:tr>
      <w:tr w14:paraId="116C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1709" w:type="dxa"/>
            <w:vAlign w:val="center"/>
          </w:tcPr>
          <w:p w14:paraId="4C0EBE5A">
            <w:pPr>
              <w:pStyle w:val="52"/>
              <w:spacing w:beforeAutospacing="0" w:afterAutospacing="0" w:line="480" w:lineRule="auto"/>
              <w:jc w:val="center"/>
              <w:rPr>
                <w:sz w:val="22"/>
                <w:szCs w:val="28"/>
              </w:rPr>
            </w:pPr>
            <w:r>
              <w:rPr>
                <w:rFonts w:hint="eastAsia"/>
                <w:sz w:val="22"/>
                <w:szCs w:val="28"/>
              </w:rPr>
              <w:t>生活垃圾清运</w:t>
            </w:r>
          </w:p>
        </w:tc>
        <w:tc>
          <w:tcPr>
            <w:tcW w:w="1262" w:type="dxa"/>
            <w:vAlign w:val="center"/>
          </w:tcPr>
          <w:p w14:paraId="054D475A">
            <w:pPr>
              <w:pStyle w:val="52"/>
              <w:spacing w:beforeAutospacing="0" w:afterAutospacing="0" w:line="480" w:lineRule="auto"/>
              <w:jc w:val="center"/>
              <w:rPr>
                <w:rFonts w:hint="default" w:eastAsia="宋体"/>
                <w:sz w:val="22"/>
                <w:szCs w:val="28"/>
                <w:lang w:val="en-US" w:eastAsia="zh-CN"/>
              </w:rPr>
            </w:pPr>
            <w:r>
              <w:rPr>
                <w:rFonts w:hint="eastAsia"/>
                <w:sz w:val="22"/>
                <w:szCs w:val="28"/>
                <w:lang w:val="en-US" w:eastAsia="zh-CN"/>
              </w:rPr>
              <w:t>540</w:t>
            </w:r>
          </w:p>
        </w:tc>
        <w:tc>
          <w:tcPr>
            <w:tcW w:w="3252" w:type="dxa"/>
            <w:vAlign w:val="center"/>
          </w:tcPr>
          <w:p w14:paraId="5422638C">
            <w:pPr>
              <w:pStyle w:val="52"/>
              <w:spacing w:beforeAutospacing="0" w:afterAutospacing="0" w:line="480" w:lineRule="auto"/>
              <w:jc w:val="center"/>
              <w:rPr>
                <w:sz w:val="22"/>
                <w:szCs w:val="28"/>
              </w:rPr>
            </w:pPr>
          </w:p>
        </w:tc>
        <w:tc>
          <w:tcPr>
            <w:tcW w:w="1710" w:type="dxa"/>
            <w:vAlign w:val="center"/>
          </w:tcPr>
          <w:p w14:paraId="5F0B5069">
            <w:pPr>
              <w:pStyle w:val="52"/>
              <w:spacing w:beforeAutospacing="0" w:afterAutospacing="0" w:line="480" w:lineRule="auto"/>
              <w:rPr>
                <w:sz w:val="22"/>
                <w:szCs w:val="28"/>
              </w:rPr>
            </w:pPr>
            <w:r>
              <w:rPr>
                <w:rFonts w:hint="eastAsia"/>
                <w:sz w:val="22"/>
                <w:szCs w:val="28"/>
              </w:rPr>
              <w:t>2025年2月20日-2025年8月19日</w:t>
            </w:r>
          </w:p>
        </w:tc>
        <w:tc>
          <w:tcPr>
            <w:tcW w:w="1692" w:type="dxa"/>
            <w:vAlign w:val="center"/>
          </w:tcPr>
          <w:p w14:paraId="67857D83">
            <w:pPr>
              <w:pStyle w:val="52"/>
              <w:spacing w:beforeAutospacing="0" w:afterAutospacing="0" w:line="480" w:lineRule="auto"/>
              <w:jc w:val="center"/>
              <w:rPr>
                <w:sz w:val="22"/>
                <w:szCs w:val="28"/>
              </w:rPr>
            </w:pPr>
            <w:r>
              <w:rPr>
                <w:rFonts w:hint="eastAsia"/>
                <w:sz w:val="22"/>
                <w:szCs w:val="28"/>
              </w:rPr>
              <w:t>入住学生135人</w:t>
            </w:r>
          </w:p>
        </w:tc>
      </w:tr>
      <w:tr w14:paraId="288A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709" w:type="dxa"/>
            <w:vAlign w:val="center"/>
          </w:tcPr>
          <w:p w14:paraId="1832CA7C">
            <w:pPr>
              <w:pStyle w:val="52"/>
              <w:spacing w:beforeAutospacing="0" w:afterAutospacing="0" w:line="480" w:lineRule="auto"/>
              <w:jc w:val="center"/>
              <w:rPr>
                <w:sz w:val="22"/>
                <w:szCs w:val="28"/>
              </w:rPr>
            </w:pPr>
            <w:r>
              <w:rPr>
                <w:rFonts w:hint="eastAsia"/>
                <w:sz w:val="22"/>
                <w:szCs w:val="28"/>
              </w:rPr>
              <w:t>生活垃圾清运</w:t>
            </w:r>
          </w:p>
        </w:tc>
        <w:tc>
          <w:tcPr>
            <w:tcW w:w="1262" w:type="dxa"/>
            <w:vAlign w:val="center"/>
          </w:tcPr>
          <w:p w14:paraId="634E59C5">
            <w:pPr>
              <w:pStyle w:val="52"/>
              <w:spacing w:beforeAutospacing="0" w:afterAutospacing="0" w:line="480" w:lineRule="auto"/>
              <w:jc w:val="center"/>
              <w:rPr>
                <w:rFonts w:hint="default" w:eastAsia="宋体"/>
                <w:sz w:val="22"/>
                <w:szCs w:val="28"/>
                <w:lang w:val="en-US" w:eastAsia="zh-CN"/>
              </w:rPr>
            </w:pPr>
            <w:r>
              <w:rPr>
                <w:rFonts w:hint="eastAsia"/>
                <w:sz w:val="22"/>
                <w:szCs w:val="28"/>
                <w:lang w:val="en-US" w:eastAsia="zh-CN"/>
              </w:rPr>
              <w:t>2500</w:t>
            </w:r>
          </w:p>
        </w:tc>
        <w:tc>
          <w:tcPr>
            <w:tcW w:w="3252" w:type="dxa"/>
            <w:vAlign w:val="center"/>
          </w:tcPr>
          <w:p w14:paraId="1ABCC734">
            <w:pPr>
              <w:pStyle w:val="52"/>
              <w:spacing w:beforeAutospacing="0" w:afterAutospacing="0" w:line="480" w:lineRule="auto"/>
              <w:jc w:val="center"/>
              <w:rPr>
                <w:sz w:val="22"/>
                <w:szCs w:val="28"/>
              </w:rPr>
            </w:pPr>
          </w:p>
        </w:tc>
        <w:tc>
          <w:tcPr>
            <w:tcW w:w="1710" w:type="dxa"/>
            <w:vAlign w:val="center"/>
          </w:tcPr>
          <w:p w14:paraId="3E391A9E">
            <w:pPr>
              <w:pStyle w:val="52"/>
              <w:spacing w:beforeAutospacing="0" w:afterAutospacing="0" w:line="480" w:lineRule="auto"/>
              <w:rPr>
                <w:sz w:val="22"/>
                <w:szCs w:val="28"/>
              </w:rPr>
            </w:pPr>
            <w:r>
              <w:rPr>
                <w:rFonts w:hint="eastAsia"/>
                <w:sz w:val="22"/>
                <w:szCs w:val="28"/>
              </w:rPr>
              <w:t>2025年8月20日-2027年5月10日</w:t>
            </w:r>
          </w:p>
        </w:tc>
        <w:tc>
          <w:tcPr>
            <w:tcW w:w="1692" w:type="dxa"/>
            <w:vAlign w:val="center"/>
          </w:tcPr>
          <w:p w14:paraId="74C769A9">
            <w:pPr>
              <w:pStyle w:val="52"/>
              <w:spacing w:beforeAutospacing="0" w:afterAutospacing="0" w:line="480" w:lineRule="auto"/>
              <w:jc w:val="center"/>
              <w:rPr>
                <w:sz w:val="22"/>
                <w:szCs w:val="28"/>
              </w:rPr>
            </w:pPr>
            <w:r>
              <w:rPr>
                <w:rFonts w:hint="eastAsia"/>
                <w:sz w:val="22"/>
                <w:szCs w:val="28"/>
              </w:rPr>
              <w:t>入住学生800人</w:t>
            </w:r>
          </w:p>
        </w:tc>
      </w:tr>
      <w:tr w14:paraId="6A99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971" w:type="dxa"/>
            <w:gridSpan w:val="2"/>
            <w:vAlign w:val="center"/>
          </w:tcPr>
          <w:p w14:paraId="207721C0">
            <w:pPr>
              <w:pStyle w:val="52"/>
              <w:spacing w:beforeAutospacing="0" w:afterAutospacing="0" w:line="480" w:lineRule="auto"/>
              <w:jc w:val="center"/>
              <w:rPr>
                <w:rFonts w:hint="eastAsia" w:eastAsia="宋体"/>
                <w:sz w:val="22"/>
                <w:szCs w:val="28"/>
                <w:lang w:eastAsia="zh-CN"/>
              </w:rPr>
            </w:pPr>
            <w:r>
              <w:rPr>
                <w:rFonts w:hint="eastAsia"/>
                <w:sz w:val="22"/>
                <w:szCs w:val="28"/>
                <w:lang w:eastAsia="zh-CN"/>
              </w:rPr>
              <w:t>共计（元）</w:t>
            </w:r>
          </w:p>
        </w:tc>
        <w:tc>
          <w:tcPr>
            <w:tcW w:w="6654" w:type="dxa"/>
            <w:gridSpan w:val="3"/>
            <w:vAlign w:val="center"/>
          </w:tcPr>
          <w:p w14:paraId="2323E6A5">
            <w:pPr>
              <w:pStyle w:val="52"/>
              <w:spacing w:beforeAutospacing="0" w:afterAutospacing="0" w:line="480" w:lineRule="auto"/>
              <w:jc w:val="center"/>
              <w:rPr>
                <w:rFonts w:hint="eastAsia"/>
                <w:sz w:val="22"/>
                <w:szCs w:val="28"/>
              </w:rPr>
            </w:pPr>
          </w:p>
        </w:tc>
      </w:tr>
    </w:tbl>
    <w:p w14:paraId="1782FC47">
      <w:pPr>
        <w:spacing w:line="360" w:lineRule="auto"/>
        <w:rPr>
          <w:rFonts w:ascii="宋体" w:hAnsi="宋体"/>
          <w:sz w:val="28"/>
          <w:szCs w:val="28"/>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1.报价为包干价，包含但不限于清运费、人工费、车辆维护及维修、燃油费及税金等乙方履行本合同的全部费用。</w:t>
      </w:r>
    </w:p>
    <w:p w14:paraId="1FA6AE67">
      <w:pPr>
        <w:rPr>
          <w:rFonts w:hint="eastAsia" w:ascii="宋体" w:hAnsi="宋体" w:eastAsia="宋体" w:cs="宋体"/>
          <w:b/>
          <w:color w:val="000000" w:themeColor="text1"/>
          <w:shd w:val="clear" w:color="auto" w:fill="auto"/>
          <w14:textFill>
            <w14:solidFill>
              <w14:schemeClr w14:val="tx1"/>
            </w14:solidFill>
          </w14:textFill>
        </w:rPr>
      </w:pPr>
    </w:p>
    <w:p w14:paraId="03297C4E">
      <w:pPr>
        <w:rPr>
          <w:rFonts w:hint="eastAsia" w:ascii="宋体" w:hAnsi="宋体" w:eastAsia="宋体" w:cs="宋体"/>
          <w:b/>
          <w:color w:val="000000" w:themeColor="text1"/>
          <w:shd w:val="clear" w:color="auto" w:fill="auto"/>
          <w14:textFill>
            <w14:solidFill>
              <w14:schemeClr w14:val="tx1"/>
            </w14:solidFill>
          </w14:textFill>
        </w:rPr>
      </w:pPr>
    </w:p>
    <w:p w14:paraId="221CBC1C">
      <w:pPr>
        <w:rPr>
          <w:rFonts w:hint="eastAsia" w:ascii="宋体" w:hAnsi="宋体" w:eastAsia="宋体" w:cs="宋体"/>
          <w:b/>
          <w:color w:val="000000" w:themeColor="text1"/>
          <w:shd w:val="clear" w:color="auto" w:fill="auto"/>
          <w14:textFill>
            <w14:solidFill>
              <w14:schemeClr w14:val="tx1"/>
            </w14:solidFill>
          </w14:textFill>
        </w:rPr>
      </w:pPr>
    </w:p>
    <w:p w14:paraId="0207CDB0">
      <w:pPr>
        <w:rPr>
          <w:rFonts w:hint="eastAsia" w:ascii="宋体" w:hAnsi="宋体" w:eastAsia="宋体" w:cs="宋体"/>
          <w:b/>
          <w:color w:val="000000" w:themeColor="text1"/>
          <w:shd w:val="clear" w:color="auto" w:fill="auto"/>
          <w14:textFill>
            <w14:solidFill>
              <w14:schemeClr w14:val="tx1"/>
            </w14:solidFill>
          </w14:textFill>
        </w:rPr>
      </w:pPr>
    </w:p>
    <w:p w14:paraId="09024841">
      <w:pPr>
        <w:rPr>
          <w:rFonts w:hint="eastAsia" w:ascii="宋体" w:hAnsi="宋体" w:eastAsia="宋体" w:cs="宋体"/>
          <w:b/>
          <w:color w:val="000000" w:themeColor="text1"/>
          <w:shd w:val="clear" w:color="auto" w:fill="auto"/>
          <w14:textFill>
            <w14:solidFill>
              <w14:schemeClr w14:val="tx1"/>
            </w14:solidFill>
          </w14:textFill>
        </w:rPr>
      </w:pPr>
    </w:p>
    <w:p w14:paraId="03D5A45C">
      <w:pPr>
        <w:rPr>
          <w:rFonts w:hint="eastAsia" w:ascii="宋体" w:hAnsi="宋体" w:eastAsia="宋体" w:cs="宋体"/>
          <w:b/>
          <w:color w:val="000000" w:themeColor="text1"/>
          <w:shd w:val="clear" w:color="auto" w:fill="auto"/>
          <w14:textFill>
            <w14:solidFill>
              <w14:schemeClr w14:val="tx1"/>
            </w14:solidFill>
          </w14:textFill>
        </w:rPr>
      </w:pPr>
    </w:p>
    <w:p w14:paraId="6F01D5E7">
      <w:pPr>
        <w:rPr>
          <w:rFonts w:hint="eastAsia" w:ascii="宋体" w:hAnsi="宋体" w:eastAsia="宋体" w:cs="宋体"/>
          <w:b/>
          <w:color w:val="000000" w:themeColor="text1"/>
          <w:shd w:val="clear" w:color="auto" w:fill="auto"/>
          <w14:textFill>
            <w14:solidFill>
              <w14:schemeClr w14:val="tx1"/>
            </w14:solidFill>
          </w14:textFill>
        </w:rPr>
      </w:pPr>
    </w:p>
    <w:p w14:paraId="4A155EB9">
      <w:pPr>
        <w:rPr>
          <w:rFonts w:hint="eastAsia" w:ascii="宋体" w:hAnsi="宋体" w:eastAsia="宋体" w:cs="宋体"/>
          <w:b/>
          <w:color w:val="000000" w:themeColor="text1"/>
          <w:shd w:val="clear" w:color="auto" w:fill="auto"/>
          <w14:textFill>
            <w14:solidFill>
              <w14:schemeClr w14:val="tx1"/>
            </w14:solidFill>
          </w14:textFill>
        </w:rPr>
      </w:pPr>
    </w:p>
    <w:p w14:paraId="444653FC">
      <w:pPr>
        <w:rPr>
          <w:rFonts w:hint="eastAsia" w:ascii="宋体" w:hAnsi="宋体" w:eastAsia="宋体" w:cs="宋体"/>
          <w:b/>
          <w:color w:val="000000" w:themeColor="text1"/>
          <w:shd w:val="clear" w:color="auto" w:fill="auto"/>
          <w14:textFill>
            <w14:solidFill>
              <w14:schemeClr w14:val="tx1"/>
            </w14:solidFill>
          </w14:textFill>
        </w:rPr>
      </w:pPr>
    </w:p>
    <w:p w14:paraId="6975D624">
      <w:pPr>
        <w:rPr>
          <w:rFonts w:hint="eastAsia" w:ascii="宋体" w:hAnsi="宋体" w:eastAsia="宋体" w:cs="宋体"/>
          <w:b/>
          <w:color w:val="000000" w:themeColor="text1"/>
          <w:shd w:val="clear" w:color="auto" w:fill="auto"/>
          <w14:textFill>
            <w14:solidFill>
              <w14:schemeClr w14:val="tx1"/>
            </w14:solidFill>
          </w14:textFill>
        </w:rPr>
      </w:pPr>
    </w:p>
    <w:p w14:paraId="52397527">
      <w:pPr>
        <w:rPr>
          <w:rFonts w:hint="eastAsia" w:ascii="宋体" w:hAnsi="宋体" w:eastAsia="宋体" w:cs="宋体"/>
          <w:b/>
          <w:color w:val="000000" w:themeColor="text1"/>
          <w:shd w:val="clear" w:color="auto" w:fill="auto"/>
          <w14:textFill>
            <w14:solidFill>
              <w14:schemeClr w14:val="tx1"/>
            </w14:solidFill>
          </w14:textFill>
        </w:rPr>
      </w:pPr>
    </w:p>
    <w:p w14:paraId="35D1382C">
      <w:pPr>
        <w:rPr>
          <w:rFonts w:hint="eastAsia" w:ascii="宋体" w:hAnsi="宋体" w:eastAsia="宋体" w:cs="宋体"/>
          <w:b/>
          <w:color w:val="000000" w:themeColor="text1"/>
          <w:shd w:val="clear" w:color="auto" w:fill="auto"/>
          <w14:textFill>
            <w14:solidFill>
              <w14:schemeClr w14:val="tx1"/>
            </w14:solidFill>
          </w14:textFill>
        </w:rPr>
      </w:pPr>
    </w:p>
    <w:p w14:paraId="29F1AD44">
      <w:pPr>
        <w:rPr>
          <w:rFonts w:hint="eastAsia" w:ascii="宋体" w:hAnsi="宋体" w:eastAsia="宋体" w:cs="宋体"/>
          <w:b/>
          <w:color w:val="000000" w:themeColor="text1"/>
          <w:shd w:val="clear" w:color="auto" w:fill="auto"/>
          <w14:textFill>
            <w14:solidFill>
              <w14:schemeClr w14:val="tx1"/>
            </w14:solidFill>
          </w14:textFill>
        </w:rPr>
      </w:pPr>
    </w:p>
    <w:p w14:paraId="3F749E94">
      <w:pPr>
        <w:rPr>
          <w:rFonts w:hint="eastAsia" w:ascii="宋体" w:hAnsi="宋体" w:eastAsia="宋体" w:cs="宋体"/>
          <w:b/>
          <w:color w:val="000000" w:themeColor="text1"/>
          <w:shd w:val="clear" w:color="auto" w:fill="auto"/>
          <w14:textFill>
            <w14:solidFill>
              <w14:schemeClr w14:val="tx1"/>
            </w14:solidFill>
          </w14:textFill>
        </w:rPr>
      </w:pPr>
    </w:p>
    <w:p w14:paraId="6ECB601F">
      <w:pPr>
        <w:rPr>
          <w:rFonts w:hint="eastAsia" w:ascii="宋体" w:hAnsi="宋体" w:eastAsia="宋体" w:cs="宋体"/>
          <w:b/>
          <w:color w:val="000000" w:themeColor="text1"/>
          <w:shd w:val="clear" w:color="auto" w:fill="auto"/>
          <w14:textFill>
            <w14:solidFill>
              <w14:schemeClr w14:val="tx1"/>
            </w14:solidFill>
          </w14:textFill>
        </w:rPr>
      </w:pPr>
    </w:p>
    <w:p w14:paraId="3A8ADD9D">
      <w:pPr>
        <w:rPr>
          <w:rFonts w:hint="eastAsia" w:ascii="宋体" w:hAnsi="宋体" w:eastAsia="宋体" w:cs="宋体"/>
          <w:b/>
          <w:color w:val="000000" w:themeColor="text1"/>
          <w:shd w:val="clear" w:color="auto" w:fill="auto"/>
          <w14:textFill>
            <w14:solidFill>
              <w14:schemeClr w14:val="tx1"/>
            </w14:solidFill>
          </w14:textFill>
        </w:rPr>
      </w:pPr>
    </w:p>
    <w:p w14:paraId="209A0669">
      <w:pPr>
        <w:rPr>
          <w:rFonts w:hint="eastAsia" w:ascii="宋体" w:hAnsi="宋体" w:eastAsia="宋体" w:cs="宋体"/>
          <w:b/>
          <w:color w:val="000000" w:themeColor="text1"/>
          <w:shd w:val="clear" w:color="auto" w:fill="auto"/>
          <w14:textFill>
            <w14:solidFill>
              <w14:schemeClr w14:val="tx1"/>
            </w14:solidFill>
          </w14:textFill>
        </w:rPr>
      </w:pPr>
    </w:p>
    <w:p w14:paraId="75B155FA">
      <w:pPr>
        <w:rPr>
          <w:rFonts w:hint="eastAsia" w:ascii="宋体" w:hAnsi="宋体" w:eastAsia="宋体" w:cs="宋体"/>
          <w:b/>
          <w:color w:val="000000" w:themeColor="text1"/>
          <w:shd w:val="clear" w:color="auto" w:fill="auto"/>
          <w14:textFill>
            <w14:solidFill>
              <w14:schemeClr w14:val="tx1"/>
            </w14:solidFill>
          </w14:textFill>
        </w:rPr>
      </w:pPr>
    </w:p>
    <w:p w14:paraId="24CA42AC">
      <w:pPr>
        <w:rPr>
          <w:rFonts w:hint="eastAsia" w:ascii="宋体" w:hAnsi="宋体" w:eastAsia="宋体" w:cs="宋体"/>
          <w:b/>
          <w:color w:val="000000" w:themeColor="text1"/>
          <w:shd w:val="clear" w:color="auto" w:fill="auto"/>
          <w14:textFill>
            <w14:solidFill>
              <w14:schemeClr w14:val="tx1"/>
            </w14:solidFill>
          </w14:textFill>
        </w:rPr>
      </w:pPr>
    </w:p>
    <w:p w14:paraId="3FD3A1CB">
      <w:pPr>
        <w:rPr>
          <w:rFonts w:hint="eastAsia" w:ascii="宋体" w:hAnsi="宋体" w:eastAsia="宋体" w:cs="宋体"/>
          <w:b/>
          <w:color w:val="000000" w:themeColor="text1"/>
          <w:shd w:val="clear" w:color="auto" w:fill="auto"/>
          <w14:textFill>
            <w14:solidFill>
              <w14:schemeClr w14:val="tx1"/>
            </w14:solidFill>
          </w14:textFill>
        </w:rPr>
      </w:pPr>
    </w:p>
    <w:p w14:paraId="4291E075">
      <w:pPr>
        <w:rPr>
          <w:rFonts w:hint="eastAsia" w:ascii="宋体" w:hAnsi="宋体" w:eastAsia="宋体" w:cs="宋体"/>
          <w:b/>
          <w:color w:val="000000" w:themeColor="text1"/>
          <w:shd w:val="clear" w:color="auto" w:fill="auto"/>
          <w14:textFill>
            <w14:solidFill>
              <w14:schemeClr w14:val="tx1"/>
            </w14:solidFill>
          </w14:textFill>
        </w:rPr>
      </w:pPr>
    </w:p>
    <w:p w14:paraId="32A4FD75">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313008358"/>
      <w:bookmarkStart w:id="151" w:name="_Toc485108798"/>
      <w:bookmarkStart w:id="152" w:name="_Toc480979020"/>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4842BB5">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BE244DA">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008359"/>
      <w:bookmarkStart w:id="155" w:name="_Toc313888363"/>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8F6F625-3B84-4498-91B3-8F3987843BFE}"/>
  </w:font>
  <w:font w:name="MS Shell Dlg">
    <w:altName w:val="Microsoft Sans Serif"/>
    <w:panose1 w:val="020B0604020202020204"/>
    <w:charset w:val="00"/>
    <w:family w:val="swiss"/>
    <w:pitch w:val="default"/>
    <w:sig w:usb0="00000000" w:usb1="00000000" w:usb2="00000029" w:usb3="00000000" w:csb0="000101FF" w:csb1="00000000"/>
    <w:embedRegular r:id="rId2" w:fontKey="{C6EF72AF-6DEA-4B24-BB5E-AFA3B5EE814F}"/>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11523FC"/>
    <w:rsid w:val="11782A26"/>
    <w:rsid w:val="13141499"/>
    <w:rsid w:val="131D034D"/>
    <w:rsid w:val="134E0964"/>
    <w:rsid w:val="13653AA2"/>
    <w:rsid w:val="13D52C1B"/>
    <w:rsid w:val="13F41DC8"/>
    <w:rsid w:val="144B1714"/>
    <w:rsid w:val="14B95EDB"/>
    <w:rsid w:val="14C6168E"/>
    <w:rsid w:val="14C6556D"/>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9D34E8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186A2C"/>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C21444"/>
    <w:rsid w:val="3DD60FEB"/>
    <w:rsid w:val="3DD75419"/>
    <w:rsid w:val="3E263CAA"/>
    <w:rsid w:val="3E491747"/>
    <w:rsid w:val="3E6B192F"/>
    <w:rsid w:val="3EA55BAC"/>
    <w:rsid w:val="3EEF12C4"/>
    <w:rsid w:val="3F150346"/>
    <w:rsid w:val="3F4757B8"/>
    <w:rsid w:val="3F591E5E"/>
    <w:rsid w:val="3F5A6C6F"/>
    <w:rsid w:val="3F6E2185"/>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7F2AAC"/>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B291F"/>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6A40F1"/>
    <w:rsid w:val="658C5E23"/>
    <w:rsid w:val="65F9363E"/>
    <w:rsid w:val="667E25AF"/>
    <w:rsid w:val="66815672"/>
    <w:rsid w:val="67152E14"/>
    <w:rsid w:val="67770DF7"/>
    <w:rsid w:val="679C27B9"/>
    <w:rsid w:val="67CB3049"/>
    <w:rsid w:val="67FF2A16"/>
    <w:rsid w:val="682465CF"/>
    <w:rsid w:val="68EA74FF"/>
    <w:rsid w:val="6972525B"/>
    <w:rsid w:val="69C211FB"/>
    <w:rsid w:val="69FC5E8B"/>
    <w:rsid w:val="6A16113C"/>
    <w:rsid w:val="6AD14E1A"/>
    <w:rsid w:val="6B056872"/>
    <w:rsid w:val="6B1765A5"/>
    <w:rsid w:val="6B217424"/>
    <w:rsid w:val="6B28360F"/>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6203</Words>
  <Characters>6390</Characters>
  <Lines>182</Lines>
  <Paragraphs>51</Paragraphs>
  <TotalTime>2</TotalTime>
  <ScaleCrop>false</ScaleCrop>
  <LinksUpToDate>false</LinksUpToDate>
  <CharactersWithSpaces>6473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2025-02-05T08:13:45Z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