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2025FW005</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1号楼中央空调管道阀门改造服务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0"/>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一月</w:t>
      </w:r>
    </w:p>
    <w:p w14:paraId="54FB0A7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3AF45A">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目   录</w:t>
      </w:r>
    </w:p>
    <w:p w14:paraId="75515588">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TOC \o "1-3" \h \z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_Toc25875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_Toc25875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550B1DD">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_Toc28443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_Toc28443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A4EDE0E">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_Toc6609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val="en-US" w:eastAsia="zh-CN"/>
          <w14:textFill>
            <w14:solidFill>
              <w14:schemeClr w14:val="tx1"/>
            </w14:solidFill>
          </w14:textFill>
        </w:rPr>
        <w:t>二、资金来源</w:t>
      </w:r>
      <w:r>
        <w:rPr>
          <w:rFonts w:hint="eastAsia" w:ascii="宋体" w:hAnsi="宋体" w:cs="宋体"/>
          <w:color w:val="000000" w:themeColor="text1"/>
          <w:szCs w:val="24"/>
          <w:shd w:val="clear" w:color="auto" w:fill="auto"/>
          <w:lang w:val="en-US" w:eastAsia="zh-CN"/>
          <w14:textFill>
            <w14:solidFill>
              <w14:schemeClr w14:val="tx1"/>
            </w14:solidFill>
          </w14:textFill>
        </w:rPr>
        <w:t>与项目预算</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_Toc6609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1DCE9B5">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_Toc23857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三、供应商资格要求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_Toc23857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B0D84">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_Toc11958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四、比选有关说明</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_Toc11958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A091815">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_Toc29866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五、本项目无需购买比选文件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_Toc29866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43A653">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_Toc2806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六、其它有关规定</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_Toc2806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C1DDEC">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_Toc2183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七、防疫要求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_Toc2183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CDE6E">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_Toc9130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八、联系方式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_Toc9130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51ECB57">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_Toc22321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_Toc22321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D118203">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_Toc11386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一、比选费用</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_Toc11386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D70E414">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_Toc8430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_Toc8430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45AB1F7">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_Toc23254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三、比选要求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_Toc23254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993C3EE">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_Toc19143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四、比选程序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_Toc19143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3350003">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_Toc14247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五、评审依据</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_Toc14247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6C5212F">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六、成交原则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DF3A437">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_Toc7135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七、成交通知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_Toc7135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11</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4C52E46">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_Toc12880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八、关于质疑和投诉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_Toc12880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12</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4D57AC1">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_Toc5728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九、签订合同</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_Toc5728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EA2412">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十、其他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CFFE3B">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_Toc11770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_Toc11770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917EE0">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项目概况</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50ABF9">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_Toc18590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w:t>
      </w:r>
      <w:r>
        <w:rPr>
          <w:rFonts w:hint="eastAsia" w:ascii="宋体" w:hAnsi="宋体" w:eastAsia="宋体" w:cs="宋体"/>
          <w:color w:val="000000" w:themeColor="text1"/>
          <w:szCs w:val="24"/>
          <w:shd w:val="clear" w:color="auto" w:fill="auto"/>
          <w:lang w:eastAsia="zh-CN"/>
          <w14:textFill>
            <w14:solidFill>
              <w14:schemeClr w14:val="tx1"/>
            </w14:solidFill>
          </w14:textFill>
        </w:rPr>
        <w:t>需</w:t>
      </w:r>
      <w:r>
        <w:rPr>
          <w:rFonts w:hint="eastAsia" w:ascii="宋体" w:hAnsi="宋体" w:eastAsia="宋体" w:cs="宋体"/>
          <w:color w:val="000000" w:themeColor="text1"/>
          <w:szCs w:val="24"/>
          <w:shd w:val="clear" w:color="auto" w:fill="auto"/>
          <w14:textFill>
            <w14:solidFill>
              <w14:schemeClr w14:val="tx1"/>
            </w14:solidFill>
          </w14:textFill>
        </w:rPr>
        <w:t>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_Toc18590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6D2F55">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_Toc28327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_Toc28327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35E20D8">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_Toc2302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_Toc2302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7330D7A">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_Toc26361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二</w:t>
      </w:r>
      <w:r>
        <w:rPr>
          <w:rFonts w:hint="eastAsia" w:ascii="宋体" w:hAnsi="宋体" w:eastAsia="宋体" w:cs="宋体"/>
          <w:color w:val="000000" w:themeColor="text1"/>
          <w:szCs w:val="24"/>
          <w:shd w:val="clear" w:color="auto" w:fill="auto"/>
          <w14:textFill>
            <w14:solidFill>
              <w14:schemeClr w14:val="tx1"/>
            </w14:solidFill>
          </w14:textFill>
        </w:rPr>
        <w:t>、</w:t>
      </w:r>
      <w:r>
        <w:rPr>
          <w:rFonts w:hint="eastAsia" w:ascii="宋体" w:hAnsi="宋体" w:eastAsia="宋体" w:cs="宋体"/>
          <w:color w:val="000000" w:themeColor="text1"/>
          <w:szCs w:val="24"/>
          <w:shd w:val="clear" w:color="auto" w:fill="auto"/>
          <w:lang w:eastAsia="zh-CN"/>
          <w14:textFill>
            <w14:solidFill>
              <w14:schemeClr w14:val="tx1"/>
            </w14:solidFill>
          </w14:textFill>
        </w:rPr>
        <w:t>知识产权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_Toc26361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127ABF9">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_Toc7358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三</w:t>
      </w:r>
      <w:r>
        <w:rPr>
          <w:rFonts w:hint="eastAsia" w:ascii="宋体" w:hAnsi="宋体" w:eastAsia="宋体" w:cs="宋体"/>
          <w:color w:val="000000" w:themeColor="text1"/>
          <w:szCs w:val="24"/>
          <w:shd w:val="clear" w:color="auto" w:fill="auto"/>
          <w14:textFill>
            <w14:solidFill>
              <w14:schemeClr w14:val="tx1"/>
            </w14:solidFill>
          </w14:textFill>
        </w:rPr>
        <w:t>、其他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_Toc7358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7FE2E0">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_Toc14840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_Toc14840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2D119B7">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_Toc30815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一、定义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_Toc30815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44C3C39">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_Toc17879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w:t>
      </w:r>
      <w:r>
        <w:rPr>
          <w:rFonts w:hint="eastAsia" w:ascii="宋体" w:hAnsi="宋体" w:eastAsia="宋体" w:cs="宋体"/>
          <w:color w:val="000000" w:themeColor="text1"/>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Cs w:val="24"/>
          <w:shd w:val="clear" w:color="auto" w:fill="auto"/>
          <w14:textFill>
            <w14:solidFill>
              <w14:schemeClr w14:val="tx1"/>
            </w14:solidFill>
          </w14:textFill>
        </w:rPr>
        <w:t>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_Toc17879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05BEB55">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_Toc8853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三、合同价格</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_Toc8853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15E0DD">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_Toc24410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四、转包或分包</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_Toc24410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E1E0B90">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_Toc2241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五、质量保证及售后服务</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_Toc2241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185E2D1">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_Toc9053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六、付款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_Toc9053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F845EA">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_Toc11586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、合同争议的解决</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_Toc11586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3C630B">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_Toc26580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八</w:t>
      </w:r>
      <w:r>
        <w:rPr>
          <w:rFonts w:hint="eastAsia" w:ascii="宋体" w:hAnsi="宋体" w:eastAsia="宋体" w:cs="宋体"/>
          <w:color w:val="000000" w:themeColor="text1"/>
          <w:szCs w:val="24"/>
          <w:shd w:val="clear" w:color="auto" w:fill="auto"/>
          <w14:textFill>
            <w14:solidFill>
              <w14:schemeClr w14:val="tx1"/>
            </w14:solidFill>
          </w14:textFill>
        </w:rPr>
        <w:t>、违约责任</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_Toc26580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F2B0032">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_Toc16142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九</w:t>
      </w:r>
      <w:r>
        <w:rPr>
          <w:rFonts w:hint="eastAsia" w:ascii="宋体" w:hAnsi="宋体" w:eastAsia="宋体" w:cs="宋体"/>
          <w:color w:val="000000" w:themeColor="text1"/>
          <w:szCs w:val="24"/>
          <w:shd w:val="clear" w:color="auto" w:fill="auto"/>
          <w14:textFill>
            <w14:solidFill>
              <w14:schemeClr w14:val="tx1"/>
            </w14:solidFill>
          </w14:textFill>
        </w:rPr>
        <w:t>、合同生效及其它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_Toc16142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2D0DED4">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_Toc13696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_Toc13696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AEA0104">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_Toc27382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一、经济部分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_Toc27382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B98A428">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_Toc6305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_Toc6305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5EDB13">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_Toc7207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三、商务部分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_Toc7207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1E117BF">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_Toc18417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四、资格条件及其他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_Toc18417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3CF481A">
      <w:pPr>
        <w:pStyle w:val="45"/>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_Toc19884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五、其他应提供的资料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_Toc19884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20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5A0322">
      <w:pPr>
        <w:jc w:val="both"/>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_Toc23716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19BBA0A7">
      <w:pPr>
        <w:pStyle w:val="37"/>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_Toc23716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E825D01">
      <w:pPr>
        <w:tabs>
          <w:tab w:val="right" w:leader="dot" w:pos="9402"/>
        </w:tabs>
        <w:spacing w:line="480" w:lineRule="exact"/>
        <w:ind w:left="420" w:leftChars="200"/>
        <w:rPr>
          <w:rFonts w:hint="eastAsia" w:ascii="宋体" w:hAnsi="宋体" w:eastAsia="宋体" w:cs="宋体"/>
          <w:color w:val="000000" w:themeColor="text1"/>
          <w:sz w:val="18"/>
          <w:shd w:val="clear" w:color="auto" w:fill="auto"/>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485108766"/>
      <w:bookmarkStart w:id="1" w:name="_Toc12789052"/>
      <w:bookmarkStart w:id="2" w:name="_Toc11641050"/>
      <w:bookmarkStart w:id="3" w:name="_Toc25875"/>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4" w:name="_Toc317775178"/>
      <w:bookmarkStart w:id="5"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1号楼中央空调管道阀门改造服务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28443"/>
      <w:bookmarkStart w:id="7" w:name="_Toc485108767"/>
      <w:bookmarkStart w:id="8" w:name="_Toc313893526"/>
      <w:bookmarkStart w:id="9" w:name="_Toc317775175"/>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1号楼中央空调管道阀门改造服务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质保期：3年及以上</w:t>
            </w:r>
          </w:p>
        </w:tc>
      </w:tr>
    </w:tbl>
    <w:p w14:paraId="00DB30B5">
      <w:pPr>
        <w:pStyle w:val="22"/>
        <w:numPr>
          <w:ilvl w:val="0"/>
          <w:numId w:val="0"/>
        </w:numPr>
        <w:rPr>
          <w:rFonts w:hint="default"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0" w:name="_Toc6609"/>
      <w:bookmarkStart w:id="11"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0"/>
      <w:bookmarkEnd w:id="1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与项目预算：医院自筹，项目预算：18万元。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 w:name="_Toc485108769"/>
      <w:bookmarkStart w:id="13"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2"/>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3"/>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4"/>
      <w:bookmarkEnd w:id="5"/>
      <w:bookmarkStart w:id="14" w:name="_Toc11958"/>
      <w:bookmarkStart w:id="15" w:name="_Toc6"/>
      <w:bookmarkStart w:id="16" w:name="_Toc485108774"/>
      <w:bookmarkStart w:id="17" w:name="_Toc102227313"/>
    </w:p>
    <w:p w14:paraId="7D4E9D56">
      <w:pPr>
        <w:spacing w:line="48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响应单位应具备机电设备安装/水管路安装相关资质及能力并提供证明材料。属于准入类作业的工作，现场工作人员应具备相关准入证书（如电工证、焊工证等）。</w:t>
      </w:r>
    </w:p>
    <w:p w14:paraId="54D434CB">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4"/>
      <w:bookmarkEnd w:id="1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8"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18"/>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9"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19"/>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0"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0"/>
      <w:bookmarkStart w:id="21" w:name="_Toc54171062"/>
      <w:bookmarkStart w:id="22" w:name="_Toc373860294"/>
      <w:bookmarkStart w:id="23" w:name="_Toc54718176"/>
    </w:p>
    <w:bookmarkEnd w:id="21"/>
    <w:bookmarkEnd w:id="22"/>
    <w:bookmarkEnd w:id="23"/>
    <w:p w14:paraId="1FD6A981">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24" w:name="_Toc2806"/>
      <w:bookmarkStart w:id="25" w:name="_Toc1625"/>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4"/>
      <w:bookmarkEnd w:id="25"/>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31390"/>
      <w:bookmarkStart w:id="27"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6"/>
      <w:bookmarkEnd w:id="27"/>
    </w:p>
    <w:bookmarkEnd w:id="16"/>
    <w:bookmarkEnd w:id="17"/>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28"/>
    <w:p w14:paraId="394B3A9D">
      <w:pPr>
        <w:rPr>
          <w:rFonts w:hint="eastAsia" w:ascii="宋体" w:hAnsi="宋体" w:eastAsia="宋体" w:cs="宋体"/>
          <w:color w:val="000000" w:themeColor="text1"/>
          <w:shd w:val="clear" w:color="auto" w:fill="auto"/>
          <w14:textFill>
            <w14:solidFill>
              <w14:schemeClr w14:val="tx1"/>
            </w14:solidFill>
          </w14:textFill>
        </w:rPr>
      </w:pPr>
    </w:p>
    <w:p w14:paraId="265CBA31">
      <w:pPr>
        <w:pStyle w:val="2"/>
        <w:bidi w:val="0"/>
        <w:jc w:val="center"/>
        <w:rPr>
          <w:rFonts w:hint="eastAsia" w:ascii="宋体" w:hAnsi="宋体" w:eastAsia="宋体" w:cs="宋体"/>
          <w:b/>
          <w:bCs/>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29"/>
    </w:p>
    <w:p w14:paraId="7768EA36">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0"/>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000000" w:themeColor="text1"/>
          <w:shd w:val="clear" w:color="auto" w:fill="auto"/>
          <w14:textFill>
            <w14:solidFill>
              <w14:schemeClr w14:val="tx1"/>
            </w14:solidFill>
          </w14:textFill>
        </w:rPr>
      </w:pPr>
      <w:bookmarkStart w:id="31"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1"/>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w:t>
      </w:r>
      <w:bookmarkStart w:id="161" w:name="_GoBack"/>
      <w:bookmarkEnd w:id="161"/>
      <w:r>
        <w:rPr>
          <w:rFonts w:hint="eastAsia" w:ascii="宋体" w:hAnsi="宋体" w:eastAsia="宋体" w:cs="宋体"/>
          <w:color w:val="000000" w:themeColor="text1"/>
          <w:sz w:val="24"/>
          <w:szCs w:val="24"/>
          <w:shd w:val="clear" w:color="auto" w:fill="auto"/>
          <w14:textFill>
            <w14:solidFill>
              <w14:schemeClr w14:val="tx1"/>
            </w14:solidFill>
          </w14:textFill>
        </w:rPr>
        <w:t>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32"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2"/>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报价要求：</w:t>
      </w:r>
    </w:p>
    <w:p w14:paraId="3E06818B">
      <w:pPr>
        <w:pStyle w:val="51"/>
        <w:widowControl/>
        <w:spacing w:before="0" w:beforeAutospacing="0" w:after="0" w:afterAutospacing="0" w:line="460" w:lineRule="exact"/>
        <w:ind w:firstLine="480" w:firstLineChars="200"/>
        <w:rPr>
          <w:rFonts w:hint="eastAsia" w:ascii="宋体" w:hAnsi="宋体" w:eastAsia="宋体" w:cs="宋体"/>
          <w:color w:val="FF0000"/>
          <w:sz w:val="24"/>
          <w:szCs w:val="24"/>
        </w:rPr>
      </w:pPr>
      <w:r>
        <w:rPr>
          <w:rFonts w:hint="eastAsia" w:ascii="宋体" w:hAnsi="宋体" w:eastAsia="宋体" w:cs="宋体"/>
          <w:color w:val="FF0000"/>
          <w:sz w:val="24"/>
          <w:szCs w:val="24"/>
          <w:lang w:val="en-US" w:eastAsia="zh-CN"/>
        </w:rPr>
        <w:t>1.</w:t>
      </w:r>
      <w:r>
        <w:rPr>
          <w:rFonts w:hint="eastAsia" w:ascii="宋体" w:hAnsi="宋体" w:eastAsia="宋体" w:cs="宋体"/>
          <w:color w:val="FF0000"/>
          <w:sz w:val="24"/>
          <w:szCs w:val="24"/>
        </w:rPr>
        <w:t>本次报价须为</w:t>
      </w:r>
      <w:r>
        <w:rPr>
          <w:rFonts w:hint="eastAsia" w:ascii="宋体" w:hAnsi="宋体" w:eastAsia="宋体" w:cs="宋体"/>
          <w:color w:val="FF0000"/>
          <w:sz w:val="24"/>
          <w:szCs w:val="24"/>
          <w:lang w:eastAsia="zh-CN"/>
        </w:rPr>
        <w:t>包干价</w:t>
      </w:r>
      <w:r>
        <w:rPr>
          <w:rFonts w:hint="eastAsia" w:ascii="宋体" w:hAnsi="宋体" w:eastAsia="宋体" w:cs="宋体"/>
          <w:color w:val="FF0000"/>
          <w:sz w:val="24"/>
          <w:szCs w:val="24"/>
        </w:rPr>
        <w:t>，包含使阀门和管路系统达到正常使用条件下的所有货物费、服务费、人工费及提供改造服务所需的设备货物购买（制造）费、车费、住宿费、餐饮费、材料费、保险费、代理费、税金费用等的费用，均由响应单位承担。因响应单位自身原因造成漏报、少报皆由其自行承担责任，采购人不再补偿。</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3" w:name="OLE_LINK8"/>
      <w:bookmarkStart w:id="34" w:name="OLE_LINK9"/>
      <w:bookmarkStart w:id="35" w:name="OLE_LINK3"/>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179714298"/>
      <w:bookmarkStart w:id="37" w:name="_Toc342913393"/>
      <w:bookmarkStart w:id="38" w:name="_Toc403569780"/>
      <w:bookmarkStart w:id="39" w:name="_Toc102227319"/>
      <w:bookmarkStart w:id="40" w:name="_Toc18122"/>
      <w:bookmarkStart w:id="41" w:name="_Toc19143"/>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Align w:val="center"/>
          </w:tcPr>
          <w:p w14:paraId="2651D616">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或202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3</w:t>
            </w:r>
            <w:r>
              <w:rPr>
                <w:rFonts w:hint="eastAsia" w:ascii="宋体" w:hAnsi="宋体" w:eastAsia="宋体" w:cs="宋体"/>
                <w:color w:val="000000" w:themeColor="text1"/>
                <w:szCs w:val="21"/>
                <w:shd w:val="clear" w:color="auto" w:fill="auto"/>
                <w14:textFill>
                  <w14:solidFill>
                    <w14:schemeClr w14:val="tx1"/>
                  </w14:solidFill>
                </w14:textFill>
              </w:rPr>
              <w:t>年度财务状况报告（表）或其基本开户银行出具的资信证明（提供复印件）。</w:t>
            </w:r>
          </w:p>
          <w:p w14:paraId="53355760">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Align w:val="center"/>
          </w:tcPr>
          <w:p w14:paraId="1BA58B19">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1.税务登记证（副本）（提供复印件）。</w:t>
            </w:r>
          </w:p>
          <w:p w14:paraId="6E7EB7A1">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1.供应商提供书面声明（见格式文件）</w:t>
            </w:r>
          </w:p>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r>
              <w:rPr>
                <w:rFonts w:hint="eastAsia" w:ascii="宋体" w:hAnsi="宋体" w:eastAsia="宋体" w:cs="宋体"/>
                <w:b/>
                <w:color w:val="000000" w:themeColor="text1"/>
                <w:szCs w:val="21"/>
                <w:shd w:val="clear" w:color="auto" w:fill="auto"/>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8"/>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14247"/>
      <w:bookmarkStart w:id="43" w:name="_Toc403569781"/>
      <w:bookmarkStart w:id="44" w:name="_Toc28776"/>
      <w:bookmarkStart w:id="45" w:name="_Toc102227320"/>
      <w:bookmarkStart w:id="46"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2"/>
      <w:bookmarkEnd w:id="43"/>
      <w:bookmarkEnd w:id="44"/>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7" w:name="_Toc14816"/>
      <w:bookmarkStart w:id="48" w:name="_Toc403569782"/>
      <w:bookmarkStart w:id="49"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5"/>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0" w:name="_Toc403569783"/>
      <w:bookmarkStart w:id="51" w:name="_Toc342913395"/>
      <w:bookmarkStart w:id="52" w:name="_Toc7135"/>
      <w:bookmarkStart w:id="53" w:name="_Toc102227321"/>
      <w:bookmarkStart w:id="54"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0"/>
      <w:bookmarkEnd w:id="51"/>
      <w:bookmarkEnd w:id="52"/>
      <w:bookmarkEnd w:id="53"/>
      <w:bookmarkEnd w:id="54"/>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5" w:name="_Toc403569784"/>
      <w:bookmarkStart w:id="56" w:name="_Toc12880"/>
      <w:bookmarkStart w:id="57" w:name="_Toc17413"/>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58" w:name="_Toc102227322"/>
      <w:bookmarkStart w:id="59" w:name="_Toc6381"/>
      <w:bookmarkStart w:id="60" w:name="_Toc403569785"/>
      <w:bookmarkStart w:id="61" w:name="_Toc342913396"/>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58"/>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3F1D6D2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B4430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A5B576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EC3EF2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34E9D2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4BDE377">
      <w:pPr>
        <w:pStyle w:val="2"/>
        <w:jc w:val="both"/>
        <w:rPr>
          <w:rFonts w:hint="eastAsia" w:ascii="宋体" w:hAnsi="宋体" w:eastAsia="宋体" w:cs="宋体"/>
          <w:b/>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3" w:name="_Toc11770"/>
      <w:bookmarkStart w:id="64"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3"/>
      <w:bookmarkEnd w:id="64"/>
    </w:p>
    <w:p w14:paraId="53EC4B13">
      <w:pPr>
        <w:spacing w:line="390" w:lineRule="exact"/>
        <w:ind w:firstLine="482"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65" w:name="_Toc12789058"/>
      <w:bookmarkStart w:id="66" w:name="_Toc485108787"/>
      <w:bookmarkStart w:id="67" w:name="_Toc2832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b/>
          <w:bCs/>
          <w:color w:val="000000" w:themeColor="text1"/>
          <w:sz w:val="24"/>
          <w:szCs w:val="24"/>
          <w:shd w:val="clear" w:color="auto" w:fill="auto"/>
          <w14:textFill>
            <w14:solidFill>
              <w14:schemeClr w14:val="tx1"/>
            </w14:solidFill>
          </w14:textFill>
        </w:rPr>
        <w:t>、服务要求</w:t>
      </w:r>
    </w:p>
    <w:p w14:paraId="6B5FF33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设备需求：</w:t>
      </w:r>
    </w:p>
    <w:p w14:paraId="6F9586BD">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本次改造工程将覆盖萱花院区1号楼中央空调冷冻水系统的各楼层管路阀门。具体工作包括对现有阀门进行改造和新装，确保阀门功能正常，并对保温层及吊顶装饰面进行恢复。</w:t>
      </w:r>
    </w:p>
    <w:p w14:paraId="77B1C6F6">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改造所需主要设备/材料明细见下表：</w:t>
      </w:r>
    </w:p>
    <w:tbl>
      <w:tblPr>
        <w:tblStyle w:val="59"/>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2940"/>
        <w:gridCol w:w="1040"/>
        <w:gridCol w:w="1254"/>
        <w:gridCol w:w="981"/>
        <w:gridCol w:w="2136"/>
        <w:gridCol w:w="1166"/>
      </w:tblGrid>
      <w:tr w14:paraId="22869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520" w:type="dxa"/>
            <w:vAlign w:val="center"/>
          </w:tcPr>
          <w:p w14:paraId="6FA61462">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序号</w:t>
            </w:r>
          </w:p>
        </w:tc>
        <w:tc>
          <w:tcPr>
            <w:tcW w:w="3132" w:type="dxa"/>
            <w:vAlign w:val="center"/>
          </w:tcPr>
          <w:p w14:paraId="7EE153A5">
            <w:pPr>
              <w:spacing w:line="390" w:lineRule="exact"/>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产品名称</w:t>
            </w:r>
          </w:p>
        </w:tc>
        <w:tc>
          <w:tcPr>
            <w:tcW w:w="1094" w:type="dxa"/>
            <w:vAlign w:val="center"/>
          </w:tcPr>
          <w:p w14:paraId="0E2A6138">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阀体材质</w:t>
            </w:r>
          </w:p>
        </w:tc>
        <w:tc>
          <w:tcPr>
            <w:tcW w:w="1295" w:type="dxa"/>
            <w:vAlign w:val="center"/>
          </w:tcPr>
          <w:p w14:paraId="174692F9">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规格</w:t>
            </w:r>
          </w:p>
        </w:tc>
        <w:tc>
          <w:tcPr>
            <w:tcW w:w="1030" w:type="dxa"/>
            <w:vAlign w:val="center"/>
          </w:tcPr>
          <w:p w14:paraId="4DD3DF2F">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数量</w:t>
            </w:r>
          </w:p>
        </w:tc>
        <w:tc>
          <w:tcPr>
            <w:tcW w:w="1750" w:type="dxa"/>
            <w:vAlign w:val="center"/>
          </w:tcPr>
          <w:p w14:paraId="24227724">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改造管井位置</w:t>
            </w:r>
          </w:p>
        </w:tc>
        <w:tc>
          <w:tcPr>
            <w:tcW w:w="1210" w:type="dxa"/>
            <w:vAlign w:val="center"/>
          </w:tcPr>
          <w:p w14:paraId="395E0D8B">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5D9B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520" w:type="dxa"/>
            <w:vAlign w:val="center"/>
          </w:tcPr>
          <w:p w14:paraId="5CC49920">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p>
        </w:tc>
        <w:tc>
          <w:tcPr>
            <w:tcW w:w="3132" w:type="dxa"/>
            <w:vAlign w:val="center"/>
          </w:tcPr>
          <w:p w14:paraId="23A70C8C">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手动涡轮传动式偏心硬密封蝶阀</w:t>
            </w:r>
          </w:p>
        </w:tc>
        <w:tc>
          <w:tcPr>
            <w:tcW w:w="1094" w:type="dxa"/>
            <w:vAlign w:val="center"/>
          </w:tcPr>
          <w:p w14:paraId="795918F0">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铸钢</w:t>
            </w:r>
          </w:p>
        </w:tc>
        <w:tc>
          <w:tcPr>
            <w:tcW w:w="1295" w:type="dxa"/>
            <w:vAlign w:val="center"/>
          </w:tcPr>
          <w:p w14:paraId="43E150B2">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DN100</w:t>
            </w:r>
          </w:p>
        </w:tc>
        <w:tc>
          <w:tcPr>
            <w:tcW w:w="1030" w:type="dxa"/>
            <w:vAlign w:val="center"/>
          </w:tcPr>
          <w:p w14:paraId="2A5EEAD2">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w:t>
            </w:r>
          </w:p>
        </w:tc>
        <w:tc>
          <w:tcPr>
            <w:tcW w:w="1750" w:type="dxa"/>
            <w:vAlign w:val="center"/>
          </w:tcPr>
          <w:p w14:paraId="7CEA2C93">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-1F/1F</w:t>
            </w:r>
          </w:p>
        </w:tc>
        <w:tc>
          <w:tcPr>
            <w:tcW w:w="1210" w:type="dxa"/>
            <w:vMerge w:val="restart"/>
            <w:vAlign w:val="center"/>
          </w:tcPr>
          <w:p w14:paraId="4F7A6DE8">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包含法兰盘、垫圈、少量各规格镀锌钢管、不锈钢螺丝、B1橡塑保温材料等</w:t>
            </w:r>
          </w:p>
        </w:tc>
      </w:tr>
      <w:tr w14:paraId="51C6D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520" w:type="dxa"/>
            <w:vAlign w:val="center"/>
          </w:tcPr>
          <w:p w14:paraId="4311DBB6">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p>
        </w:tc>
        <w:tc>
          <w:tcPr>
            <w:tcW w:w="3132" w:type="dxa"/>
            <w:vAlign w:val="center"/>
          </w:tcPr>
          <w:p w14:paraId="2BB98BF7">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手动涡轮传动式偏心硬密封蝶阀</w:t>
            </w:r>
          </w:p>
        </w:tc>
        <w:tc>
          <w:tcPr>
            <w:tcW w:w="1094" w:type="dxa"/>
            <w:vAlign w:val="center"/>
          </w:tcPr>
          <w:p w14:paraId="633BA0D7">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铸钢</w:t>
            </w:r>
          </w:p>
        </w:tc>
        <w:tc>
          <w:tcPr>
            <w:tcW w:w="1295" w:type="dxa"/>
            <w:vAlign w:val="center"/>
          </w:tcPr>
          <w:p w14:paraId="72BEC97C">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DN80</w:t>
            </w:r>
          </w:p>
        </w:tc>
        <w:tc>
          <w:tcPr>
            <w:tcW w:w="1030" w:type="dxa"/>
            <w:vAlign w:val="center"/>
          </w:tcPr>
          <w:p w14:paraId="19D64F60">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58</w:t>
            </w:r>
          </w:p>
        </w:tc>
        <w:tc>
          <w:tcPr>
            <w:tcW w:w="1750" w:type="dxa"/>
            <w:vAlign w:val="center"/>
          </w:tcPr>
          <w:p w14:paraId="3FE10ABD">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1F/2F/5F/6F—16F</w:t>
            </w:r>
          </w:p>
        </w:tc>
        <w:tc>
          <w:tcPr>
            <w:tcW w:w="1210" w:type="dxa"/>
            <w:vMerge w:val="continue"/>
            <w:vAlign w:val="center"/>
          </w:tcPr>
          <w:p w14:paraId="5098CF74">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tc>
      </w:tr>
      <w:tr w14:paraId="7A099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520" w:type="dxa"/>
            <w:shd w:val="clear" w:color="auto" w:fill="auto"/>
            <w:vAlign w:val="center"/>
          </w:tcPr>
          <w:p w14:paraId="47A85539">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w:t>
            </w:r>
          </w:p>
        </w:tc>
        <w:tc>
          <w:tcPr>
            <w:tcW w:w="3132" w:type="dxa"/>
            <w:shd w:val="clear" w:color="auto" w:fill="auto"/>
            <w:vAlign w:val="center"/>
          </w:tcPr>
          <w:p w14:paraId="5DFC2F33">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手动涡轮传动式偏心硬密封蝶阀</w:t>
            </w:r>
          </w:p>
        </w:tc>
        <w:tc>
          <w:tcPr>
            <w:tcW w:w="1094" w:type="dxa"/>
            <w:shd w:val="clear" w:color="auto" w:fill="auto"/>
            <w:vAlign w:val="center"/>
          </w:tcPr>
          <w:p w14:paraId="182B3F13">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铸钢</w:t>
            </w:r>
          </w:p>
        </w:tc>
        <w:tc>
          <w:tcPr>
            <w:tcW w:w="1295" w:type="dxa"/>
            <w:shd w:val="clear" w:color="auto" w:fill="auto"/>
            <w:vAlign w:val="center"/>
          </w:tcPr>
          <w:p w14:paraId="1DE4FEF4">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DN65</w:t>
            </w:r>
          </w:p>
        </w:tc>
        <w:tc>
          <w:tcPr>
            <w:tcW w:w="1030" w:type="dxa"/>
            <w:vAlign w:val="center"/>
          </w:tcPr>
          <w:p w14:paraId="7C82DF00">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26</w:t>
            </w:r>
          </w:p>
        </w:tc>
        <w:tc>
          <w:tcPr>
            <w:tcW w:w="1750" w:type="dxa"/>
            <w:vAlign w:val="center"/>
          </w:tcPr>
          <w:p w14:paraId="23345481">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3F/5F/6F—16F</w:t>
            </w:r>
          </w:p>
        </w:tc>
        <w:tc>
          <w:tcPr>
            <w:tcW w:w="1210" w:type="dxa"/>
            <w:vMerge w:val="continue"/>
            <w:vAlign w:val="center"/>
          </w:tcPr>
          <w:p w14:paraId="7C36319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tc>
      </w:tr>
      <w:tr w14:paraId="5175E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520" w:type="dxa"/>
            <w:shd w:val="clear" w:color="auto" w:fill="auto"/>
            <w:vAlign w:val="center"/>
          </w:tcPr>
          <w:p w14:paraId="4231D78D">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w:t>
            </w:r>
          </w:p>
        </w:tc>
        <w:tc>
          <w:tcPr>
            <w:tcW w:w="3132" w:type="dxa"/>
            <w:shd w:val="clear" w:color="auto" w:fill="auto"/>
            <w:vAlign w:val="center"/>
          </w:tcPr>
          <w:p w14:paraId="22FE7D30">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手动涡轮传动式偏心硬密封蝶阀</w:t>
            </w:r>
          </w:p>
        </w:tc>
        <w:tc>
          <w:tcPr>
            <w:tcW w:w="1094" w:type="dxa"/>
            <w:shd w:val="clear" w:color="auto" w:fill="auto"/>
            <w:vAlign w:val="center"/>
          </w:tcPr>
          <w:p w14:paraId="18530B48">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铸钢</w:t>
            </w:r>
          </w:p>
        </w:tc>
        <w:tc>
          <w:tcPr>
            <w:tcW w:w="1295" w:type="dxa"/>
            <w:shd w:val="clear" w:color="auto" w:fill="auto"/>
            <w:vAlign w:val="center"/>
          </w:tcPr>
          <w:p w14:paraId="295FE3F0">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DN50</w:t>
            </w:r>
          </w:p>
        </w:tc>
        <w:tc>
          <w:tcPr>
            <w:tcW w:w="1030" w:type="dxa"/>
            <w:vAlign w:val="center"/>
          </w:tcPr>
          <w:p w14:paraId="6FA01984">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w:t>
            </w:r>
          </w:p>
        </w:tc>
        <w:tc>
          <w:tcPr>
            <w:tcW w:w="1750" w:type="dxa"/>
            <w:vAlign w:val="center"/>
          </w:tcPr>
          <w:p w14:paraId="1BB4C404">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-1F</w:t>
            </w:r>
          </w:p>
        </w:tc>
        <w:tc>
          <w:tcPr>
            <w:tcW w:w="1210" w:type="dxa"/>
            <w:vMerge w:val="continue"/>
            <w:vAlign w:val="center"/>
          </w:tcPr>
          <w:p w14:paraId="5A15850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tc>
      </w:tr>
    </w:tbl>
    <w:p w14:paraId="2B052C8E">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产品规格及要求：</w:t>
      </w:r>
    </w:p>
    <w:p w14:paraId="31B02AEA">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阀门密封材质选用不锈钢，额定压力（PN）不小于1.6Mpa，适用清水介质，工作温度范围为0-60℃。</w:t>
      </w:r>
    </w:p>
    <w:p w14:paraId="203EE88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响应单位所提供的阀门及配套材料必须是经过出厂检验并确认合格的产品。必须随货提供阀门合格证书以及出厂检测报告原件及复印件。阀门应为半年内生产产品，以签订合同日期为基准日期向前推算。</w:t>
      </w:r>
    </w:p>
    <w:p w14:paraId="6B0109A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阀门需要符合GB/T13927-2022国家标准《工业阀门 压力试验》，并提供证明阀门符合前述国家标准的合格证明文件。</w:t>
      </w:r>
    </w:p>
    <w:p w14:paraId="0225CA4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0E61D9C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本次改造服务内容包括：</w:t>
      </w:r>
    </w:p>
    <w:p w14:paraId="5AEBAFEE">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1.1</w:t>
      </w:r>
      <w:r>
        <w:rPr>
          <w:rFonts w:hint="eastAsia" w:ascii="宋体" w:hAnsi="宋体" w:eastAsia="宋体" w:cs="宋体"/>
          <w:color w:val="000000" w:themeColor="text1"/>
          <w:sz w:val="24"/>
          <w:szCs w:val="24"/>
          <w:shd w:val="clear" w:color="auto" w:fill="auto"/>
          <w14:textFill>
            <w14:solidFill>
              <w14:schemeClr w14:val="tx1"/>
            </w14:solidFill>
          </w14:textFill>
        </w:rPr>
        <w:t>需拆除部分吊顶及吊顶内旧阀门，对局部管路除锈清理后更换新阀门；</w:t>
      </w:r>
    </w:p>
    <w:p w14:paraId="1EC9301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1.2</w:t>
      </w:r>
      <w:r>
        <w:rPr>
          <w:rFonts w:hint="eastAsia" w:ascii="宋体" w:hAnsi="宋体" w:eastAsia="宋体" w:cs="宋体"/>
          <w:color w:val="000000" w:themeColor="text1"/>
          <w:sz w:val="24"/>
          <w:szCs w:val="24"/>
          <w:shd w:val="clear" w:color="auto" w:fill="auto"/>
          <w14:textFill>
            <w14:solidFill>
              <w14:schemeClr w14:val="tx1"/>
            </w14:solidFill>
          </w14:textFill>
        </w:rPr>
        <w:t>需拆除部分管道井内废弃流量计，对局部管路除锈后更换新阀门；</w:t>
      </w:r>
    </w:p>
    <w:p w14:paraId="734B8E3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1.3</w:t>
      </w:r>
      <w:r>
        <w:rPr>
          <w:rFonts w:hint="eastAsia" w:ascii="宋体" w:hAnsi="宋体" w:eastAsia="宋体" w:cs="宋体"/>
          <w:color w:val="000000" w:themeColor="text1"/>
          <w:sz w:val="24"/>
          <w:szCs w:val="24"/>
          <w:shd w:val="clear" w:color="auto" w:fill="auto"/>
          <w14:textFill>
            <w14:solidFill>
              <w14:schemeClr w14:val="tx1"/>
            </w14:solidFill>
          </w14:textFill>
        </w:rPr>
        <w:t>需在部分在管道井内切割管路，对局部管路除锈后更换新阀门。</w:t>
      </w:r>
    </w:p>
    <w:p w14:paraId="70699B2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1.4</w:t>
      </w:r>
      <w:r>
        <w:rPr>
          <w:rFonts w:hint="eastAsia" w:ascii="宋体" w:hAnsi="宋体" w:eastAsia="宋体" w:cs="宋体"/>
          <w:color w:val="000000" w:themeColor="text1"/>
          <w:sz w:val="24"/>
          <w:szCs w:val="24"/>
          <w:shd w:val="clear" w:color="auto" w:fill="auto"/>
          <w14:textFill>
            <w14:solidFill>
              <w14:schemeClr w14:val="tx1"/>
            </w14:solidFill>
          </w14:textFill>
        </w:rPr>
        <w:t>恢复吊顶及管路保温，测试阀门及管路系统密闭性，保证中央空调管路系统正常运行。</w:t>
      </w:r>
    </w:p>
    <w:p w14:paraId="6E898EB9">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000000" w:themeColor="text1"/>
          <w:sz w:val="24"/>
          <w:szCs w:val="24"/>
          <w:shd w:val="clear" w:color="auto" w:fill="auto"/>
          <w14:textFill>
            <w14:solidFill>
              <w14:schemeClr w14:val="tx1"/>
            </w14:solidFill>
          </w14:textFill>
        </w:rPr>
        <w:t>2.响应单位必须独立承担设备的安装与调试任务，在完成后负责将替换下来的废料运送至指定地点，同时确保现场恢复清洁。对于具体的现场施工环境、更换范围以及涉及的设备，必须进行现场勘查，联系电话为：85371292</w:t>
      </w:r>
      <w:r>
        <w:rPr>
          <w:rFonts w:hint="eastAsia" w:ascii="宋体" w:hAnsi="宋体" w:eastAsia="宋体" w:cs="宋体"/>
          <w:color w:val="FF0000"/>
          <w:sz w:val="24"/>
          <w:szCs w:val="24"/>
          <w:shd w:val="clear" w:color="auto" w:fill="auto"/>
          <w:lang w:val="en-US" w:eastAsia="zh-CN"/>
        </w:rPr>
        <w:t>。不到现场勘察的投标人，一旦中标，投标人不得以不完全了解施工现场情况为借口而提出额外赔偿或延长工期的要求，造成一切损失由投标人承担。</w:t>
      </w:r>
    </w:p>
    <w:p w14:paraId="622AA7C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7215A1E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3.本次改造施工中需提供有效降尘除烟措施，设立围挡，文明施工，减少对科室及人员的影响。</w:t>
      </w:r>
    </w:p>
    <w:p w14:paraId="59E22C7E">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4.施工期间造成设备损坏或其他损失，由响应单位负责。若涉及动火、动焊和动电必须按照医院要求报备经审批许可后方能施工。</w:t>
      </w:r>
    </w:p>
    <w:p w14:paraId="4D64DA6F">
      <w:pPr>
        <w:pStyle w:val="51"/>
        <w:widowControl/>
        <w:spacing w:before="0" w:beforeAutospacing="0" w:after="0" w:afterAutospacing="0" w:line="46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5.响应单位在履行合同义务期间给甲方造成的任何损失均由响应单位承担，包括但不限于因维修更换延误科室造成的损失。</w:t>
      </w:r>
    </w:p>
    <w:p w14:paraId="63974400">
      <w:pPr>
        <w:pStyle w:val="37"/>
        <w:jc w:val="both"/>
        <w:rPr>
          <w:rFonts w:hint="default" w:eastAsia="宋体"/>
          <w:lang w:val="en-US" w:eastAsia="zh-CN"/>
        </w:rPr>
      </w:pPr>
    </w:p>
    <w:p w14:paraId="477445CA">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19538631">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AFA82B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DA2AB7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4480936">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3898EC9B">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56D4884">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C896D5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D7C4C7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B43A26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0C64382">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7F50F9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575F9253">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EAA2CE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88DD8ED">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3E2666D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2A609F7">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537690A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2C95F4B">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06C22E4">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CDB5066">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3FA1C3B5">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65"/>
      <w:bookmarkEnd w:id="66"/>
      <w:bookmarkEnd w:id="67"/>
      <w:bookmarkStart w:id="68" w:name="_Toc12789059"/>
      <w:bookmarkStart w:id="69" w:name="_Toc11641055"/>
    </w:p>
    <w:p w14:paraId="5642FEE9">
      <w:pPr>
        <w:pStyle w:val="3"/>
        <w:spacing w:line="240" w:lineRule="auto"/>
        <w:rPr>
          <w:rFonts w:hint="eastAsia" w:ascii="宋体" w:hAnsi="宋体" w:eastAsia="宋体" w:cs="宋体"/>
          <w:b/>
          <w:bCs/>
          <w:kern w:val="2"/>
          <w:sz w:val="24"/>
          <w:szCs w:val="24"/>
          <w:lang w:val="en-US" w:eastAsia="zh-CN" w:bidi="ar-SA"/>
        </w:rPr>
      </w:pPr>
      <w:bookmarkStart w:id="70" w:name="_Toc11645"/>
      <w:bookmarkStart w:id="71" w:name="_Toc485108793"/>
      <w:bookmarkStart w:id="72" w:name="_Toc403569795"/>
      <w:bookmarkStart w:id="73" w:name="_Toc7358"/>
      <w:r>
        <w:rPr>
          <w:rFonts w:hint="eastAsia" w:ascii="宋体" w:hAnsi="宋体" w:eastAsia="宋体" w:cs="宋体"/>
          <w:b/>
          <w:bCs/>
          <w:kern w:val="2"/>
          <w:sz w:val="24"/>
          <w:szCs w:val="24"/>
          <w:lang w:val="en-US" w:eastAsia="zh-CN" w:bidi="ar-SA"/>
        </w:rPr>
        <w:t>一、商务需求</w:t>
      </w:r>
    </w:p>
    <w:bookmarkEnd w:id="70"/>
    <w:bookmarkEnd w:id="71"/>
    <w:bookmarkEnd w:id="72"/>
    <w:bookmarkEnd w:id="73"/>
    <w:p w14:paraId="438F65F0">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维修期限：整个项目维修更换完成时间≤30天，安装时段选择必须与采购方充分沟通，经采购人同意后，选择合理施工时间，不得影响临床工作，并保证中央空调管路系统正常运行。若因延期、产品质量或其他原因影响系统如期正常运行，按合同总金额1%每天扣除合同款。</w:t>
      </w:r>
    </w:p>
    <w:p w14:paraId="23917EBE">
      <w:pPr>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rPr>
        <w:t>质保时间：3年及以上。</w:t>
      </w:r>
    </w:p>
    <w:p w14:paraId="16B36FB8">
      <w:pPr>
        <w:snapToGrid w:val="0"/>
        <w:spacing w:line="40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3.付款方式：合同签订后5日内，服务方向采购方转账支付合同金额的8%作为履约保证金。采购方凭验收资料和合法发票后60日内转账支付合同价款，履约保证金在履约期满1年后无息支付。</w:t>
      </w:r>
    </w:p>
    <w:p w14:paraId="5235ADB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2D0E702E">
      <w:pPr>
        <w:spacing w:line="39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68"/>
      <w:bookmarkEnd w:id="69"/>
      <w:bookmarkStart w:id="74" w:name="_Toc485108794"/>
      <w:bookmarkStart w:id="75" w:name="_Toc14840"/>
      <w:bookmarkStart w:id="76" w:name="_Toc403569796"/>
      <w:bookmarkStart w:id="77" w:name="_Toc303945820"/>
      <w:bookmarkStart w:id="7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74"/>
      <w:bookmarkEnd w:id="75"/>
      <w:bookmarkEnd w:id="76"/>
    </w:p>
    <w:p w14:paraId="5E46A35E">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79" w:name="_Toc54718202"/>
      <w:bookmarkStart w:id="80" w:name="_Toc30815"/>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79"/>
      <w:bookmarkEnd w:id="8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8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8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8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8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85"/>
    </w:p>
    <w:p w14:paraId="484E102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6" w:name="_Toc17879"/>
      <w:bookmarkStart w:id="8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86"/>
      <w:bookmarkEnd w:id="8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8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54718204"/>
      <w:bookmarkStart w:id="9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89"/>
      <w:bookmarkEnd w:id="9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25177"/>
      <w:bookmarkStart w:id="9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9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93"/>
    </w:p>
    <w:p w14:paraId="16BE7E9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92"/>
      <w:bookmarkEnd w:id="9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9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9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97"/>
    </w:p>
    <w:p w14:paraId="0E692A8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241"/>
      <w:bookmarkStart w:id="9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98"/>
      <w:bookmarkEnd w:id="9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00" w:name="_Toc12985"/>
      <w:bookmarkStart w:id="10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0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01"/>
    </w:p>
    <w:p w14:paraId="318F8000">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2" w:name="_Toc54718207"/>
      <w:bookmarkStart w:id="103"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02"/>
      <w:bookmarkEnd w:id="10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0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0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06"/>
    </w:p>
    <w:p w14:paraId="0105B42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586"/>
      <w:bookmarkStart w:id="108"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07"/>
      <w:bookmarkEnd w:id="10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0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1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11" w:name="_Toc31719"/>
      <w:bookmarkStart w:id="112" w:name="_Toc54718210"/>
      <w:bookmarkStart w:id="113" w:name="_Toc26580"/>
      <w:bookmarkStart w:id="11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11"/>
      <w:bookmarkEnd w:id="11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16"/>
    </w:p>
    <w:p w14:paraId="7F490E8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13"/>
      <w:bookmarkEnd w:id="11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1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17"/>
      <w:bookmarkEnd w:id="11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1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2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2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2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23"/>
    </w:p>
    <w:bookmarkEnd w:id="77"/>
    <w:bookmarkEnd w:id="78"/>
    <w:p w14:paraId="15AA2E53">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24" w:name="_Hlt41879464"/>
      <w:bookmarkEnd w:id="124"/>
      <w:bookmarkStart w:id="125" w:name="_Toc12789072"/>
      <w:bookmarkStart w:id="126" w:name="_Toc485108795"/>
      <w:bookmarkStart w:id="127"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25"/>
      <w:bookmarkEnd w:id="126"/>
      <w:bookmarkEnd w:id="127"/>
    </w:p>
    <w:p w14:paraId="3475141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28"/>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29"/>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30"/>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38358147"/>
      <w:bookmarkStart w:id="132" w:name="OLE_LINK11"/>
      <w:bookmarkStart w:id="133"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31"/>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4"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34"/>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74F8954D">
      <w:pPr>
        <w:snapToGrid w:val="0"/>
        <w:spacing w:line="400" w:lineRule="exact"/>
        <w:ind w:firstLine="480" w:firstLineChars="200"/>
        <w:rPr>
          <w:rFonts w:hint="eastAsia" w:ascii="宋体" w:hAnsi="宋体" w:eastAsia="宋体" w:cs="宋体"/>
          <w:color w:val="000000" w:themeColor="text1"/>
          <w:sz w:val="24"/>
          <w:szCs w:val="24"/>
          <w:highlight w:val="yellow"/>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（六）书面声明（格式）</w:t>
      </w:r>
    </w:p>
    <w:p w14:paraId="787ABABD">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（七）税务登记证（副本）复印件</w:t>
      </w:r>
    </w:p>
    <w:p w14:paraId="212D4CC9">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5"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35"/>
    </w:p>
    <w:p w14:paraId="4D84AFC8">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p>
    <w:bookmarkEnd w:id="132"/>
    <w:bookmarkEnd w:id="133"/>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6DE438ED">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firstLineChars="0"/>
        <w:rPr>
          <w:rFonts w:hint="eastAsia" w:ascii="宋体" w:hAnsi="宋体" w:eastAsia="宋体" w:cs="宋体"/>
          <w:b/>
          <w:color w:val="000000" w:themeColor="text1"/>
          <w:shd w:val="clear" w:color="auto" w:fill="auto"/>
          <w14:textFill>
            <w14:solidFill>
              <w14:schemeClr w14:val="tx1"/>
            </w14:solidFill>
          </w14:textFill>
        </w:rPr>
      </w:pPr>
      <w:bookmarkStart w:id="136" w:name="_Toc313008356"/>
      <w:bookmarkStart w:id="137" w:name="_Toc485108796"/>
      <w:bookmarkStart w:id="138" w:name="_Toc342913419"/>
      <w:bookmarkStart w:id="139" w:name="_Toc480979018"/>
      <w:bookmarkStart w:id="140" w:name="_Toc313888360"/>
      <w:bookmarkStart w:id="141" w:name="_Toc283382454"/>
      <w:bookmarkStart w:id="142"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36"/>
      <w:bookmarkEnd w:id="137"/>
      <w:bookmarkEnd w:id="138"/>
      <w:bookmarkEnd w:id="139"/>
      <w:bookmarkEnd w:id="140"/>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41"/>
    <w:bookmarkEnd w:id="142"/>
    <w:p w14:paraId="6B701359">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0"/>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6B52ABB8">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08A08BE">
      <w:pPr>
        <w:pStyle w:val="51"/>
        <w:spacing w:before="0" w:beforeAutospacing="0" w:after="0" w:afterAutospacing="0" w:line="480" w:lineRule="exact"/>
        <w:jc w:val="center"/>
        <w:rPr>
          <w:rFonts w:hint="eastAsia" w:ascii="方正仿宋_GBK" w:hAnsi="Times New Roman" w:eastAsia="方正仿宋_GBK"/>
          <w:color w:val="000000" w:themeColor="text1"/>
          <w:kern w:val="2"/>
          <w:sz w:val="32"/>
          <w:szCs w:val="32"/>
          <w14:textFill>
            <w14:solidFill>
              <w14:schemeClr w14:val="tx1"/>
            </w14:solidFill>
          </w14:textFill>
        </w:rPr>
      </w:pPr>
      <w:bookmarkStart w:id="143" w:name="_Toc313888361"/>
      <w:bookmarkStart w:id="144" w:name="_Toc313008357"/>
      <w:bookmarkStart w:id="145" w:name="_Toc480979019"/>
      <w:bookmarkStart w:id="146" w:name="_Toc342913420"/>
      <w:bookmarkStart w:id="147" w:name="_Toc485108797"/>
      <w:r>
        <w:rPr>
          <w:rFonts w:hint="eastAsia" w:ascii="方正仿宋_GBK" w:hAnsi="Times New Roman" w:eastAsia="方正仿宋_GBK"/>
          <w:color w:val="000000" w:themeColor="text1"/>
          <w:kern w:val="2"/>
          <w:sz w:val="32"/>
          <w:szCs w:val="32"/>
          <w14:textFill>
            <w14:solidFill>
              <w14:schemeClr w14:val="tx1"/>
            </w14:solidFill>
          </w14:textFill>
        </w:rPr>
        <w:t>报 价 表</w:t>
      </w:r>
    </w:p>
    <w:tbl>
      <w:tblPr>
        <w:tblStyle w:val="59"/>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085"/>
        <w:gridCol w:w="456"/>
        <w:gridCol w:w="816"/>
        <w:gridCol w:w="456"/>
        <w:gridCol w:w="775"/>
        <w:gridCol w:w="1166"/>
        <w:gridCol w:w="1575"/>
        <w:gridCol w:w="2137"/>
        <w:gridCol w:w="698"/>
      </w:tblGrid>
      <w:tr w14:paraId="6457B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236" w:type="pct"/>
            <w:vAlign w:val="center"/>
          </w:tcPr>
          <w:p w14:paraId="5F559C9F">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序号</w:t>
            </w:r>
          </w:p>
        </w:tc>
        <w:tc>
          <w:tcPr>
            <w:tcW w:w="565" w:type="pct"/>
            <w:vAlign w:val="center"/>
          </w:tcPr>
          <w:p w14:paraId="198B25BC">
            <w:pPr>
              <w:spacing w:line="390" w:lineRule="exact"/>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产品名称</w:t>
            </w:r>
          </w:p>
        </w:tc>
        <w:tc>
          <w:tcPr>
            <w:tcW w:w="236" w:type="pct"/>
            <w:vAlign w:val="center"/>
          </w:tcPr>
          <w:p w14:paraId="41754D81">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阀体材质</w:t>
            </w:r>
          </w:p>
        </w:tc>
        <w:tc>
          <w:tcPr>
            <w:tcW w:w="424" w:type="pct"/>
            <w:vAlign w:val="center"/>
          </w:tcPr>
          <w:p w14:paraId="70096B24">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规格</w:t>
            </w:r>
          </w:p>
        </w:tc>
        <w:tc>
          <w:tcPr>
            <w:tcW w:w="236" w:type="pct"/>
            <w:vAlign w:val="center"/>
          </w:tcPr>
          <w:p w14:paraId="6E761F2D">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数量</w:t>
            </w:r>
          </w:p>
        </w:tc>
        <w:tc>
          <w:tcPr>
            <w:tcW w:w="404" w:type="pct"/>
            <w:vAlign w:val="center"/>
          </w:tcPr>
          <w:p w14:paraId="2994D204">
            <w:pPr>
              <w:spacing w:line="39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品牌</w:t>
            </w:r>
          </w:p>
        </w:tc>
        <w:tc>
          <w:tcPr>
            <w:tcW w:w="604" w:type="pct"/>
            <w:vAlign w:val="center"/>
          </w:tcPr>
          <w:p w14:paraId="3DCA4DA0">
            <w:pPr>
              <w:spacing w:line="39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单价（元）</w:t>
            </w:r>
          </w:p>
        </w:tc>
        <w:tc>
          <w:tcPr>
            <w:tcW w:w="819" w:type="pct"/>
            <w:vAlign w:val="center"/>
          </w:tcPr>
          <w:p w14:paraId="6905253D">
            <w:pPr>
              <w:spacing w:line="39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小计（元）</w:t>
            </w:r>
          </w:p>
        </w:tc>
        <w:tc>
          <w:tcPr>
            <w:tcW w:w="1109" w:type="pct"/>
            <w:vAlign w:val="center"/>
          </w:tcPr>
          <w:p w14:paraId="5A25FC78">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改造管井位置</w:t>
            </w:r>
          </w:p>
        </w:tc>
        <w:tc>
          <w:tcPr>
            <w:tcW w:w="361" w:type="pct"/>
            <w:vAlign w:val="center"/>
          </w:tcPr>
          <w:p w14:paraId="4308EB89">
            <w:pPr>
              <w:spacing w:line="39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备注</w:t>
            </w:r>
          </w:p>
        </w:tc>
      </w:tr>
      <w:tr w14:paraId="2F0A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36" w:type="pct"/>
            <w:vAlign w:val="center"/>
          </w:tcPr>
          <w:p w14:paraId="2EB10861">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p>
        </w:tc>
        <w:tc>
          <w:tcPr>
            <w:tcW w:w="565" w:type="pct"/>
            <w:vAlign w:val="center"/>
          </w:tcPr>
          <w:p w14:paraId="3BBDDCE7">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手动涡轮传动式偏心硬密封蝶阀</w:t>
            </w:r>
          </w:p>
        </w:tc>
        <w:tc>
          <w:tcPr>
            <w:tcW w:w="236" w:type="pct"/>
            <w:vAlign w:val="center"/>
          </w:tcPr>
          <w:p w14:paraId="7C6681E7">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铸钢</w:t>
            </w:r>
          </w:p>
        </w:tc>
        <w:tc>
          <w:tcPr>
            <w:tcW w:w="424" w:type="pct"/>
            <w:vAlign w:val="center"/>
          </w:tcPr>
          <w:p w14:paraId="5A11C160">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DN100</w:t>
            </w:r>
          </w:p>
        </w:tc>
        <w:tc>
          <w:tcPr>
            <w:tcW w:w="236" w:type="pct"/>
            <w:vAlign w:val="center"/>
          </w:tcPr>
          <w:p w14:paraId="536007A9">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w:t>
            </w:r>
          </w:p>
        </w:tc>
        <w:tc>
          <w:tcPr>
            <w:tcW w:w="404" w:type="pct"/>
            <w:vAlign w:val="center"/>
          </w:tcPr>
          <w:p w14:paraId="660C142D">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604" w:type="pct"/>
            <w:vAlign w:val="center"/>
          </w:tcPr>
          <w:p w14:paraId="597AF8EE">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819" w:type="pct"/>
            <w:vAlign w:val="center"/>
          </w:tcPr>
          <w:p w14:paraId="7B898B03">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1109" w:type="pct"/>
            <w:vAlign w:val="center"/>
          </w:tcPr>
          <w:p w14:paraId="0773530C">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-1F/1F</w:t>
            </w:r>
          </w:p>
        </w:tc>
        <w:tc>
          <w:tcPr>
            <w:tcW w:w="361" w:type="pct"/>
            <w:vMerge w:val="restart"/>
            <w:vAlign w:val="center"/>
          </w:tcPr>
          <w:p w14:paraId="06BE28AF">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包含法兰盘、垫圈、少量各规格镀锌钢管、不锈钢螺丝、B1橡塑保温材料等</w:t>
            </w:r>
          </w:p>
        </w:tc>
      </w:tr>
      <w:tr w14:paraId="4D7BF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236" w:type="pct"/>
            <w:vAlign w:val="center"/>
          </w:tcPr>
          <w:p w14:paraId="39CF3C27">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p>
        </w:tc>
        <w:tc>
          <w:tcPr>
            <w:tcW w:w="565" w:type="pct"/>
            <w:vAlign w:val="center"/>
          </w:tcPr>
          <w:p w14:paraId="7729B1CA">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手动涡轮传动式偏心硬密封蝶阀</w:t>
            </w:r>
          </w:p>
        </w:tc>
        <w:tc>
          <w:tcPr>
            <w:tcW w:w="236" w:type="pct"/>
            <w:vAlign w:val="center"/>
          </w:tcPr>
          <w:p w14:paraId="286A59B8">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铸钢</w:t>
            </w:r>
          </w:p>
        </w:tc>
        <w:tc>
          <w:tcPr>
            <w:tcW w:w="424" w:type="pct"/>
            <w:vAlign w:val="center"/>
          </w:tcPr>
          <w:p w14:paraId="3B39A193">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DN80</w:t>
            </w:r>
          </w:p>
        </w:tc>
        <w:tc>
          <w:tcPr>
            <w:tcW w:w="236" w:type="pct"/>
            <w:vAlign w:val="center"/>
          </w:tcPr>
          <w:p w14:paraId="3E7ECD20">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58</w:t>
            </w:r>
          </w:p>
        </w:tc>
        <w:tc>
          <w:tcPr>
            <w:tcW w:w="404" w:type="pct"/>
            <w:vAlign w:val="center"/>
          </w:tcPr>
          <w:p w14:paraId="17D47430">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604" w:type="pct"/>
            <w:vAlign w:val="center"/>
          </w:tcPr>
          <w:p w14:paraId="32957E54">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819" w:type="pct"/>
            <w:vAlign w:val="center"/>
          </w:tcPr>
          <w:p w14:paraId="507A0A12">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1109" w:type="pct"/>
            <w:vAlign w:val="center"/>
          </w:tcPr>
          <w:p w14:paraId="3E89FECE">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1F/2F/5F/6F—16F</w:t>
            </w:r>
          </w:p>
        </w:tc>
        <w:tc>
          <w:tcPr>
            <w:tcW w:w="361" w:type="pct"/>
            <w:vMerge w:val="continue"/>
            <w:vAlign w:val="center"/>
          </w:tcPr>
          <w:p w14:paraId="2C3E392A">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p>
        </w:tc>
      </w:tr>
      <w:tr w14:paraId="305D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236" w:type="pct"/>
            <w:shd w:val="clear" w:color="auto" w:fill="auto"/>
            <w:vAlign w:val="center"/>
          </w:tcPr>
          <w:p w14:paraId="37E4EB33">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w:t>
            </w:r>
          </w:p>
        </w:tc>
        <w:tc>
          <w:tcPr>
            <w:tcW w:w="565" w:type="pct"/>
            <w:shd w:val="clear" w:color="auto" w:fill="auto"/>
            <w:vAlign w:val="center"/>
          </w:tcPr>
          <w:p w14:paraId="0257A692">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手动涡轮传动式偏心硬密封蝶阀</w:t>
            </w:r>
          </w:p>
        </w:tc>
        <w:tc>
          <w:tcPr>
            <w:tcW w:w="236" w:type="pct"/>
            <w:shd w:val="clear" w:color="auto" w:fill="auto"/>
            <w:vAlign w:val="center"/>
          </w:tcPr>
          <w:p w14:paraId="38D72F0C">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铸钢</w:t>
            </w:r>
          </w:p>
        </w:tc>
        <w:tc>
          <w:tcPr>
            <w:tcW w:w="424" w:type="pct"/>
            <w:shd w:val="clear" w:color="auto" w:fill="auto"/>
            <w:vAlign w:val="center"/>
          </w:tcPr>
          <w:p w14:paraId="04E42915">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DN65</w:t>
            </w:r>
          </w:p>
        </w:tc>
        <w:tc>
          <w:tcPr>
            <w:tcW w:w="236" w:type="pct"/>
            <w:vAlign w:val="center"/>
          </w:tcPr>
          <w:p w14:paraId="36C116BC">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26</w:t>
            </w:r>
          </w:p>
        </w:tc>
        <w:tc>
          <w:tcPr>
            <w:tcW w:w="404" w:type="pct"/>
            <w:vAlign w:val="center"/>
          </w:tcPr>
          <w:p w14:paraId="13318304">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604" w:type="pct"/>
            <w:vAlign w:val="center"/>
          </w:tcPr>
          <w:p w14:paraId="3D7ADAD2">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819" w:type="pct"/>
            <w:vAlign w:val="center"/>
          </w:tcPr>
          <w:p w14:paraId="30DE73E6">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1109" w:type="pct"/>
            <w:vAlign w:val="center"/>
          </w:tcPr>
          <w:p w14:paraId="1854F648">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3F/5F/6F—16F</w:t>
            </w:r>
          </w:p>
        </w:tc>
        <w:tc>
          <w:tcPr>
            <w:tcW w:w="361" w:type="pct"/>
            <w:vMerge w:val="continue"/>
            <w:vAlign w:val="center"/>
          </w:tcPr>
          <w:p w14:paraId="6851857B">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p>
        </w:tc>
      </w:tr>
      <w:tr w14:paraId="623C8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trPr>
        <w:tc>
          <w:tcPr>
            <w:tcW w:w="236" w:type="pct"/>
            <w:shd w:val="clear" w:color="auto" w:fill="auto"/>
            <w:vAlign w:val="center"/>
          </w:tcPr>
          <w:p w14:paraId="43BF31E2">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w:t>
            </w:r>
          </w:p>
        </w:tc>
        <w:tc>
          <w:tcPr>
            <w:tcW w:w="565" w:type="pct"/>
            <w:shd w:val="clear" w:color="auto" w:fill="auto"/>
            <w:vAlign w:val="center"/>
          </w:tcPr>
          <w:p w14:paraId="6E306390">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手动涡轮传动式偏心硬密封蝶阀</w:t>
            </w:r>
          </w:p>
        </w:tc>
        <w:tc>
          <w:tcPr>
            <w:tcW w:w="236" w:type="pct"/>
            <w:shd w:val="clear" w:color="auto" w:fill="auto"/>
            <w:vAlign w:val="center"/>
          </w:tcPr>
          <w:p w14:paraId="7EC29904">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铸钢</w:t>
            </w:r>
          </w:p>
        </w:tc>
        <w:tc>
          <w:tcPr>
            <w:tcW w:w="424" w:type="pct"/>
            <w:shd w:val="clear" w:color="auto" w:fill="auto"/>
            <w:vAlign w:val="center"/>
          </w:tcPr>
          <w:p w14:paraId="543B4824">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DN50</w:t>
            </w:r>
          </w:p>
        </w:tc>
        <w:tc>
          <w:tcPr>
            <w:tcW w:w="236" w:type="pct"/>
            <w:vAlign w:val="center"/>
          </w:tcPr>
          <w:p w14:paraId="162F3A4D">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w:t>
            </w:r>
          </w:p>
        </w:tc>
        <w:tc>
          <w:tcPr>
            <w:tcW w:w="404" w:type="pct"/>
            <w:vAlign w:val="center"/>
          </w:tcPr>
          <w:p w14:paraId="0D837C7C">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604" w:type="pct"/>
            <w:vAlign w:val="center"/>
          </w:tcPr>
          <w:p w14:paraId="0351DD5D">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819" w:type="pct"/>
            <w:vAlign w:val="center"/>
          </w:tcPr>
          <w:p w14:paraId="4416EE8B">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p>
        </w:tc>
        <w:tc>
          <w:tcPr>
            <w:tcW w:w="1109" w:type="pct"/>
            <w:vAlign w:val="center"/>
          </w:tcPr>
          <w:p w14:paraId="381C0E99">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-1F</w:t>
            </w:r>
          </w:p>
        </w:tc>
        <w:tc>
          <w:tcPr>
            <w:tcW w:w="361" w:type="pct"/>
            <w:vMerge w:val="continue"/>
            <w:vAlign w:val="center"/>
          </w:tcPr>
          <w:p w14:paraId="4D0D351B">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p>
        </w:tc>
      </w:tr>
      <w:tr w14:paraId="59EDD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708" w:type="pct"/>
            <w:gridSpan w:val="7"/>
            <w:shd w:val="clear" w:color="auto" w:fill="auto"/>
            <w:vAlign w:val="center"/>
          </w:tcPr>
          <w:p w14:paraId="68F3BFD6">
            <w:pPr>
              <w:spacing w:line="39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总计（元）：</w:t>
            </w:r>
          </w:p>
        </w:tc>
        <w:tc>
          <w:tcPr>
            <w:tcW w:w="2291" w:type="pct"/>
            <w:gridSpan w:val="3"/>
            <w:vAlign w:val="center"/>
          </w:tcPr>
          <w:p w14:paraId="3B9284E3">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p>
        </w:tc>
      </w:tr>
      <w:tr w14:paraId="49DA3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2708" w:type="pct"/>
            <w:gridSpan w:val="7"/>
            <w:shd w:val="clear" w:color="auto" w:fill="auto"/>
            <w:vAlign w:val="center"/>
          </w:tcPr>
          <w:p w14:paraId="62B55478">
            <w:pPr>
              <w:spacing w:line="39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质保期（年）：</w:t>
            </w:r>
          </w:p>
        </w:tc>
        <w:tc>
          <w:tcPr>
            <w:tcW w:w="2291" w:type="pct"/>
            <w:gridSpan w:val="3"/>
            <w:vAlign w:val="center"/>
          </w:tcPr>
          <w:p w14:paraId="0F0EB810">
            <w:pPr>
              <w:spacing w:line="39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p>
        </w:tc>
      </w:tr>
    </w:tbl>
    <w:p w14:paraId="57E7AFE3">
      <w:pPr>
        <w:pStyle w:val="269"/>
        <w:numPr>
          <w:ilvl w:val="0"/>
          <w:numId w:val="14"/>
        </w:numPr>
        <w:spacing w:line="560" w:lineRule="exact"/>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FF0000"/>
          <w:sz w:val="24"/>
          <w:szCs w:val="24"/>
        </w:rPr>
        <w:t>本次报价须为</w:t>
      </w:r>
      <w:r>
        <w:rPr>
          <w:rFonts w:hint="eastAsia" w:ascii="宋体" w:hAnsi="宋体" w:eastAsia="宋体" w:cs="宋体"/>
          <w:color w:val="FF0000"/>
          <w:sz w:val="24"/>
          <w:szCs w:val="24"/>
          <w:lang w:eastAsia="zh-CN"/>
        </w:rPr>
        <w:t>包干价</w:t>
      </w:r>
      <w:r>
        <w:rPr>
          <w:rFonts w:hint="eastAsia" w:ascii="宋体" w:hAnsi="宋体" w:eastAsia="宋体" w:cs="宋体"/>
          <w:color w:val="FF0000"/>
          <w:sz w:val="24"/>
          <w:szCs w:val="24"/>
        </w:rPr>
        <w:t>，包含使阀门和管路系统达到正常使用条件下的所有货物费、服务费、人工费及提供改造服务所需的设备货物购买（制造）费、车费、住宿费、餐饮费、材料费、保险费、代理费、税金费用等的费用，均由响应单位承担。因响应单位自身原因造成漏报、少报皆由其自行承担责任，采购人不再补偿</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w:t>
      </w:r>
    </w:p>
    <w:p w14:paraId="6E298DFA">
      <w:pPr>
        <w:pStyle w:val="269"/>
        <w:numPr>
          <w:ilvl w:val="0"/>
          <w:numId w:val="14"/>
        </w:numPr>
        <w:spacing w:line="560" w:lineRule="exact"/>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本表可拓展。</w:t>
      </w:r>
    </w:p>
    <w:p w14:paraId="1B4CFAE5">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43"/>
      <w:bookmarkEnd w:id="144"/>
      <w:bookmarkEnd w:id="145"/>
      <w:bookmarkEnd w:id="146"/>
      <w:bookmarkEnd w:id="147"/>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48" w:name="_Toc485108798"/>
      <w:bookmarkStart w:id="149" w:name="_Toc313008358"/>
      <w:bookmarkStart w:id="150" w:name="_Toc480979020"/>
      <w:bookmarkStart w:id="151" w:name="_Toc342913421"/>
      <w:bookmarkStart w:id="152" w:name="_Toc313888362"/>
      <w:r>
        <w:rPr>
          <w:rFonts w:hint="eastAsia" w:ascii="宋体" w:hAnsi="宋体" w:eastAsia="宋体" w:cs="宋体"/>
          <w:b/>
          <w:color w:val="000000" w:themeColor="text1"/>
          <w:shd w:val="clear" w:color="auto" w:fill="auto"/>
          <w14:textFill>
            <w14:solidFill>
              <w14:schemeClr w14:val="tx1"/>
            </w14:solidFill>
          </w14:textFill>
        </w:rPr>
        <w:t>三、商务部分</w:t>
      </w:r>
      <w:bookmarkEnd w:id="148"/>
      <w:bookmarkEnd w:id="149"/>
      <w:bookmarkEnd w:id="150"/>
      <w:bookmarkEnd w:id="151"/>
      <w:bookmarkEnd w:id="152"/>
    </w:p>
    <w:p w14:paraId="355E48A2">
      <w:pPr>
        <w:spacing w:line="360" w:lineRule="auto"/>
        <w:ind w:firstLine="48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p>
    <w:p w14:paraId="5B27D77E">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53"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7ED810C3">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四、资格条件及其他</w:t>
      </w:r>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53"/>
      <w:bookmarkStart w:id="154" w:name="_Toc313888363"/>
      <w:bookmarkStart w:id="155" w:name="_Toc313008359"/>
      <w:bookmarkStart w:id="156"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54"/>
      <w:bookmarkEnd w:id="155"/>
      <w:bookmarkEnd w:id="156"/>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39BAD07F">
      <w:pPr>
        <w:tabs>
          <w:tab w:val="left" w:pos="6300"/>
        </w:tabs>
        <w:snapToGrid w:val="0"/>
        <w:spacing w:line="500" w:lineRule="exact"/>
        <w:ind w:firstLine="48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p>
    <w:p w14:paraId="15615AB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D29E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44DD4A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6FF353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DD7E3E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703A86A">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0BD9CB2">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8A2864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93CB0E6">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3BB77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DFFA1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3D1CCA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5EDF9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7BDE96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ED0E31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97BD05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6FB343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E096E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C2465A3">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4B009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0ED2D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BC709E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F4B55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825A98">
      <w:pPr>
        <w:tabs>
          <w:tab w:val="left" w:pos="6300"/>
        </w:tabs>
        <w:snapToGrid w:val="0"/>
        <w:spacing w:line="500" w:lineRule="exact"/>
        <w:rPr>
          <w:rFonts w:hint="eastAsia" w:ascii="宋体" w:hAnsi="宋体" w:eastAsia="宋体" w:cs="宋体"/>
          <w:color w:val="000000" w:themeColor="text1"/>
          <w:sz w:val="28"/>
          <w:szCs w:val="20"/>
          <w:shd w:val="clear" w:color="auto" w:fill="auto"/>
          <w14:textFill>
            <w14:solidFill>
              <w14:schemeClr w14:val="tx1"/>
            </w14:solidFill>
          </w14:textFill>
        </w:rPr>
      </w:pPr>
    </w:p>
    <w:p w14:paraId="1122587C">
      <w:pPr>
        <w:tabs>
          <w:tab w:val="left" w:pos="6300"/>
        </w:tabs>
        <w:snapToGrid w:val="0"/>
        <w:spacing w:line="500" w:lineRule="exact"/>
        <w:ind w:firstLine="56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（六）书面声明</w:t>
      </w:r>
    </w:p>
    <w:p w14:paraId="44683994">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68A767E">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0F7F123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61C07EB">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6D188945">
      <w:pPr>
        <w:spacing w:line="440" w:lineRule="exact"/>
        <w:ind w:firstLine="480" w:firstLineChars="2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8"/>
          <w:shd w:val="clear" w:color="auto" w:fill="auto"/>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特此声明。</w:t>
      </w:r>
    </w:p>
    <w:p w14:paraId="024D6A3F">
      <w:pPr>
        <w:tabs>
          <w:tab w:val="left" w:pos="6300"/>
        </w:tabs>
        <w:snapToGrid w:val="0"/>
        <w:spacing w:line="500" w:lineRule="exact"/>
        <w:jc w:val="center"/>
        <w:rPr>
          <w:rFonts w:hint="eastAsia" w:ascii="宋体" w:hAnsi="宋体" w:eastAsia="宋体" w:cs="宋体"/>
          <w:color w:val="000000" w:themeColor="text1"/>
          <w:sz w:val="24"/>
          <w:szCs w:val="28"/>
          <w:shd w:val="clear" w:color="auto" w:fill="auto"/>
          <w14:textFill>
            <w14:solidFill>
              <w14:schemeClr w14:val="tx1"/>
            </w14:solidFill>
          </w14:textFill>
        </w:rPr>
      </w:pPr>
    </w:p>
    <w:p w14:paraId="01CCA724">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p>
    <w:p w14:paraId="2C089E5B">
      <w:pPr>
        <w:tabs>
          <w:tab w:val="left" w:pos="6300"/>
        </w:tabs>
        <w:snapToGrid w:val="0"/>
        <w:spacing w:line="500" w:lineRule="exact"/>
        <w:ind w:firstLine="6480" w:firstLineChars="27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p>
    <w:p w14:paraId="01304D9A">
      <w:pPr>
        <w:tabs>
          <w:tab w:val="left" w:pos="6300"/>
        </w:tabs>
        <w:snapToGrid w:val="0"/>
        <w:spacing w:line="360" w:lineRule="auto"/>
        <w:ind w:right="132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620C87AE">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1B82A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3A75A04">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C5DEB5C">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39F2DB25">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75641F29">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0BE637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3473D9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914AC6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412AC5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1CC6023A">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62066B72">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DE11C3B">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bookmarkStart w:id="157" w:name="OLE_LINK7"/>
      <w:bookmarkStart w:id="158" w:name="OLE_LINK4"/>
    </w:p>
    <w:p w14:paraId="6E174C50">
      <w:pPr>
        <w:tabs>
          <w:tab w:val="left" w:pos="6300"/>
        </w:tabs>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（七）</w:t>
      </w:r>
      <w:r>
        <w:rPr>
          <w:rFonts w:hint="eastAsia" w:ascii="宋体" w:hAnsi="宋体" w:eastAsia="宋体" w:cs="宋体"/>
          <w:color w:val="000000" w:themeColor="text1"/>
          <w:sz w:val="28"/>
          <w:szCs w:val="28"/>
          <w:shd w:val="clear" w:color="auto" w:fill="auto"/>
          <w14:textFill>
            <w14:solidFill>
              <w14:schemeClr w14:val="tx1"/>
            </w14:solidFill>
          </w14:textFill>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（八）</w:t>
      </w:r>
      <w:r>
        <w:rPr>
          <w:rFonts w:hint="eastAsia" w:ascii="宋体" w:hAnsi="宋体" w:eastAsia="宋体" w:cs="宋体"/>
          <w:color w:val="000000" w:themeColor="text1"/>
          <w:sz w:val="28"/>
          <w:szCs w:val="20"/>
          <w:shd w:val="clear" w:color="auto" w:fill="auto"/>
          <w14:textFill>
            <w14:solidFill>
              <w14:schemeClr w14:val="tx1"/>
            </w14:solidFill>
          </w14:textFill>
        </w:rPr>
        <w:t>社会保险缴纳证明材料</w:t>
      </w:r>
    </w:p>
    <w:p w14:paraId="60ECBEB7">
      <w:pPr>
        <w:widowControl/>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bookmarkEnd w:id="157"/>
    <w:bookmarkEnd w:id="158"/>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（九）特定资格条件证书或证明文件</w:t>
      </w:r>
      <w:r>
        <w:rPr>
          <w:rFonts w:hint="eastAsia" w:ascii="宋体" w:hAnsi="宋体" w:eastAsia="宋体" w:cs="宋体"/>
          <w:color w:val="000000" w:themeColor="text1"/>
          <w:szCs w:val="28"/>
          <w:shd w:val="clear" w:color="auto" w:fill="auto"/>
          <w14:textFill>
            <w14:solidFill>
              <w14:schemeClr w14:val="tx1"/>
            </w14:solidFill>
          </w14:textFill>
        </w:rPr>
        <w:t>（如果有）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bookmarkStart w:id="159" w:name="_Toc27212"/>
      <w:bookmarkStart w:id="160"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p>
    <w:bookmarkEnd w:id="159"/>
    <w:bookmarkEnd w:id="160"/>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1" w:fontKey="{3260374B-C1F2-4F45-A820-6FC7F9E4EB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EC7A8A4"/>
    <w:multiLevelType w:val="singleLevel"/>
    <w:tmpl w:val="7EC7A8A4"/>
    <w:lvl w:ilvl="0" w:tentative="0">
      <w:start w:val="1"/>
      <w:numFmt w:val="decimal"/>
      <w:lvlText w:val="%1."/>
      <w:lvlJc w:val="left"/>
      <w:pPr>
        <w:tabs>
          <w:tab w:val="left" w:pos="312"/>
        </w:tabs>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655B8"/>
    <w:rsid w:val="037759DB"/>
    <w:rsid w:val="03BB3ADF"/>
    <w:rsid w:val="03C2134C"/>
    <w:rsid w:val="04DA26C6"/>
    <w:rsid w:val="04F00597"/>
    <w:rsid w:val="05E64439"/>
    <w:rsid w:val="05E94CDF"/>
    <w:rsid w:val="060E092E"/>
    <w:rsid w:val="065A1406"/>
    <w:rsid w:val="06A45EA9"/>
    <w:rsid w:val="06BC1BB0"/>
    <w:rsid w:val="074B1659"/>
    <w:rsid w:val="07911761"/>
    <w:rsid w:val="07C5765D"/>
    <w:rsid w:val="07F26429"/>
    <w:rsid w:val="084C34CD"/>
    <w:rsid w:val="094176DB"/>
    <w:rsid w:val="0ACD7F82"/>
    <w:rsid w:val="0ACF458A"/>
    <w:rsid w:val="0B6515A1"/>
    <w:rsid w:val="0B6F68C5"/>
    <w:rsid w:val="0BAE21B6"/>
    <w:rsid w:val="0BDC31C7"/>
    <w:rsid w:val="0BE1258C"/>
    <w:rsid w:val="0BE64970"/>
    <w:rsid w:val="0C033E70"/>
    <w:rsid w:val="0C3152C1"/>
    <w:rsid w:val="0C481EEF"/>
    <w:rsid w:val="0C931BB2"/>
    <w:rsid w:val="0C975B64"/>
    <w:rsid w:val="0C9D3992"/>
    <w:rsid w:val="0CA63E0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1014334F"/>
    <w:rsid w:val="10246EEB"/>
    <w:rsid w:val="103D00B3"/>
    <w:rsid w:val="10413B50"/>
    <w:rsid w:val="104D689B"/>
    <w:rsid w:val="108250DC"/>
    <w:rsid w:val="109D57E0"/>
    <w:rsid w:val="10BF5E9B"/>
    <w:rsid w:val="111523FC"/>
    <w:rsid w:val="11782A26"/>
    <w:rsid w:val="13141499"/>
    <w:rsid w:val="131D034D"/>
    <w:rsid w:val="134E0964"/>
    <w:rsid w:val="13653AA2"/>
    <w:rsid w:val="13D52C1B"/>
    <w:rsid w:val="13F41DC8"/>
    <w:rsid w:val="14942891"/>
    <w:rsid w:val="14B95EDB"/>
    <w:rsid w:val="14C6168E"/>
    <w:rsid w:val="14C6556D"/>
    <w:rsid w:val="1554725E"/>
    <w:rsid w:val="15604521"/>
    <w:rsid w:val="156125ED"/>
    <w:rsid w:val="158D32E0"/>
    <w:rsid w:val="17E52B34"/>
    <w:rsid w:val="18130842"/>
    <w:rsid w:val="18465822"/>
    <w:rsid w:val="18675712"/>
    <w:rsid w:val="18E50010"/>
    <w:rsid w:val="18F71640"/>
    <w:rsid w:val="19394057"/>
    <w:rsid w:val="19B7492C"/>
    <w:rsid w:val="1A511E59"/>
    <w:rsid w:val="1A705757"/>
    <w:rsid w:val="1B1D5FE3"/>
    <w:rsid w:val="1B484046"/>
    <w:rsid w:val="1B4A5E5B"/>
    <w:rsid w:val="1B925650"/>
    <w:rsid w:val="1C0025BA"/>
    <w:rsid w:val="1C66752D"/>
    <w:rsid w:val="1C6945DA"/>
    <w:rsid w:val="1CAC301B"/>
    <w:rsid w:val="1CED540D"/>
    <w:rsid w:val="1CF33ECD"/>
    <w:rsid w:val="1CF736B7"/>
    <w:rsid w:val="1D632E00"/>
    <w:rsid w:val="1DD87EDC"/>
    <w:rsid w:val="1DDA4D59"/>
    <w:rsid w:val="1E9D4968"/>
    <w:rsid w:val="1EB13D33"/>
    <w:rsid w:val="1F062593"/>
    <w:rsid w:val="1F08489B"/>
    <w:rsid w:val="1F2D0A6E"/>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60653C"/>
    <w:rsid w:val="22EF7055"/>
    <w:rsid w:val="231132FF"/>
    <w:rsid w:val="23743B1F"/>
    <w:rsid w:val="240C0392"/>
    <w:rsid w:val="24320E91"/>
    <w:rsid w:val="24514D5A"/>
    <w:rsid w:val="24AB13E3"/>
    <w:rsid w:val="254D6667"/>
    <w:rsid w:val="255A3D01"/>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275DDE"/>
    <w:rsid w:val="293D6BFB"/>
    <w:rsid w:val="29430470"/>
    <w:rsid w:val="29A81CF0"/>
    <w:rsid w:val="2A0812C8"/>
    <w:rsid w:val="2B3D6767"/>
    <w:rsid w:val="2B57565F"/>
    <w:rsid w:val="2BBD2276"/>
    <w:rsid w:val="2C812A23"/>
    <w:rsid w:val="2CDF621C"/>
    <w:rsid w:val="2CF2794B"/>
    <w:rsid w:val="2D9073ED"/>
    <w:rsid w:val="2E4A05E4"/>
    <w:rsid w:val="2F1F1F02"/>
    <w:rsid w:val="2F2348BD"/>
    <w:rsid w:val="2F6F1AD9"/>
    <w:rsid w:val="2F831DB2"/>
    <w:rsid w:val="2F943FCB"/>
    <w:rsid w:val="2FD06C0B"/>
    <w:rsid w:val="30381B81"/>
    <w:rsid w:val="303A6065"/>
    <w:rsid w:val="30A44277"/>
    <w:rsid w:val="30B15F03"/>
    <w:rsid w:val="31CA4358"/>
    <w:rsid w:val="31FA7479"/>
    <w:rsid w:val="32050A97"/>
    <w:rsid w:val="32284BF5"/>
    <w:rsid w:val="32DA1DD4"/>
    <w:rsid w:val="33323C73"/>
    <w:rsid w:val="3361798A"/>
    <w:rsid w:val="33861085"/>
    <w:rsid w:val="34477E1A"/>
    <w:rsid w:val="34B44507"/>
    <w:rsid w:val="35687566"/>
    <w:rsid w:val="35B15F88"/>
    <w:rsid w:val="35D501BC"/>
    <w:rsid w:val="35E87A5C"/>
    <w:rsid w:val="3608331B"/>
    <w:rsid w:val="36834056"/>
    <w:rsid w:val="369E4A52"/>
    <w:rsid w:val="36A73740"/>
    <w:rsid w:val="36EC0B56"/>
    <w:rsid w:val="37542B62"/>
    <w:rsid w:val="375A306E"/>
    <w:rsid w:val="37D83F93"/>
    <w:rsid w:val="381C19EE"/>
    <w:rsid w:val="382D2437"/>
    <w:rsid w:val="38442273"/>
    <w:rsid w:val="385D0EF3"/>
    <w:rsid w:val="389536A9"/>
    <w:rsid w:val="38C010B0"/>
    <w:rsid w:val="38E86458"/>
    <w:rsid w:val="38EB2B69"/>
    <w:rsid w:val="391C67AE"/>
    <w:rsid w:val="39486CC3"/>
    <w:rsid w:val="39A3534F"/>
    <w:rsid w:val="39D65068"/>
    <w:rsid w:val="3AA25DEC"/>
    <w:rsid w:val="3B30241A"/>
    <w:rsid w:val="3B5B756F"/>
    <w:rsid w:val="3B870893"/>
    <w:rsid w:val="3C4F6F1A"/>
    <w:rsid w:val="3D2F290C"/>
    <w:rsid w:val="3D4C1E7B"/>
    <w:rsid w:val="3DC21444"/>
    <w:rsid w:val="3DD60FEB"/>
    <w:rsid w:val="3E263CAA"/>
    <w:rsid w:val="3E491747"/>
    <w:rsid w:val="3E6B192F"/>
    <w:rsid w:val="3EA55BAC"/>
    <w:rsid w:val="3EEF12C4"/>
    <w:rsid w:val="3F150346"/>
    <w:rsid w:val="3F4757B8"/>
    <w:rsid w:val="3F591E5E"/>
    <w:rsid w:val="3F5A6C6F"/>
    <w:rsid w:val="3FC45529"/>
    <w:rsid w:val="3FD041C7"/>
    <w:rsid w:val="3FE1690B"/>
    <w:rsid w:val="40113C23"/>
    <w:rsid w:val="403F2E01"/>
    <w:rsid w:val="404A2E64"/>
    <w:rsid w:val="40AB0EC9"/>
    <w:rsid w:val="40C2612C"/>
    <w:rsid w:val="40E52488"/>
    <w:rsid w:val="41007A8F"/>
    <w:rsid w:val="415869FC"/>
    <w:rsid w:val="41670862"/>
    <w:rsid w:val="41AB14E8"/>
    <w:rsid w:val="41D4500D"/>
    <w:rsid w:val="41D67141"/>
    <w:rsid w:val="41F534A6"/>
    <w:rsid w:val="41F5463E"/>
    <w:rsid w:val="42030507"/>
    <w:rsid w:val="420A020E"/>
    <w:rsid w:val="420A1906"/>
    <w:rsid w:val="423F7EC6"/>
    <w:rsid w:val="428345E9"/>
    <w:rsid w:val="429D5EC0"/>
    <w:rsid w:val="42A40896"/>
    <w:rsid w:val="42C45C68"/>
    <w:rsid w:val="437470EA"/>
    <w:rsid w:val="437C12A7"/>
    <w:rsid w:val="43A803E4"/>
    <w:rsid w:val="43F81C45"/>
    <w:rsid w:val="444565A3"/>
    <w:rsid w:val="447A6AFE"/>
    <w:rsid w:val="45AC0F39"/>
    <w:rsid w:val="461B60BF"/>
    <w:rsid w:val="46C96141"/>
    <w:rsid w:val="46D06FAA"/>
    <w:rsid w:val="475461C4"/>
    <w:rsid w:val="477A0BC3"/>
    <w:rsid w:val="47D41743"/>
    <w:rsid w:val="47F3755A"/>
    <w:rsid w:val="482B71EF"/>
    <w:rsid w:val="487D04F4"/>
    <w:rsid w:val="48A31EA1"/>
    <w:rsid w:val="48AA6AB7"/>
    <w:rsid w:val="48FA020D"/>
    <w:rsid w:val="492C6FBB"/>
    <w:rsid w:val="498A69D6"/>
    <w:rsid w:val="499D1F70"/>
    <w:rsid w:val="4A1025A8"/>
    <w:rsid w:val="4A832C17"/>
    <w:rsid w:val="4A9100D0"/>
    <w:rsid w:val="4AC26B09"/>
    <w:rsid w:val="4AD41B9B"/>
    <w:rsid w:val="4AED1C9D"/>
    <w:rsid w:val="4B597B89"/>
    <w:rsid w:val="4BE8259F"/>
    <w:rsid w:val="4C4E289A"/>
    <w:rsid w:val="4DBE5CAD"/>
    <w:rsid w:val="4DD75684"/>
    <w:rsid w:val="4E0D2518"/>
    <w:rsid w:val="4E231003"/>
    <w:rsid w:val="4E3873B7"/>
    <w:rsid w:val="4EF70D4B"/>
    <w:rsid w:val="4F2E0C11"/>
    <w:rsid w:val="4F79418A"/>
    <w:rsid w:val="50A2078E"/>
    <w:rsid w:val="50B9275C"/>
    <w:rsid w:val="50F72CC9"/>
    <w:rsid w:val="50FE286B"/>
    <w:rsid w:val="514069D9"/>
    <w:rsid w:val="51932220"/>
    <w:rsid w:val="51D77CAA"/>
    <w:rsid w:val="52173BDE"/>
    <w:rsid w:val="5228244C"/>
    <w:rsid w:val="529620AE"/>
    <w:rsid w:val="52ED493F"/>
    <w:rsid w:val="531F0FF7"/>
    <w:rsid w:val="53B56AAB"/>
    <w:rsid w:val="53E03D6D"/>
    <w:rsid w:val="53E144A4"/>
    <w:rsid w:val="54333CD5"/>
    <w:rsid w:val="546107D9"/>
    <w:rsid w:val="546E506B"/>
    <w:rsid w:val="549E2395"/>
    <w:rsid w:val="55297C80"/>
    <w:rsid w:val="5531155E"/>
    <w:rsid w:val="56431446"/>
    <w:rsid w:val="565C7750"/>
    <w:rsid w:val="56644F18"/>
    <w:rsid w:val="56A12956"/>
    <w:rsid w:val="56E474BA"/>
    <w:rsid w:val="56FF2E93"/>
    <w:rsid w:val="58035E1A"/>
    <w:rsid w:val="586259DC"/>
    <w:rsid w:val="58625BCC"/>
    <w:rsid w:val="58B574EB"/>
    <w:rsid w:val="58FC1D80"/>
    <w:rsid w:val="593509FB"/>
    <w:rsid w:val="59893E96"/>
    <w:rsid w:val="599D432B"/>
    <w:rsid w:val="59E56370"/>
    <w:rsid w:val="5AF23BE2"/>
    <w:rsid w:val="5B1E275D"/>
    <w:rsid w:val="5B3E21DC"/>
    <w:rsid w:val="5B4A5024"/>
    <w:rsid w:val="5BBD57F6"/>
    <w:rsid w:val="5BC414F3"/>
    <w:rsid w:val="5C953453"/>
    <w:rsid w:val="5CA938AF"/>
    <w:rsid w:val="5CAE15E3"/>
    <w:rsid w:val="5D290C69"/>
    <w:rsid w:val="5E254884"/>
    <w:rsid w:val="5E36741C"/>
    <w:rsid w:val="5E4A3B31"/>
    <w:rsid w:val="5F3F2DAC"/>
    <w:rsid w:val="5F4829DC"/>
    <w:rsid w:val="5F725BF8"/>
    <w:rsid w:val="5FB15C3A"/>
    <w:rsid w:val="5FDF26F7"/>
    <w:rsid w:val="5FEC0FE5"/>
    <w:rsid w:val="6022194E"/>
    <w:rsid w:val="606E5CB4"/>
    <w:rsid w:val="60980BFD"/>
    <w:rsid w:val="60D65D3F"/>
    <w:rsid w:val="60F4333C"/>
    <w:rsid w:val="60F85618"/>
    <w:rsid w:val="611A50B4"/>
    <w:rsid w:val="619C43F3"/>
    <w:rsid w:val="6269072D"/>
    <w:rsid w:val="62A30CCB"/>
    <w:rsid w:val="6352606D"/>
    <w:rsid w:val="639436E3"/>
    <w:rsid w:val="6445282D"/>
    <w:rsid w:val="645A13DB"/>
    <w:rsid w:val="648C045C"/>
    <w:rsid w:val="651B17E0"/>
    <w:rsid w:val="656A40F1"/>
    <w:rsid w:val="658C5E23"/>
    <w:rsid w:val="65F9363E"/>
    <w:rsid w:val="667E25AF"/>
    <w:rsid w:val="66815672"/>
    <w:rsid w:val="669E7442"/>
    <w:rsid w:val="67152E14"/>
    <w:rsid w:val="67711758"/>
    <w:rsid w:val="67770DF7"/>
    <w:rsid w:val="679C27B9"/>
    <w:rsid w:val="67CB3049"/>
    <w:rsid w:val="67FF2A16"/>
    <w:rsid w:val="682465CF"/>
    <w:rsid w:val="68810D23"/>
    <w:rsid w:val="6972525B"/>
    <w:rsid w:val="69C211FB"/>
    <w:rsid w:val="69FC5E8B"/>
    <w:rsid w:val="6A16113C"/>
    <w:rsid w:val="6AD14E1A"/>
    <w:rsid w:val="6B056872"/>
    <w:rsid w:val="6B1765A5"/>
    <w:rsid w:val="6B217424"/>
    <w:rsid w:val="6B28360F"/>
    <w:rsid w:val="6B9F4D55"/>
    <w:rsid w:val="6BAA3DD9"/>
    <w:rsid w:val="6C172D01"/>
    <w:rsid w:val="6C423AF6"/>
    <w:rsid w:val="6CC2767B"/>
    <w:rsid w:val="6D342244"/>
    <w:rsid w:val="6DAB4CCB"/>
    <w:rsid w:val="6DC70D5C"/>
    <w:rsid w:val="6DDA24A1"/>
    <w:rsid w:val="6E0E1C83"/>
    <w:rsid w:val="6E45126B"/>
    <w:rsid w:val="6F062BB9"/>
    <w:rsid w:val="6F185329"/>
    <w:rsid w:val="6F213E8F"/>
    <w:rsid w:val="70E64A50"/>
    <w:rsid w:val="70FF643D"/>
    <w:rsid w:val="71143D27"/>
    <w:rsid w:val="71231A63"/>
    <w:rsid w:val="714B6E37"/>
    <w:rsid w:val="71C72BEE"/>
    <w:rsid w:val="73614D85"/>
    <w:rsid w:val="7363682B"/>
    <w:rsid w:val="739465A0"/>
    <w:rsid w:val="73A82490"/>
    <w:rsid w:val="73B34AD5"/>
    <w:rsid w:val="73D42B6E"/>
    <w:rsid w:val="743B3E3F"/>
    <w:rsid w:val="74E41D61"/>
    <w:rsid w:val="765A00C6"/>
    <w:rsid w:val="76AF5F27"/>
    <w:rsid w:val="77452BA0"/>
    <w:rsid w:val="774923FD"/>
    <w:rsid w:val="777E28EC"/>
    <w:rsid w:val="77B52272"/>
    <w:rsid w:val="78120C80"/>
    <w:rsid w:val="783A1618"/>
    <w:rsid w:val="788222E3"/>
    <w:rsid w:val="78C655F6"/>
    <w:rsid w:val="7908485F"/>
    <w:rsid w:val="7936053E"/>
    <w:rsid w:val="793F0B2C"/>
    <w:rsid w:val="797D07AB"/>
    <w:rsid w:val="79AC25AE"/>
    <w:rsid w:val="7AAC0A0E"/>
    <w:rsid w:val="7B237CCD"/>
    <w:rsid w:val="7B306E47"/>
    <w:rsid w:val="7B8C6B3B"/>
    <w:rsid w:val="7BD77DB7"/>
    <w:rsid w:val="7C3F595C"/>
    <w:rsid w:val="7C683BAE"/>
    <w:rsid w:val="7CBD0742"/>
    <w:rsid w:val="7D7D55A3"/>
    <w:rsid w:val="7DE81FDD"/>
    <w:rsid w:val="7E3C60AD"/>
    <w:rsid w:val="7EC565EC"/>
    <w:rsid w:val="7EEF5417"/>
    <w:rsid w:val="7F0D3AEF"/>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4"/>
    <w:autoRedefine/>
    <w:qFormat/>
    <w:uiPriority w:val="0"/>
    <w:rPr>
      <w:rFonts w:ascii="仿宋_GB2312" w:hAnsi="Times New Roman" w:eastAsia="仿宋_GB2312" w:cs="Times New Roman"/>
      <w:sz w:val="32"/>
      <w:szCs w:val="20"/>
    </w:rPr>
  </w:style>
  <w:style w:type="paragraph" w:styleId="23">
    <w:name w:val="Body Text Indent"/>
    <w:basedOn w:val="1"/>
    <w:link w:val="105"/>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2"/>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8"/>
    <w:autoRedefine/>
    <w:qFormat/>
    <w:uiPriority w:val="0"/>
    <w:rPr>
      <w:sz w:val="28"/>
    </w:rPr>
  </w:style>
  <w:style w:type="paragraph" w:styleId="33">
    <w:name w:val="Body Text Indent 2"/>
    <w:basedOn w:val="1"/>
    <w:link w:val="78"/>
    <w:autoRedefine/>
    <w:qFormat/>
    <w:uiPriority w:val="0"/>
    <w:pPr>
      <w:snapToGrid w:val="0"/>
      <w:spacing w:line="560" w:lineRule="atLeast"/>
      <w:ind w:firstLine="540"/>
    </w:pPr>
    <w:rPr>
      <w:sz w:val="28"/>
    </w:rPr>
  </w:style>
  <w:style w:type="paragraph" w:styleId="34">
    <w:name w:val="Balloon Text"/>
    <w:basedOn w:val="1"/>
    <w:link w:val="133"/>
    <w:autoRedefine/>
    <w:qFormat/>
    <w:uiPriority w:val="0"/>
    <w:rPr>
      <w:rFonts w:ascii="Times New Roman" w:hAnsi="Times New Roman" w:eastAsia="宋体" w:cs="Times New Roman"/>
      <w:sz w:val="18"/>
      <w:szCs w:val="20"/>
    </w:rPr>
  </w:style>
  <w:style w:type="paragraph" w:styleId="35">
    <w:name w:val="footer"/>
    <w:basedOn w:val="1"/>
    <w:link w:val="106"/>
    <w:autoRedefine/>
    <w:qFormat/>
    <w:uiPriority w:val="99"/>
    <w:pPr>
      <w:tabs>
        <w:tab w:val="center" w:pos="4153"/>
        <w:tab w:val="right" w:pos="8306"/>
      </w:tabs>
      <w:snapToGrid w:val="0"/>
      <w:jc w:val="left"/>
    </w:pPr>
    <w:rPr>
      <w:sz w:val="18"/>
    </w:rPr>
  </w:style>
  <w:style w:type="paragraph" w:styleId="36">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9"/>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80"/>
    <w:autoRedefine/>
    <w:qFormat/>
    <w:uiPriority w:val="0"/>
    <w:rPr>
      <w:sz w:val="24"/>
    </w:rPr>
  </w:style>
  <w:style w:type="paragraph" w:styleId="56">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4"/>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paragraph" w:styleId="68">
    <w:name w:val="Quote"/>
    <w:basedOn w:val="1"/>
    <w:next w:val="1"/>
    <w:qFormat/>
    <w:uiPriority w:val="29"/>
    <w:pPr>
      <w:spacing w:beforeLines="50" w:afterLines="50" w:line="360" w:lineRule="auto"/>
    </w:pPr>
    <w:rPr>
      <w:i/>
      <w:iCs/>
      <w:color w:val="000000"/>
      <w:szCs w:val="24"/>
      <w:lang w:val="zh-CN"/>
    </w:rPr>
  </w:style>
  <w:style w:type="character" w:customStyle="1" w:styleId="69">
    <w:name w:val="标题 1 Char"/>
    <w:basedOn w:val="60"/>
    <w:link w:val="2"/>
    <w:autoRedefine/>
    <w:qFormat/>
    <w:uiPriority w:val="0"/>
    <w:rPr>
      <w:rFonts w:ascii="宋体" w:hAnsi="Times New Roman" w:eastAsia="宋体" w:cs="Times New Roman"/>
      <w:sz w:val="28"/>
      <w:szCs w:val="20"/>
    </w:rPr>
  </w:style>
  <w:style w:type="character" w:customStyle="1" w:styleId="70">
    <w:name w:val="标题 2 Char"/>
    <w:basedOn w:val="60"/>
    <w:link w:val="3"/>
    <w:autoRedefine/>
    <w:qFormat/>
    <w:uiPriority w:val="0"/>
    <w:rPr>
      <w:rFonts w:ascii="Arial" w:hAnsi="Arial" w:eastAsia="黑体" w:cs="Times New Roman"/>
      <w:b/>
      <w:sz w:val="32"/>
      <w:szCs w:val="20"/>
    </w:rPr>
  </w:style>
  <w:style w:type="character" w:customStyle="1" w:styleId="71">
    <w:name w:val="标题 3 Char"/>
    <w:basedOn w:val="60"/>
    <w:link w:val="4"/>
    <w:autoRedefine/>
    <w:qFormat/>
    <w:uiPriority w:val="0"/>
    <w:rPr>
      <w:rFonts w:ascii="Times New Roman" w:hAnsi="Times New Roman" w:eastAsia="宋体" w:cs="Times New Roman"/>
      <w:b/>
      <w:sz w:val="32"/>
      <w:szCs w:val="20"/>
    </w:rPr>
  </w:style>
  <w:style w:type="character" w:customStyle="1" w:styleId="72">
    <w:name w:val="标题 4 Char"/>
    <w:basedOn w:val="60"/>
    <w:link w:val="5"/>
    <w:autoRedefine/>
    <w:qFormat/>
    <w:uiPriority w:val="0"/>
    <w:rPr>
      <w:rFonts w:ascii="Arial" w:hAnsi="Arial" w:eastAsia="黑体" w:cs="Times New Roman"/>
      <w:b/>
      <w:sz w:val="28"/>
      <w:szCs w:val="20"/>
    </w:rPr>
  </w:style>
  <w:style w:type="character" w:customStyle="1" w:styleId="73">
    <w:name w:val="标题 5 Char"/>
    <w:basedOn w:val="60"/>
    <w:link w:val="6"/>
    <w:autoRedefine/>
    <w:qFormat/>
    <w:uiPriority w:val="0"/>
    <w:rPr>
      <w:rFonts w:ascii="Times New Roman" w:hAnsi="Times New Roman" w:eastAsia="宋体" w:cs="Times New Roman"/>
      <w:b/>
      <w:sz w:val="28"/>
      <w:szCs w:val="20"/>
    </w:rPr>
  </w:style>
  <w:style w:type="character" w:customStyle="1" w:styleId="74">
    <w:name w:val="标题 6 Char"/>
    <w:basedOn w:val="60"/>
    <w:link w:val="7"/>
    <w:autoRedefine/>
    <w:qFormat/>
    <w:uiPriority w:val="0"/>
    <w:rPr>
      <w:rFonts w:ascii="Arial" w:hAnsi="Arial" w:eastAsia="黑体" w:cs="Times New Roman"/>
      <w:b/>
      <w:sz w:val="24"/>
      <w:szCs w:val="20"/>
    </w:rPr>
  </w:style>
  <w:style w:type="character" w:customStyle="1" w:styleId="75">
    <w:name w:val="标题 7 Char"/>
    <w:basedOn w:val="60"/>
    <w:link w:val="8"/>
    <w:autoRedefine/>
    <w:qFormat/>
    <w:uiPriority w:val="0"/>
    <w:rPr>
      <w:rFonts w:ascii="Arial" w:hAnsi="Arial" w:eastAsia="黑体" w:cs="Times New Roman"/>
      <w:b/>
      <w:sz w:val="24"/>
      <w:szCs w:val="20"/>
    </w:rPr>
  </w:style>
  <w:style w:type="character" w:customStyle="1" w:styleId="76">
    <w:name w:val="标题 8 Char"/>
    <w:basedOn w:val="60"/>
    <w:link w:val="9"/>
    <w:autoRedefine/>
    <w:qFormat/>
    <w:uiPriority w:val="0"/>
    <w:rPr>
      <w:rFonts w:ascii="Arial" w:hAnsi="Arial" w:eastAsia="黑体" w:cs="Times New Roman"/>
      <w:b/>
      <w:sz w:val="24"/>
      <w:szCs w:val="20"/>
    </w:rPr>
  </w:style>
  <w:style w:type="character" w:customStyle="1" w:styleId="77">
    <w:name w:val="标题 9 Char"/>
    <w:basedOn w:val="60"/>
    <w:link w:val="10"/>
    <w:autoRedefine/>
    <w:qFormat/>
    <w:uiPriority w:val="0"/>
    <w:rPr>
      <w:rFonts w:ascii="Arial" w:hAnsi="Arial" w:eastAsia="黑体" w:cs="Times New Roman"/>
      <w:b/>
      <w:sz w:val="24"/>
      <w:szCs w:val="20"/>
    </w:rPr>
  </w:style>
  <w:style w:type="character" w:customStyle="1" w:styleId="78">
    <w:name w:val="正文文本缩进 2 Char"/>
    <w:link w:val="33"/>
    <w:autoRedefine/>
    <w:qFormat/>
    <w:uiPriority w:val="0"/>
    <w:rPr>
      <w:sz w:val="28"/>
    </w:rPr>
  </w:style>
  <w:style w:type="character" w:customStyle="1" w:styleId="79">
    <w:name w:val="脚注文本 Char"/>
    <w:link w:val="40"/>
    <w:autoRedefine/>
    <w:qFormat/>
    <w:uiPriority w:val="0"/>
    <w:rPr>
      <w:sz w:val="18"/>
    </w:rPr>
  </w:style>
  <w:style w:type="character" w:customStyle="1" w:styleId="80">
    <w:name w:val="批注主题 Char"/>
    <w:basedOn w:val="81"/>
    <w:link w:val="55"/>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0"/>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7"/>
    <w:autoRedefine/>
    <w:qFormat/>
    <w:uiPriority w:val="0"/>
    <w:rPr>
      <w:sz w:val="44"/>
    </w:rPr>
  </w:style>
  <w:style w:type="character" w:customStyle="1" w:styleId="105">
    <w:name w:val="正文文本缩进 Char"/>
    <w:link w:val="23"/>
    <w:autoRedefine/>
    <w:qFormat/>
    <w:uiPriority w:val="0"/>
    <w:rPr>
      <w:sz w:val="44"/>
    </w:rPr>
  </w:style>
  <w:style w:type="character" w:customStyle="1" w:styleId="106">
    <w:name w:val="页脚 Char"/>
    <w:link w:val="35"/>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2"/>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0"/>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0"/>
    <w:autoRedefine/>
    <w:semiHidden/>
    <w:qFormat/>
    <w:uiPriority w:val="99"/>
    <w:rPr>
      <w:sz w:val="18"/>
      <w:szCs w:val="18"/>
    </w:rPr>
  </w:style>
  <w:style w:type="character" w:customStyle="1" w:styleId="117">
    <w:name w:val="页眉 Char"/>
    <w:basedOn w:val="60"/>
    <w:link w:val="36"/>
    <w:autoRedefine/>
    <w:qFormat/>
    <w:uiPriority w:val="0"/>
    <w:rPr>
      <w:rFonts w:ascii="Times New Roman" w:hAnsi="Times New Roman" w:eastAsia="宋体" w:cs="Times New Roman"/>
      <w:sz w:val="18"/>
      <w:szCs w:val="20"/>
    </w:rPr>
  </w:style>
  <w:style w:type="character" w:customStyle="1" w:styleId="118">
    <w:name w:val="正文文本缩进 Char1"/>
    <w:basedOn w:val="60"/>
    <w:autoRedefine/>
    <w:semiHidden/>
    <w:qFormat/>
    <w:uiPriority w:val="99"/>
  </w:style>
  <w:style w:type="character" w:customStyle="1" w:styleId="119">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0"/>
    <w:autoRedefine/>
    <w:semiHidden/>
    <w:qFormat/>
    <w:uiPriority w:val="99"/>
    <w:rPr>
      <w:sz w:val="18"/>
      <w:szCs w:val="18"/>
    </w:rPr>
  </w:style>
  <w:style w:type="character" w:customStyle="1" w:styleId="121">
    <w:name w:val="正文文本缩进 3 Char"/>
    <w:basedOn w:val="60"/>
    <w:link w:val="43"/>
    <w:autoRedefine/>
    <w:qFormat/>
    <w:uiPriority w:val="0"/>
    <w:rPr>
      <w:rFonts w:ascii="黑体" w:hAnsi="Times New Roman" w:eastAsia="黑体" w:cs="Times New Roman"/>
      <w:sz w:val="28"/>
      <w:szCs w:val="20"/>
    </w:rPr>
  </w:style>
  <w:style w:type="character" w:customStyle="1" w:styleId="122">
    <w:name w:val="正文文本 3 Char"/>
    <w:basedOn w:val="60"/>
    <w:link w:val="20"/>
    <w:autoRedefine/>
    <w:qFormat/>
    <w:uiPriority w:val="0"/>
    <w:rPr>
      <w:rFonts w:ascii="Times New Roman" w:hAnsi="Times New Roman" w:eastAsia="宋体" w:cs="Times New Roman"/>
      <w:sz w:val="16"/>
      <w:szCs w:val="20"/>
    </w:rPr>
  </w:style>
  <w:style w:type="character" w:customStyle="1" w:styleId="123">
    <w:name w:val="正文文本 2 Char"/>
    <w:basedOn w:val="60"/>
    <w:link w:val="47"/>
    <w:autoRedefine/>
    <w:qFormat/>
    <w:uiPriority w:val="0"/>
    <w:rPr>
      <w:rFonts w:ascii="Times New Roman" w:hAnsi="Times New Roman" w:eastAsia="宋体" w:cs="Times New Roman"/>
      <w:sz w:val="24"/>
      <w:szCs w:val="20"/>
    </w:rPr>
  </w:style>
  <w:style w:type="character" w:customStyle="1" w:styleId="124">
    <w:name w:val="正文文本 Char"/>
    <w:basedOn w:val="60"/>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0"/>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0"/>
    <w:autoRedefine/>
    <w:semiHidden/>
    <w:qFormat/>
    <w:uiPriority w:val="99"/>
    <w:rPr>
      <w:rFonts w:ascii="Courier New" w:hAnsi="Courier New" w:cs="Courier New"/>
      <w:sz w:val="20"/>
      <w:szCs w:val="20"/>
    </w:rPr>
  </w:style>
  <w:style w:type="character" w:customStyle="1" w:styleId="129">
    <w:name w:val="日期 Char1"/>
    <w:basedOn w:val="60"/>
    <w:autoRedefine/>
    <w:semiHidden/>
    <w:qFormat/>
    <w:uiPriority w:val="99"/>
  </w:style>
  <w:style w:type="character" w:customStyle="1" w:styleId="130">
    <w:name w:val="纯文本 Char1"/>
    <w:basedOn w:val="60"/>
    <w:autoRedefine/>
    <w:semiHidden/>
    <w:qFormat/>
    <w:uiPriority w:val="99"/>
    <w:rPr>
      <w:rFonts w:ascii="宋体" w:hAnsi="Courier New" w:eastAsia="宋体" w:cs="Courier New"/>
      <w:szCs w:val="21"/>
    </w:rPr>
  </w:style>
  <w:style w:type="character" w:customStyle="1" w:styleId="131">
    <w:name w:val="批注文字 Char1"/>
    <w:basedOn w:val="60"/>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0"/>
    <w:link w:val="34"/>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6"/>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0"/>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4"/>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3"/>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0"/>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4"/>
    <w:next w:val="1"/>
    <w:autoRedefine/>
    <w:qFormat/>
    <w:uiPriority w:val="0"/>
    <w:pPr>
      <w:spacing w:before="240" w:after="720"/>
    </w:pPr>
    <w:rPr>
      <w:sz w:val="28"/>
    </w:rPr>
  </w:style>
  <w:style w:type="paragraph" w:customStyle="1" w:styleId="241">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0"/>
    <w:qFormat/>
    <w:uiPriority w:val="0"/>
    <w:rPr>
      <w:rFonts w:hint="eastAsia" w:ascii="宋体" w:hAnsi="宋体" w:eastAsia="宋体" w:cs="宋体"/>
      <w:b/>
      <w:bCs/>
      <w:color w:val="000000"/>
      <w:sz w:val="22"/>
      <w:szCs w:val="22"/>
      <w:u w:val="none"/>
    </w:rPr>
  </w:style>
  <w:style w:type="character" w:customStyle="1" w:styleId="274">
    <w:name w:val="font61"/>
    <w:basedOn w:val="60"/>
    <w:qFormat/>
    <w:uiPriority w:val="0"/>
    <w:rPr>
      <w:rFonts w:hint="eastAsia" w:ascii="宋体" w:hAnsi="宋体" w:eastAsia="宋体" w:cs="宋体"/>
      <w:b/>
      <w:bCs/>
      <w:color w:val="000000"/>
      <w:sz w:val="24"/>
      <w:szCs w:val="24"/>
      <w:u w:val="none"/>
    </w:rPr>
  </w:style>
  <w:style w:type="character" w:customStyle="1" w:styleId="275">
    <w:name w:val="font71"/>
    <w:basedOn w:val="60"/>
    <w:qFormat/>
    <w:uiPriority w:val="0"/>
    <w:rPr>
      <w:rFonts w:ascii="宋体" w:hAnsi="宋体" w:eastAsia="宋体" w:cs="宋体"/>
      <w:b/>
      <w:bCs/>
      <w:color w:val="000000"/>
      <w:sz w:val="24"/>
      <w:szCs w:val="24"/>
      <w:u w:val="none"/>
    </w:rPr>
  </w:style>
  <w:style w:type="character" w:customStyle="1" w:styleId="276">
    <w:name w:val="font81"/>
    <w:basedOn w:val="60"/>
    <w:qFormat/>
    <w:uiPriority w:val="0"/>
    <w:rPr>
      <w:rFonts w:ascii="宋体" w:hAnsi="宋体" w:eastAsia="宋体" w:cs="宋体"/>
      <w:color w:val="000000"/>
      <w:sz w:val="24"/>
      <w:szCs w:val="24"/>
      <w:u w:val="none"/>
    </w:rPr>
  </w:style>
  <w:style w:type="character" w:customStyle="1" w:styleId="277">
    <w:name w:val="font31"/>
    <w:basedOn w:val="60"/>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10999</Words>
  <Characters>11290</Characters>
  <Lines>182</Lines>
  <Paragraphs>51</Paragraphs>
  <TotalTime>0</TotalTime>
  <ScaleCrop>false</ScaleCrop>
  <LinksUpToDate>false</LinksUpToDate>
  <CharactersWithSpaces>11389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2025-02-06T00:05:15Z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