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488201">
      <w:pPr>
        <w:spacing w:line="760" w:lineRule="exact"/>
        <w:rPr>
          <w:rFonts w:hint="eastAsia" w:ascii="楷体" w:hAnsi="楷体" w:eastAsia="楷体"/>
          <w:color w:val="auto"/>
          <w:sz w:val="44"/>
          <w:szCs w:val="44"/>
          <w:highlight w:val="none"/>
        </w:rPr>
      </w:pPr>
    </w:p>
    <w:p w14:paraId="680B774E">
      <w:pPr>
        <w:spacing w:line="760" w:lineRule="exact"/>
        <w:jc w:val="center"/>
        <w:rPr>
          <w:rFonts w:hint="eastAsia" w:ascii="楷体" w:hAnsi="楷体" w:eastAsia="楷体"/>
          <w:color w:val="auto"/>
          <w:sz w:val="44"/>
          <w:szCs w:val="44"/>
          <w:highlight w:val="none"/>
        </w:rPr>
      </w:pPr>
    </w:p>
    <w:p w14:paraId="4CBDB6D2">
      <w:pPr>
        <w:spacing w:line="760" w:lineRule="exact"/>
        <w:jc w:val="center"/>
        <w:rPr>
          <w:rFonts w:hint="eastAsia" w:ascii="楷体" w:hAnsi="楷体" w:eastAsia="楷体"/>
          <w:color w:val="auto"/>
          <w:sz w:val="44"/>
          <w:szCs w:val="44"/>
          <w:highlight w:val="none"/>
        </w:rPr>
      </w:pPr>
    </w:p>
    <w:p w14:paraId="3B2BAF31">
      <w:pPr>
        <w:spacing w:line="760" w:lineRule="exact"/>
        <w:jc w:val="center"/>
        <w:rPr>
          <w:rFonts w:hint="eastAsia" w:ascii="楷体" w:hAnsi="楷体" w:eastAsia="楷体"/>
          <w:color w:val="auto"/>
          <w:sz w:val="72"/>
          <w:szCs w:val="72"/>
          <w:highlight w:val="none"/>
        </w:rPr>
      </w:pPr>
      <w:r>
        <w:rPr>
          <w:rFonts w:hint="eastAsia" w:ascii="楷体" w:hAnsi="楷体" w:eastAsia="楷体"/>
          <w:color w:val="auto"/>
          <w:sz w:val="72"/>
          <w:szCs w:val="72"/>
          <w:highlight w:val="none"/>
        </w:rPr>
        <w:t>重庆医科大学附属永川医院</w:t>
      </w:r>
    </w:p>
    <w:p w14:paraId="23A4E48D">
      <w:pPr>
        <w:spacing w:line="760" w:lineRule="exact"/>
        <w:jc w:val="center"/>
        <w:rPr>
          <w:rFonts w:hint="eastAsia" w:ascii="楷体" w:hAnsi="楷体" w:eastAsia="楷体"/>
          <w:color w:val="auto"/>
          <w:sz w:val="72"/>
          <w:szCs w:val="72"/>
          <w:highlight w:val="none"/>
        </w:rPr>
      </w:pPr>
    </w:p>
    <w:p w14:paraId="1D1BBFD3">
      <w:pPr>
        <w:jc w:val="center"/>
        <w:rPr>
          <w:rFonts w:hint="eastAsia" w:ascii="楷体" w:hAnsi="楷体" w:eastAsia="楷体"/>
          <w:color w:val="auto"/>
          <w:sz w:val="72"/>
          <w:szCs w:val="72"/>
          <w:highlight w:val="none"/>
        </w:rPr>
      </w:pPr>
      <w:bookmarkStart w:id="0" w:name="_Toc24720"/>
      <w:r>
        <w:rPr>
          <w:rFonts w:hint="eastAsia" w:ascii="楷体" w:hAnsi="楷体" w:eastAsia="楷体"/>
          <w:color w:val="auto"/>
          <w:sz w:val="72"/>
          <w:szCs w:val="72"/>
          <w:highlight w:val="none"/>
        </w:rPr>
        <w:t>比  选  文  件</w:t>
      </w:r>
      <w:bookmarkEnd w:id="0"/>
    </w:p>
    <w:p w14:paraId="08927D58">
      <w:pPr>
        <w:spacing w:line="760" w:lineRule="exact"/>
        <w:rPr>
          <w:rFonts w:hint="eastAsia" w:ascii="楷体" w:hAnsi="楷体" w:eastAsia="楷体"/>
          <w:color w:val="auto"/>
          <w:spacing w:val="80"/>
          <w:sz w:val="44"/>
          <w:szCs w:val="44"/>
          <w:highlight w:val="none"/>
        </w:rPr>
      </w:pPr>
    </w:p>
    <w:p w14:paraId="3F0CEB8D">
      <w:pPr>
        <w:spacing w:line="760" w:lineRule="exact"/>
        <w:jc w:val="center"/>
        <w:rPr>
          <w:rFonts w:hint="eastAsia" w:ascii="楷体" w:hAnsi="楷体" w:eastAsia="楷体"/>
          <w:color w:val="auto"/>
          <w:spacing w:val="80"/>
          <w:sz w:val="44"/>
          <w:szCs w:val="44"/>
          <w:highlight w:val="none"/>
        </w:rPr>
      </w:pPr>
    </w:p>
    <w:p w14:paraId="78355C66">
      <w:pPr>
        <w:tabs>
          <w:tab w:val="left" w:pos="7492"/>
        </w:tabs>
        <w:spacing w:line="760" w:lineRule="exact"/>
        <w:rPr>
          <w:rFonts w:ascii="楷体" w:hAnsi="楷体" w:eastAsia="楷体" w:cs="宋体"/>
          <w:color w:val="auto"/>
          <w:sz w:val="40"/>
          <w:szCs w:val="40"/>
          <w:highlight w:val="none"/>
        </w:rPr>
      </w:pPr>
      <w:r>
        <w:rPr>
          <w:rFonts w:hint="eastAsia" w:ascii="楷体" w:hAnsi="楷体" w:eastAsia="楷体"/>
          <w:color w:val="auto"/>
          <w:sz w:val="44"/>
          <w:szCs w:val="44"/>
          <w:highlight w:val="none"/>
        </w:rPr>
        <w:t xml:space="preserve">     </w:t>
      </w:r>
      <w:r>
        <w:rPr>
          <w:rFonts w:hint="eastAsia" w:ascii="楷体" w:hAnsi="楷体" w:eastAsia="楷体" w:cs="宋体"/>
          <w:color w:val="auto"/>
          <w:sz w:val="40"/>
          <w:szCs w:val="40"/>
          <w:highlight w:val="none"/>
        </w:rPr>
        <w:t xml:space="preserve">  采购项目编号：2025ZB</w:t>
      </w:r>
      <w:r>
        <w:rPr>
          <w:rFonts w:hint="eastAsia" w:ascii="楷体" w:hAnsi="楷体" w:eastAsia="楷体" w:cs="宋体"/>
          <w:color w:val="auto"/>
          <w:sz w:val="40"/>
          <w:szCs w:val="40"/>
          <w:highlight w:val="none"/>
          <w:lang w:val="en-US" w:eastAsia="zh-CN"/>
        </w:rPr>
        <w:t>0</w:t>
      </w:r>
      <w:r>
        <w:rPr>
          <w:rFonts w:hint="eastAsia" w:ascii="楷体" w:hAnsi="楷体" w:eastAsia="楷体" w:cs="宋体"/>
          <w:color w:val="auto"/>
          <w:sz w:val="40"/>
          <w:szCs w:val="40"/>
          <w:highlight w:val="none"/>
        </w:rPr>
        <w:t>99</w:t>
      </w:r>
      <w:r>
        <w:rPr>
          <w:rFonts w:hint="eastAsia" w:ascii="楷体" w:hAnsi="楷体" w:eastAsia="楷体" w:cs="宋体"/>
          <w:color w:val="auto"/>
          <w:sz w:val="40"/>
          <w:szCs w:val="40"/>
          <w:highlight w:val="none"/>
        </w:rPr>
        <w:tab/>
      </w:r>
    </w:p>
    <w:p w14:paraId="46328490">
      <w:pPr>
        <w:spacing w:line="760" w:lineRule="exact"/>
        <w:rPr>
          <w:rFonts w:hint="eastAsia" w:ascii="楷体" w:hAnsi="楷体" w:eastAsia="楷体" w:cs="宋体"/>
          <w:color w:val="auto"/>
          <w:sz w:val="40"/>
          <w:szCs w:val="40"/>
          <w:highlight w:val="none"/>
        </w:rPr>
      </w:pPr>
    </w:p>
    <w:p w14:paraId="10C9F962">
      <w:pPr>
        <w:spacing w:line="760" w:lineRule="exact"/>
        <w:ind w:firstLine="1600" w:firstLineChars="400"/>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采购项目名称：超声经颅多普勒血流分析仪</w:t>
      </w:r>
    </w:p>
    <w:p w14:paraId="2B67BC01">
      <w:pPr>
        <w:spacing w:line="760" w:lineRule="exact"/>
        <w:jc w:val="center"/>
        <w:rPr>
          <w:rFonts w:hint="eastAsia" w:ascii="楷体" w:hAnsi="楷体" w:eastAsia="楷体" w:cs="宋体"/>
          <w:color w:val="auto"/>
          <w:sz w:val="40"/>
          <w:szCs w:val="40"/>
          <w:highlight w:val="none"/>
        </w:rPr>
      </w:pPr>
    </w:p>
    <w:p w14:paraId="08C4C24A">
      <w:pPr>
        <w:spacing w:line="760" w:lineRule="exact"/>
        <w:jc w:val="center"/>
        <w:rPr>
          <w:rFonts w:hint="eastAsia" w:ascii="楷体" w:hAnsi="楷体" w:eastAsia="楷体" w:cs="宋体"/>
          <w:color w:val="auto"/>
          <w:sz w:val="40"/>
          <w:szCs w:val="40"/>
          <w:highlight w:val="none"/>
        </w:rPr>
      </w:pPr>
    </w:p>
    <w:p w14:paraId="463D3793">
      <w:pPr>
        <w:spacing w:line="760" w:lineRule="exact"/>
        <w:ind w:firstLine="1600" w:firstLineChars="400"/>
        <w:jc w:val="both"/>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医院：重庆医科大学附属永川医院</w:t>
      </w:r>
    </w:p>
    <w:p w14:paraId="1653EABB">
      <w:pPr>
        <w:spacing w:line="760" w:lineRule="exact"/>
        <w:ind w:firstLine="1600" w:firstLineChars="400"/>
        <w:jc w:val="both"/>
        <w:rPr>
          <w:rFonts w:hint="eastAsia" w:ascii="楷体" w:hAnsi="楷体" w:eastAsia="楷体" w:cs="宋体"/>
          <w:color w:val="auto"/>
          <w:sz w:val="40"/>
          <w:szCs w:val="40"/>
          <w:highlight w:val="none"/>
        </w:rPr>
      </w:pPr>
    </w:p>
    <w:p w14:paraId="1B8B4952">
      <w:pPr>
        <w:spacing w:line="760" w:lineRule="exact"/>
        <w:jc w:val="center"/>
        <w:rPr>
          <w:rFonts w:hint="eastAsia" w:ascii="楷体" w:hAnsi="楷体" w:eastAsia="楷体" w:cs="宋体"/>
          <w:color w:val="auto"/>
          <w:sz w:val="40"/>
          <w:szCs w:val="40"/>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highlight w:val="none"/>
        </w:rPr>
        <w:t>二〇二五年</w:t>
      </w:r>
      <w:r>
        <w:rPr>
          <w:rFonts w:hint="eastAsia" w:ascii="楷体" w:hAnsi="楷体" w:eastAsia="楷体" w:cs="宋体"/>
          <w:color w:val="auto"/>
          <w:sz w:val="40"/>
          <w:szCs w:val="40"/>
          <w:highlight w:val="none"/>
          <w:lang w:eastAsia="zh-CN"/>
        </w:rPr>
        <w:t>二</w:t>
      </w:r>
      <w:r>
        <w:rPr>
          <w:rFonts w:hint="eastAsia" w:ascii="楷体" w:hAnsi="楷体" w:eastAsia="楷体" w:cs="宋体"/>
          <w:color w:val="auto"/>
          <w:sz w:val="40"/>
          <w:szCs w:val="40"/>
          <w:highlight w:val="none"/>
        </w:rPr>
        <w:t>月</w:t>
      </w:r>
    </w:p>
    <w:p w14:paraId="6B6393CB">
      <w:pPr>
        <w:jc w:val="center"/>
        <w:rPr>
          <w:rFonts w:hint="eastAsia" w:ascii="楷体" w:hAnsi="楷体" w:eastAsia="楷体"/>
          <w:b/>
          <w:bCs/>
          <w:color w:val="auto"/>
          <w:sz w:val="44"/>
          <w:szCs w:val="44"/>
          <w:highlight w:val="none"/>
        </w:rPr>
      </w:pPr>
      <w:bookmarkStart w:id="1" w:name="_Toc10008"/>
      <w:r>
        <w:rPr>
          <w:rFonts w:hint="eastAsia" w:ascii="楷体" w:hAnsi="楷体" w:eastAsia="楷体"/>
          <w:b/>
          <w:bCs/>
          <w:color w:val="auto"/>
          <w:sz w:val="44"/>
          <w:szCs w:val="44"/>
          <w:highlight w:val="none"/>
        </w:rPr>
        <w:t>目   录</w:t>
      </w:r>
      <w:bookmarkEnd w:id="1"/>
    </w:p>
    <w:p w14:paraId="77816EAA">
      <w:pPr>
        <w:pStyle w:val="37"/>
        <w:tabs>
          <w:tab w:val="right" w:leader="dot" w:pos="9402"/>
        </w:tabs>
        <w:rPr>
          <w:rFonts w:hint="eastAsia" w:ascii="楷体" w:hAnsi="楷体" w:eastAsia="楷体"/>
          <w:color w:val="auto"/>
          <w:sz w:val="22"/>
          <w:szCs w:val="24"/>
          <w:highlight w:val="none"/>
        </w:rPr>
      </w:pPr>
      <w:r>
        <w:rPr>
          <w:rFonts w:hint="eastAsia" w:ascii="楷体" w:hAnsi="楷体" w:eastAsia="楷体"/>
          <w:color w:val="auto"/>
          <w:sz w:val="28"/>
          <w:szCs w:val="28"/>
          <w:highlight w:val="none"/>
        </w:rPr>
        <w:fldChar w:fldCharType="begin"/>
      </w:r>
      <w:r>
        <w:rPr>
          <w:rFonts w:hint="eastAsia" w:ascii="楷体" w:hAnsi="楷体" w:eastAsia="楷体"/>
          <w:color w:val="auto"/>
          <w:sz w:val="28"/>
          <w:szCs w:val="28"/>
          <w:highlight w:val="none"/>
        </w:rPr>
        <w:instrText xml:space="preserve">TOC \o "1-3" \h \u </w:instrText>
      </w:r>
      <w:r>
        <w:rPr>
          <w:rFonts w:hint="eastAsia" w:ascii="楷体" w:hAnsi="楷体" w:eastAsia="楷体"/>
          <w:color w:val="auto"/>
          <w:sz w:val="28"/>
          <w:szCs w:val="28"/>
          <w:highlight w:val="none"/>
        </w:rPr>
        <w:fldChar w:fldCharType="separate"/>
      </w: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第一篇 比选邀请书</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0E320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一、比选项目内容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F11D1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二、资金来源</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FAA784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三、比选资格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3A9C96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四、比选有关说明</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DF95D3">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五、本项目无需购买比选文件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1123C4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六、采购项目需落实的政府采购政策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8E0F0F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七、其它有关规定</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080FF0">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八、联系方式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DA12A06">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第二篇  项</w:t>
      </w:r>
      <w:bookmarkStart w:id="2" w:name="_Hlt186806627"/>
      <w:bookmarkStart w:id="3" w:name="_Hlt186806626"/>
      <w:r>
        <w:rPr>
          <w:rStyle w:val="64"/>
          <w:rFonts w:hint="eastAsia" w:ascii="楷体" w:hAnsi="楷体" w:eastAsia="楷体"/>
          <w:color w:val="auto"/>
          <w:highlight w:val="none"/>
        </w:rPr>
        <w:t>目</w:t>
      </w:r>
      <w:bookmarkEnd w:id="2"/>
      <w:bookmarkEnd w:id="3"/>
      <w:r>
        <w:rPr>
          <w:rStyle w:val="64"/>
          <w:rFonts w:hint="eastAsia" w:ascii="楷体" w:hAnsi="楷体" w:eastAsia="楷体"/>
          <w:color w:val="auto"/>
          <w:highlight w:val="none"/>
        </w:rPr>
        <w:t>技术（质量）需求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120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一、设备清单表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B000F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二、设备功能及技术需求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5AD0F2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三、其他要求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FCD022">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第三篇  项目商务要求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8DA9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一、主要商务条款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1D75E9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二、交货时间、地点及验收方式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366AA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6B114E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四、报价要求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078DE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五、付款方式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BDE6E8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89AB6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七、培训</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74961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304D969">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第四篇  采购程序、评审标准、无效响应和采购终止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99F2C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一、采购程序及评审标准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AE2B1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二、无效比选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0ABCC3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297AC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第五篇  供应商须知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F90E19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一、比选费用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259291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C70EF3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11D974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四、成交供应商的确定和变更</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01F1D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五、成交通知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EC301C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六、关于质疑和投诉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45DA14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七、签订合同</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2B8EA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第六篇  合同草案条款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CB2BC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一、定义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F5964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二、货物内容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BBFD22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三、合同价格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85528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四、转包或分包</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B4FDD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858CF65">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六、付款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8A260F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七、检查验收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92F8C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八、索赔</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863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九、知识产权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E74EEA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十、合同争议的解决</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13D52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十一、违约责任</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194D39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十二、合同生效及其它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2CA5ADE">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第七篇  响应文件格式要求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DCB89B2">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一、经济部分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932A6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二、技术（质量）部分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7677E1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三、服务部分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692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991936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五、其他应提供的资料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E64041C">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第八篇 附件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A2D2B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一、技术要求部分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54A386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二、商务部分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FF4BDC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ACD778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四、其他资料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EDE516D">
      <w:pPr>
        <w:pStyle w:val="45"/>
        <w:tabs>
          <w:tab w:val="right" w:leader="dot" w:pos="9402"/>
        </w:tabs>
        <w:spacing w:line="360" w:lineRule="exact"/>
        <w:ind w:left="0" w:leftChars="0"/>
        <w:rPr>
          <w:rFonts w:hint="eastAsia" w:ascii="楷体" w:hAnsi="楷体" w:eastAsia="楷体"/>
          <w:color w:val="auto"/>
          <w:szCs w:val="28"/>
          <w:highlight w:val="none"/>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highlight w:val="none"/>
        </w:rPr>
        <w:fldChar w:fldCharType="end"/>
      </w:r>
    </w:p>
    <w:p w14:paraId="2EE48F58">
      <w:pPr>
        <w:pStyle w:val="2"/>
        <w:rPr>
          <w:rFonts w:hint="eastAsia"/>
          <w:color w:val="auto"/>
          <w:highlight w:val="none"/>
        </w:rPr>
      </w:pPr>
      <w:bookmarkStart w:id="4" w:name="_Toc11641050"/>
      <w:bookmarkStart w:id="5" w:name="_Toc178405937"/>
      <w:bookmarkStart w:id="6" w:name="_Toc18745"/>
      <w:bookmarkStart w:id="7" w:name="_Toc12789052"/>
      <w:r>
        <w:rPr>
          <w:rFonts w:hint="eastAsia"/>
          <w:color w:val="auto"/>
          <w:highlight w:val="none"/>
        </w:rPr>
        <w:t>第一篇 比选邀请书</w:t>
      </w:r>
      <w:bookmarkEnd w:id="4"/>
      <w:bookmarkEnd w:id="5"/>
      <w:bookmarkEnd w:id="6"/>
      <w:bookmarkEnd w:id="7"/>
    </w:p>
    <w:p w14:paraId="3C36CFB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重庆医科大学附属永川医院（简称“重医附属永川医院”）对超声经颅多普勒血流分析仪项目进行院内比选采购。欢迎有资格、有实力的供应商前来参加比选。</w:t>
      </w:r>
    </w:p>
    <w:p w14:paraId="5F826E54">
      <w:pPr>
        <w:pStyle w:val="3"/>
        <w:ind w:firstLine="482"/>
        <w:rPr>
          <w:rFonts w:hint="eastAsia"/>
          <w:color w:val="auto"/>
          <w:highlight w:val="none"/>
        </w:rPr>
      </w:pPr>
      <w:bookmarkStart w:id="8" w:name="_Toc178405938"/>
      <w:bookmarkStart w:id="9" w:name="_Toc17728"/>
      <w:bookmarkStart w:id="10" w:name="_Toc317775175"/>
      <w:bookmarkStart w:id="11" w:name="_Toc313893526"/>
      <w:bookmarkStart w:id="12" w:name="_Toc24661"/>
      <w:bookmarkStart w:id="13" w:name="_Toc317775178"/>
      <w:bookmarkStart w:id="14" w:name="_Toc373860293"/>
      <w:r>
        <w:rPr>
          <w:rFonts w:hint="eastAsia"/>
          <w:color w:val="auto"/>
          <w:highlight w:val="none"/>
        </w:rPr>
        <w:t>一、比选项目内容</w:t>
      </w:r>
      <w:bookmarkEnd w:id="8"/>
      <w:bookmarkEnd w:id="9"/>
      <w:bookmarkEnd w:id="10"/>
      <w:bookmarkEnd w:id="11"/>
    </w:p>
    <w:tbl>
      <w:tblPr>
        <w:tblStyle w:val="5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2"/>
      </w:tblGrid>
      <w:tr w14:paraId="00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37853A9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设备名称</w:t>
            </w:r>
          </w:p>
        </w:tc>
        <w:tc>
          <w:tcPr>
            <w:tcW w:w="2211" w:type="dxa"/>
            <w:noWrap w:val="0"/>
            <w:vAlign w:val="center"/>
          </w:tcPr>
          <w:p w14:paraId="2370DAD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成交供应商数量</w:t>
            </w:r>
          </w:p>
        </w:tc>
        <w:tc>
          <w:tcPr>
            <w:tcW w:w="2211" w:type="dxa"/>
            <w:noWrap w:val="0"/>
            <w:vAlign w:val="center"/>
          </w:tcPr>
          <w:p w14:paraId="44ECC61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购买数量</w:t>
            </w:r>
          </w:p>
        </w:tc>
        <w:tc>
          <w:tcPr>
            <w:tcW w:w="2212" w:type="dxa"/>
            <w:noWrap w:val="0"/>
            <w:vAlign w:val="center"/>
          </w:tcPr>
          <w:p w14:paraId="0166A7E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备注</w:t>
            </w:r>
          </w:p>
        </w:tc>
      </w:tr>
      <w:tr w14:paraId="3802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6DF1CFC4">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超声经颅多普勒血流分析仪</w:t>
            </w:r>
          </w:p>
        </w:tc>
        <w:tc>
          <w:tcPr>
            <w:tcW w:w="2211" w:type="dxa"/>
            <w:noWrap w:val="0"/>
            <w:vAlign w:val="center"/>
          </w:tcPr>
          <w:p w14:paraId="798C8A94">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（名）</w:t>
            </w:r>
          </w:p>
        </w:tc>
        <w:tc>
          <w:tcPr>
            <w:tcW w:w="2211" w:type="dxa"/>
            <w:noWrap w:val="0"/>
            <w:vAlign w:val="center"/>
          </w:tcPr>
          <w:p w14:paraId="1DC54436">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1台</w:t>
            </w:r>
          </w:p>
        </w:tc>
        <w:tc>
          <w:tcPr>
            <w:tcW w:w="2212" w:type="dxa"/>
            <w:noWrap w:val="0"/>
            <w:vAlign w:val="center"/>
          </w:tcPr>
          <w:p w14:paraId="2CA72303">
            <w:pPr>
              <w:spacing w:line="400" w:lineRule="exact"/>
              <w:jc w:val="center"/>
              <w:rPr>
                <w:rFonts w:hint="eastAsia" w:ascii="楷体" w:hAnsi="楷体" w:eastAsia="楷体"/>
                <w:color w:val="auto"/>
                <w:sz w:val="24"/>
                <w:szCs w:val="24"/>
                <w:highlight w:val="none"/>
              </w:rPr>
            </w:pPr>
          </w:p>
        </w:tc>
      </w:tr>
    </w:tbl>
    <w:p w14:paraId="0B9657E3">
      <w:pPr>
        <w:pStyle w:val="3"/>
        <w:ind w:firstLine="482"/>
        <w:rPr>
          <w:rFonts w:ascii="楷体" w:hAnsi="楷体"/>
          <w:color w:val="auto"/>
          <w:szCs w:val="24"/>
          <w:highlight w:val="none"/>
        </w:rPr>
      </w:pPr>
      <w:bookmarkStart w:id="15" w:name="_Toc178405939"/>
      <w:bookmarkStart w:id="16" w:name="_Toc475"/>
      <w:r>
        <w:rPr>
          <w:rFonts w:hint="eastAsia"/>
          <w:color w:val="auto"/>
          <w:highlight w:val="none"/>
        </w:rPr>
        <w:t>二、资金来源</w:t>
      </w:r>
      <w:bookmarkEnd w:id="15"/>
      <w:bookmarkEnd w:id="16"/>
      <w:bookmarkStart w:id="17" w:name="_Toc3816"/>
      <w:bookmarkStart w:id="18" w:name="_Toc31105"/>
    </w:p>
    <w:p w14:paraId="12A8EC2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医院自筹</w:t>
      </w:r>
      <w:bookmarkEnd w:id="17"/>
      <w:bookmarkEnd w:id="18"/>
      <w:r>
        <w:rPr>
          <w:rFonts w:hint="eastAsia" w:ascii="楷体" w:hAnsi="楷体" w:eastAsia="楷体"/>
          <w:color w:val="auto"/>
          <w:sz w:val="24"/>
          <w:szCs w:val="24"/>
          <w:highlight w:val="none"/>
        </w:rPr>
        <w:t>或专项资金，</w:t>
      </w:r>
      <w:r>
        <w:rPr>
          <w:rFonts w:hint="eastAsia" w:ascii="楷体" w:hAnsi="楷体" w:eastAsia="楷体"/>
          <w:b/>
          <w:color w:val="auto"/>
          <w:sz w:val="24"/>
          <w:szCs w:val="24"/>
          <w:highlight w:val="none"/>
        </w:rPr>
        <w:t>设备预算单价为15.0万元/</w:t>
      </w:r>
      <w:r>
        <w:rPr>
          <w:rFonts w:hint="eastAsia" w:ascii="楷体" w:hAnsi="楷体" w:eastAsia="楷体"/>
          <w:color w:val="auto"/>
          <w:sz w:val="24"/>
          <w:szCs w:val="24"/>
          <w:highlight w:val="none"/>
        </w:rPr>
        <w:t>台</w:t>
      </w:r>
      <w:r>
        <w:rPr>
          <w:rFonts w:hint="eastAsia" w:ascii="楷体" w:hAnsi="楷体" w:eastAsia="楷体"/>
          <w:b/>
          <w:color w:val="auto"/>
          <w:sz w:val="24"/>
          <w:szCs w:val="24"/>
          <w:highlight w:val="none"/>
        </w:rPr>
        <w:t>，数量为</w:t>
      </w:r>
      <w:r>
        <w:rPr>
          <w:rFonts w:hint="eastAsia" w:ascii="楷体" w:hAnsi="楷体" w:eastAsia="楷体"/>
          <w:color w:val="auto"/>
          <w:sz w:val="24"/>
          <w:szCs w:val="24"/>
          <w:highlight w:val="none"/>
        </w:rPr>
        <w:t>1台</w:t>
      </w:r>
      <w:r>
        <w:rPr>
          <w:rFonts w:hint="eastAsia" w:ascii="楷体" w:hAnsi="楷体" w:eastAsia="楷体"/>
          <w:b/>
          <w:color w:val="auto"/>
          <w:sz w:val="24"/>
          <w:szCs w:val="24"/>
          <w:highlight w:val="none"/>
        </w:rPr>
        <w:t>，合计总预算为15.0万元，最终报价不得超过</w:t>
      </w:r>
      <w:r>
        <w:rPr>
          <w:rFonts w:hint="eastAsia" w:ascii="楷体" w:hAnsi="楷体" w:eastAsia="楷体"/>
          <w:b/>
          <w:color w:val="auto"/>
          <w:sz w:val="24"/>
          <w:szCs w:val="24"/>
          <w:highlight w:val="none"/>
          <w:lang w:eastAsia="zh-CN"/>
        </w:rPr>
        <w:t>预算</w:t>
      </w:r>
      <w:r>
        <w:rPr>
          <w:rFonts w:hint="eastAsia" w:ascii="楷体" w:hAnsi="楷体" w:eastAsia="楷体"/>
          <w:b/>
          <w:color w:val="auto"/>
          <w:sz w:val="24"/>
          <w:szCs w:val="24"/>
          <w:highlight w:val="none"/>
        </w:rPr>
        <w:t>，否则为“无效比选”。</w:t>
      </w:r>
    </w:p>
    <w:p w14:paraId="1C0AAC4A">
      <w:pPr>
        <w:pStyle w:val="3"/>
        <w:ind w:firstLine="482"/>
        <w:rPr>
          <w:rFonts w:hint="eastAsia"/>
          <w:color w:val="auto"/>
          <w:highlight w:val="none"/>
        </w:rPr>
      </w:pPr>
      <w:bookmarkStart w:id="19" w:name="_Toc178405940"/>
      <w:r>
        <w:rPr>
          <w:rFonts w:hint="eastAsia"/>
          <w:color w:val="auto"/>
          <w:highlight w:val="none"/>
        </w:rPr>
        <w:t>三、比选资格</w:t>
      </w:r>
      <w:bookmarkEnd w:id="12"/>
      <w:bookmarkEnd w:id="19"/>
    </w:p>
    <w:p w14:paraId="044A84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7455B86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（一）基本资格条件</w:t>
      </w:r>
    </w:p>
    <w:p w14:paraId="635E3A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1.具有独立承担民事责任的能力；</w:t>
      </w:r>
    </w:p>
    <w:p w14:paraId="26CB3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2.具有良好的商业信誉和健全的财务会计制度；</w:t>
      </w:r>
    </w:p>
    <w:p w14:paraId="40DB0363">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3.具有履行合同所必需的设备和专业技术能力；</w:t>
      </w:r>
    </w:p>
    <w:p w14:paraId="4C261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4.有依法缴纳税收和社会保障资金的良好记录；</w:t>
      </w:r>
    </w:p>
    <w:p w14:paraId="64C1B4E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5.参加政府采购活动前三年内，在经营活动中没有重大违法记录；</w:t>
      </w:r>
    </w:p>
    <w:p w14:paraId="334EF6A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6.法律、行政法规规定的其他条件。</w:t>
      </w:r>
    </w:p>
    <w:p w14:paraId="55FE45A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（二）特定资格要求：</w:t>
      </w:r>
      <w:bookmarkEnd w:id="13"/>
      <w:bookmarkEnd w:id="14"/>
      <w:bookmarkStart w:id="20" w:name="_Toc54171060"/>
      <w:bookmarkStart w:id="21" w:name="_Toc14397"/>
      <w:bookmarkStart w:id="22" w:name="_Toc102227313"/>
    </w:p>
    <w:p w14:paraId="6014E74B">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41E31FA9">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2.所投产品属于第一类医疗器械的，须提供第一类医疗器械备案信息表（提供信息表复印件）；所投产品属于第二类的，须具有在有效期内的中华人民共和国医疗器械注册证（提供注册证复印件）。</w:t>
      </w:r>
    </w:p>
    <w:p w14:paraId="7665E031">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（三）注意事项：</w:t>
      </w:r>
    </w:p>
    <w:p w14:paraId="0E513076">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1.响应文件“响应应答”中有任意一条及以上不满足采购文件“第二篇项目技术（质量）需求”要求的，响应人为“无效比选（响应）”；</w:t>
      </w:r>
    </w:p>
    <w:p w14:paraId="6E13D5DC">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 xml:space="preserve">2.响应文件“响应应答”中有任意一条及以上不满足采购文件“第三篇 项目商务要求”要求的，响应人为“无效比选（响应）”。 </w:t>
      </w:r>
    </w:p>
    <w:p w14:paraId="2A905A39">
      <w:pPr>
        <w:pStyle w:val="3"/>
        <w:ind w:firstLine="482"/>
        <w:rPr>
          <w:rFonts w:hint="eastAsia"/>
          <w:color w:val="auto"/>
          <w:highlight w:val="none"/>
        </w:rPr>
      </w:pPr>
      <w:bookmarkStart w:id="23" w:name="_Toc178405941"/>
      <w:r>
        <w:rPr>
          <w:rFonts w:hint="eastAsia"/>
          <w:color w:val="auto"/>
          <w:highlight w:val="none"/>
        </w:rPr>
        <w:t>四、比选有关说明</w:t>
      </w:r>
      <w:bookmarkEnd w:id="20"/>
      <w:bookmarkEnd w:id="23"/>
    </w:p>
    <w:p w14:paraId="22DF19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（一）凡有意参加比选的供应商，请在重医附属永川医院官网下载本项目比选文件以及图纸、澄清等比选前公布的所有项目资料，无论供应商下载与否，均视为已知晓所有比选实质性要求内容。</w:t>
      </w:r>
    </w:p>
    <w:p w14:paraId="6AF211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1.响应人应当按照比选文件的要求编制响应文件，并对比选文件提出的要求和条件作出实质性响应，响应文件建议采用软面胶装（不采用穿孔式）、文件夹式活页装订，同时应编制完整的封面、页码、目录。</w:t>
      </w:r>
    </w:p>
    <w:p w14:paraId="68BBA02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2.响应文件一式四份，其中正本一份，副本三份（副本可为正本的复印件，应与正本一致，如出现不一致情况以正本为准。注：响应文件密封的外封套上必须注明比选项目名称、比选公司名称、联系人姓名及电话。 </w:t>
      </w:r>
    </w:p>
    <w:p w14:paraId="11848753">
      <w:pPr>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（二）凡有意参加的供应商，请于</w:t>
      </w:r>
      <w:r>
        <w:rPr>
          <w:rFonts w:hint="eastAsia" w:ascii="楷体" w:hAnsi="楷体" w:eastAsia="楷体"/>
          <w:color w:val="auto"/>
          <w:sz w:val="24"/>
          <w:szCs w:val="24"/>
          <w:highlight w:val="none"/>
          <w:lang w:eastAsia="zh-CN"/>
        </w:rPr>
        <w:t>2025年2月8日</w:t>
      </w:r>
      <w:r>
        <w:rPr>
          <w:rFonts w:hint="eastAsia" w:ascii="楷体" w:hAnsi="楷体" w:eastAsia="楷体"/>
          <w:color w:val="auto"/>
          <w:sz w:val="24"/>
          <w:szCs w:val="24"/>
          <w:highlight w:val="none"/>
        </w:rPr>
        <w:t>00:00至</w:t>
      </w:r>
      <w:bookmarkStart w:id="189" w:name="_GoBack"/>
      <w:bookmarkEnd w:id="189"/>
      <w:r>
        <w:rPr>
          <w:rFonts w:hint="eastAsia" w:ascii="楷体" w:hAnsi="楷体" w:eastAsia="楷体"/>
          <w:color w:val="auto"/>
          <w:sz w:val="24"/>
          <w:szCs w:val="24"/>
          <w:highlight w:val="none"/>
          <w:lang w:eastAsia="zh-CN"/>
        </w:rPr>
        <w:t>2025年2月11日</w:t>
      </w:r>
      <w:r>
        <w:rPr>
          <w:rFonts w:hint="eastAsia" w:ascii="楷体" w:hAnsi="楷体" w:eastAsia="楷体"/>
          <w:color w:val="auto"/>
          <w:sz w:val="24"/>
          <w:szCs w:val="24"/>
          <w:highlight w:val="none"/>
        </w:rPr>
        <w:t>24:00（法定公休日、法定节假日除外）</w:t>
      </w:r>
      <w:r>
        <w:rPr>
          <w:rFonts w:hint="eastAsia" w:ascii="楷体" w:hAnsi="楷体" w:eastAsia="楷体"/>
          <w:b/>
          <w:color w:val="auto"/>
          <w:sz w:val="30"/>
          <w:szCs w:val="30"/>
          <w:highlight w:val="none"/>
        </w:rPr>
        <w:t>顺丰邮寄纸质版资质文件报名</w:t>
      </w:r>
      <w:r>
        <w:rPr>
          <w:rFonts w:hint="eastAsia" w:ascii="楷体" w:hAnsi="楷体" w:eastAsia="楷体"/>
          <w:color w:val="auto"/>
          <w:sz w:val="24"/>
          <w:szCs w:val="24"/>
          <w:highlight w:val="none"/>
        </w:rPr>
        <w:t>。</w:t>
      </w:r>
    </w:p>
    <w:p w14:paraId="627BBEAA">
      <w:pPr>
        <w:spacing w:line="400" w:lineRule="exact"/>
        <w:ind w:firstLine="602" w:firstLineChars="200"/>
        <w:rPr>
          <w:rFonts w:hint="eastAsia" w:ascii="楷体" w:hAnsi="楷体" w:eastAsia="楷体"/>
          <w:b/>
          <w:color w:val="auto"/>
          <w:sz w:val="24"/>
          <w:szCs w:val="24"/>
          <w:highlight w:val="none"/>
        </w:rPr>
      </w:pPr>
      <w:r>
        <w:rPr>
          <w:rFonts w:hint="eastAsia" w:ascii="楷体" w:hAnsi="楷体" w:eastAsia="楷体"/>
          <w:b/>
          <w:color w:val="auto"/>
          <w:sz w:val="30"/>
          <w:szCs w:val="30"/>
          <w:highlight w:val="none"/>
        </w:rPr>
        <w:t>报名方式：</w:t>
      </w:r>
      <w:r>
        <w:rPr>
          <w:rFonts w:ascii="楷体" w:hAnsi="楷体" w:eastAsia="楷体"/>
          <w:b/>
          <w:color w:val="auto"/>
          <w:sz w:val="24"/>
          <w:szCs w:val="24"/>
          <w:highlight w:val="none"/>
        </w:rPr>
        <w:fldChar w:fldCharType="begin"/>
      </w:r>
      <w:r>
        <w:rPr>
          <w:rFonts w:ascii="楷体" w:hAnsi="楷体" w:eastAsia="楷体"/>
          <w:b/>
          <w:color w:val="auto"/>
          <w:sz w:val="24"/>
          <w:szCs w:val="24"/>
          <w:highlight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color w:val="auto"/>
          <w:sz w:val="24"/>
          <w:szCs w:val="24"/>
          <w:highlight w:val="none"/>
        </w:rPr>
        <w:fldChar w:fldCharType="separate"/>
      </w:r>
      <w:r>
        <w:rPr>
          <w:rStyle w:val="64"/>
          <w:rFonts w:hint="eastAsia" w:ascii="楷体" w:hAnsi="楷体" w:eastAsia="楷体"/>
          <w:color w:val="auto"/>
          <w:sz w:val="24"/>
          <w:szCs w:val="24"/>
          <w:highlight w:val="none"/>
          <w:u w:val="none"/>
        </w:rPr>
        <w:fldChar w:fldCharType="begin"/>
      </w:r>
      <w:r>
        <w:rPr>
          <w:rStyle w:val="64"/>
          <w:rFonts w:hint="eastAsia" w:ascii="楷体" w:hAnsi="楷体" w:eastAsia="楷体"/>
          <w:color w:val="auto"/>
          <w:sz w:val="24"/>
          <w:szCs w:val="24"/>
          <w:highlight w:val="none"/>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highlight w:val="none"/>
          <w:u w:val="none"/>
        </w:rPr>
        <w:fldChar w:fldCharType="separate"/>
      </w:r>
      <w:r>
        <w:rPr>
          <w:rStyle w:val="64"/>
          <w:rFonts w:hint="eastAsia" w:ascii="楷体" w:hAnsi="楷体" w:eastAsia="楷体"/>
          <w:color w:val="auto"/>
          <w:sz w:val="24"/>
          <w:szCs w:val="24"/>
          <w:highlight w:val="none"/>
          <w:u w:val="none"/>
        </w:rPr>
        <w:t>请务必将</w:t>
      </w:r>
      <w:r>
        <w:rPr>
          <w:rStyle w:val="64"/>
          <w:rFonts w:hint="eastAsia" w:ascii="楷体" w:hAnsi="楷体" w:eastAsia="楷体"/>
          <w:b/>
          <w:color w:val="auto"/>
          <w:sz w:val="24"/>
          <w:szCs w:val="24"/>
          <w:highlight w:val="none"/>
          <w:u w:val="none"/>
        </w:rPr>
        <w:t>1份报名文件</w:t>
      </w:r>
      <w:r>
        <w:rPr>
          <w:rStyle w:val="64"/>
          <w:rFonts w:hint="eastAsia" w:ascii="楷体" w:hAnsi="楷体" w:eastAsia="楷体"/>
          <w:color w:val="auto"/>
          <w:sz w:val="24"/>
          <w:szCs w:val="24"/>
          <w:highlight w:val="none"/>
          <w:u w:val="none"/>
        </w:rPr>
        <w:t>，内含：采购项目名称及采购</w:t>
      </w:r>
      <w:r>
        <w:rPr>
          <w:rStyle w:val="64"/>
          <w:rFonts w:hint="eastAsia" w:ascii="楷体" w:hAnsi="楷体" w:eastAsia="楷体"/>
          <w:b/>
          <w:color w:val="auto"/>
          <w:sz w:val="24"/>
          <w:szCs w:val="24"/>
          <w:highlight w:val="none"/>
          <w:u w:val="none"/>
        </w:rPr>
        <w:t>项目编号</w:t>
      </w:r>
      <w:r>
        <w:rPr>
          <w:rStyle w:val="64"/>
          <w:rFonts w:hint="eastAsia" w:ascii="楷体" w:hAnsi="楷体" w:eastAsia="楷体"/>
          <w:color w:val="auto"/>
          <w:sz w:val="24"/>
          <w:szCs w:val="24"/>
          <w:highlight w:val="none"/>
          <w:u w:val="none"/>
        </w:rPr>
        <w:t>、供应商名称、报名时间</w:t>
      </w:r>
      <w:r>
        <w:rPr>
          <w:rStyle w:val="64"/>
          <w:rFonts w:hint="eastAsia" w:ascii="楷体" w:hAnsi="楷体" w:eastAsia="楷体"/>
          <w:b/>
          <w:color w:val="auto"/>
          <w:sz w:val="24"/>
          <w:szCs w:val="24"/>
          <w:highlight w:val="none"/>
          <w:u w:val="none"/>
        </w:rPr>
        <w:t>、</w:t>
      </w:r>
      <w:r>
        <w:rPr>
          <w:rStyle w:val="64"/>
          <w:rFonts w:hint="eastAsia" w:ascii="楷体" w:hAnsi="楷体" w:eastAsia="楷体"/>
          <w:color w:val="auto"/>
          <w:sz w:val="24"/>
          <w:szCs w:val="24"/>
          <w:highlight w:val="none"/>
          <w:u w:val="none"/>
        </w:rPr>
        <w:t>联系人名称及联系方式、电子邮箱地址写在封面上，</w:t>
      </w:r>
      <w:r>
        <w:rPr>
          <w:rStyle w:val="64"/>
          <w:rFonts w:hint="eastAsia" w:ascii="楷体" w:hAnsi="楷体" w:eastAsia="楷体"/>
          <w:b/>
          <w:color w:val="auto"/>
          <w:sz w:val="24"/>
          <w:szCs w:val="24"/>
          <w:highlight w:val="none"/>
          <w:u w:val="none"/>
        </w:rPr>
        <w:t>报名文件内需要包含</w:t>
      </w:r>
      <w:r>
        <w:rPr>
          <w:rStyle w:val="64"/>
          <w:rFonts w:hint="eastAsia" w:ascii="楷体" w:hAnsi="楷体" w:eastAsia="楷体"/>
          <w:color w:val="auto"/>
          <w:sz w:val="24"/>
          <w:szCs w:val="24"/>
          <w:highlight w:val="none"/>
          <w:u w:val="none"/>
        </w:rPr>
        <w:t>供应商、代理商、制造商一般资质、授权书和特定资格要求等相关资料，盖鲜章后的清晰</w:t>
      </w:r>
      <w:r>
        <w:rPr>
          <w:rStyle w:val="64"/>
          <w:rFonts w:hint="eastAsia" w:ascii="楷体" w:hAnsi="楷体" w:eastAsia="楷体"/>
          <w:b/>
          <w:color w:val="auto"/>
          <w:sz w:val="30"/>
          <w:szCs w:val="30"/>
          <w:highlight w:val="none"/>
          <w:u w:val="none"/>
        </w:rPr>
        <w:t>纸质版文件通过顺丰邮寄</w:t>
      </w:r>
      <w:r>
        <w:rPr>
          <w:rStyle w:val="64"/>
          <w:rFonts w:hint="eastAsia" w:ascii="楷体" w:hAnsi="楷体" w:eastAsia="楷体"/>
          <w:color w:val="auto"/>
          <w:sz w:val="24"/>
          <w:szCs w:val="24"/>
          <w:highlight w:val="none"/>
          <w:u w:val="none"/>
        </w:rPr>
        <w:t>给采购办彭老师收</w:t>
      </w:r>
      <w:r>
        <w:rPr>
          <w:rStyle w:val="64"/>
          <w:rFonts w:hint="eastAsia" w:ascii="楷体" w:hAnsi="楷体" w:eastAsia="楷体"/>
          <w:b/>
          <w:color w:val="auto"/>
          <w:sz w:val="24"/>
          <w:szCs w:val="24"/>
          <w:highlight w:val="none"/>
          <w:u w:val="none"/>
        </w:rPr>
        <w:t>(收件地址:重庆市永川区萱花路439号采购办,彭老师:023-85385105,请一定使用顺丰邮寄)</w:t>
      </w:r>
      <w:r>
        <w:rPr>
          <w:rStyle w:val="64"/>
          <w:rFonts w:hint="eastAsia" w:ascii="楷体" w:hAnsi="楷体" w:eastAsia="楷体"/>
          <w:color w:val="auto"/>
          <w:sz w:val="24"/>
          <w:szCs w:val="24"/>
          <w:highlight w:val="none"/>
          <w:u w:val="none"/>
        </w:rPr>
        <w:fldChar w:fldCharType="end"/>
      </w:r>
      <w:r>
        <w:rPr>
          <w:rStyle w:val="64"/>
          <w:rFonts w:hint="eastAsia" w:ascii="楷体" w:hAnsi="楷体" w:eastAsia="楷体"/>
          <w:color w:val="auto"/>
          <w:sz w:val="24"/>
          <w:szCs w:val="24"/>
          <w:highlight w:val="none"/>
          <w:u w:val="none"/>
        </w:rPr>
        <w:t>，不需要邮寄“一正三副”的响应文件，响应文件是后期由供应商带到采购现场的。</w:t>
      </w:r>
      <w:r>
        <w:rPr>
          <w:rFonts w:ascii="楷体" w:hAnsi="楷体" w:eastAsia="楷体"/>
          <w:b/>
          <w:color w:val="auto"/>
          <w:sz w:val="24"/>
          <w:szCs w:val="24"/>
          <w:highlight w:val="none"/>
        </w:rPr>
        <w:fldChar w:fldCharType="end"/>
      </w:r>
    </w:p>
    <w:p w14:paraId="3F882D5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报名的单位名称必须与响应人名称相同，只有按上述规定报名后，才具备响应资格。</w:t>
      </w:r>
    </w:p>
    <w:p w14:paraId="0F4C68F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（三）比选公告期限：自采购公告发布之日（</w:t>
      </w:r>
      <w:r>
        <w:rPr>
          <w:rFonts w:hint="eastAsia" w:ascii="楷体" w:hAnsi="楷体" w:eastAsia="楷体"/>
          <w:color w:val="auto"/>
          <w:sz w:val="24"/>
          <w:szCs w:val="24"/>
          <w:highlight w:val="none"/>
          <w:lang w:eastAsia="zh-CN"/>
        </w:rPr>
        <w:t>2025年2月8日</w:t>
      </w:r>
      <w:r>
        <w:rPr>
          <w:rFonts w:hint="eastAsia" w:ascii="楷体" w:hAnsi="楷体" w:eastAsia="楷体"/>
          <w:color w:val="auto"/>
          <w:sz w:val="24"/>
          <w:szCs w:val="24"/>
          <w:highlight w:val="none"/>
        </w:rPr>
        <w:t>）起三个工作日。</w:t>
      </w:r>
    </w:p>
    <w:p w14:paraId="1244390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（四）获取比选文件时间：</w:t>
      </w:r>
      <w:r>
        <w:rPr>
          <w:rFonts w:hint="eastAsia" w:ascii="楷体" w:hAnsi="楷体" w:eastAsia="楷体"/>
          <w:color w:val="auto"/>
          <w:sz w:val="24"/>
          <w:szCs w:val="24"/>
          <w:highlight w:val="none"/>
          <w:lang w:eastAsia="zh-CN"/>
        </w:rPr>
        <w:t>2025年2月8日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2025年2月11日</w:t>
      </w:r>
      <w:r>
        <w:rPr>
          <w:rFonts w:hint="eastAsia" w:ascii="楷体" w:hAnsi="楷体" w:eastAsia="楷体"/>
          <w:color w:val="auto"/>
          <w:sz w:val="24"/>
          <w:szCs w:val="24"/>
          <w:highlight w:val="none"/>
        </w:rPr>
        <w:t>24:00</w:t>
      </w:r>
    </w:p>
    <w:p w14:paraId="573E5DB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（五）比选地点：重庆医科大学附属永川医院综合楼4楼会议室（地址：重庆市永川区萱花路439号）    </w:t>
      </w:r>
    </w:p>
    <w:p w14:paraId="15262E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（六）提交报名文件截止时间：</w:t>
      </w:r>
      <w:r>
        <w:rPr>
          <w:rFonts w:hint="eastAsia" w:ascii="楷体" w:hAnsi="楷体" w:eastAsia="楷体"/>
          <w:color w:val="auto"/>
          <w:sz w:val="24"/>
          <w:szCs w:val="24"/>
          <w:highlight w:val="none"/>
          <w:lang w:eastAsia="zh-CN"/>
        </w:rPr>
        <w:t>2025年2月11日</w:t>
      </w:r>
      <w:r>
        <w:rPr>
          <w:rFonts w:hint="eastAsia" w:ascii="楷体" w:hAnsi="楷体" w:eastAsia="楷体"/>
          <w:color w:val="auto"/>
          <w:sz w:val="24"/>
          <w:szCs w:val="24"/>
          <w:highlight w:val="none"/>
        </w:rPr>
        <w:t>24:00</w:t>
      </w:r>
    </w:p>
    <w:p w14:paraId="3368486E">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（七）比选开始时间：待定，</w:t>
      </w:r>
      <w:r>
        <w:rPr>
          <w:rFonts w:hint="eastAsia" w:ascii="楷体" w:hAnsi="楷体" w:eastAsia="楷体"/>
          <w:color w:val="auto"/>
          <w:sz w:val="24"/>
          <w:szCs w:val="24"/>
          <w:highlight w:val="none"/>
        </w:rPr>
        <w:t>不需要邮寄“一正三副”的响应文件，响应文件是后期由供应商带到采购现场的。</w:t>
      </w:r>
    </w:p>
    <w:p w14:paraId="3EE86589">
      <w:pPr>
        <w:pStyle w:val="3"/>
        <w:ind w:firstLine="482"/>
        <w:rPr>
          <w:rFonts w:hint="eastAsia"/>
          <w:color w:val="auto"/>
          <w:highlight w:val="none"/>
        </w:rPr>
      </w:pPr>
      <w:bookmarkStart w:id="24" w:name="_Toc178405942"/>
      <w:r>
        <w:rPr>
          <w:rFonts w:hint="eastAsia"/>
          <w:color w:val="auto"/>
          <w:highlight w:val="none"/>
        </w:rPr>
        <w:t>五、本项目无需购买比选文件</w:t>
      </w:r>
      <w:bookmarkEnd w:id="24"/>
      <w:bookmarkStart w:id="25" w:name="_Toc54718176"/>
      <w:bookmarkStart w:id="26" w:name="_Toc54171062"/>
      <w:bookmarkStart w:id="27" w:name="_Toc373860294"/>
    </w:p>
    <w:bookmarkEnd w:id="25"/>
    <w:bookmarkEnd w:id="26"/>
    <w:bookmarkEnd w:id="27"/>
    <w:p w14:paraId="2EFE6BF9">
      <w:pPr>
        <w:pStyle w:val="3"/>
        <w:ind w:firstLine="482"/>
        <w:rPr>
          <w:rFonts w:hint="eastAsia"/>
          <w:color w:val="auto"/>
          <w:highlight w:val="none"/>
        </w:rPr>
      </w:pPr>
      <w:bookmarkStart w:id="28" w:name="_Toc178405943"/>
      <w:bookmarkStart w:id="29" w:name="_Toc54171063"/>
      <w:bookmarkStart w:id="30" w:name="_Toc480466699"/>
      <w:r>
        <w:rPr>
          <w:rFonts w:hint="eastAsia"/>
          <w:color w:val="auto"/>
          <w:highlight w:val="none"/>
        </w:rPr>
        <w:t>六、采购项目需落实的政府采购政策</w:t>
      </w:r>
      <w:bookmarkEnd w:id="28"/>
    </w:p>
    <w:p w14:paraId="1C56C7B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0676C5E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（二）按照财政部、工业和信息化部关于印发《政府采购促进中小企业发展管理办法》的通知（财库〔2020〕46号），落实促进中小企业发展政策。</w:t>
      </w:r>
    </w:p>
    <w:p w14:paraId="2C98CE1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（三）按照《财政部、司法部关于政府采购支持监狱企业发展有关问题的通知》（财库〔2014〕68号）的规定，落实支持监狱企业发展政策。</w:t>
      </w:r>
    </w:p>
    <w:p w14:paraId="75CD2E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（四）按照《三部门联合发布关于促进残疾人就业政府采购政策的通知》（财库〔2017〕 141号）的规定，落实支持残疾人福利性单位发展政策。</w:t>
      </w:r>
    </w:p>
    <w:p w14:paraId="419AB748">
      <w:pPr>
        <w:pStyle w:val="3"/>
        <w:ind w:firstLine="482"/>
        <w:rPr>
          <w:rFonts w:hint="eastAsia"/>
          <w:color w:val="auto"/>
          <w:highlight w:val="none"/>
        </w:rPr>
      </w:pPr>
      <w:bookmarkStart w:id="31" w:name="_Toc178405944"/>
      <w:r>
        <w:rPr>
          <w:rFonts w:hint="eastAsia"/>
          <w:color w:val="auto"/>
          <w:highlight w:val="none"/>
        </w:rPr>
        <w:t>七、其它有关规定</w:t>
      </w:r>
      <w:bookmarkEnd w:id="29"/>
      <w:bookmarkEnd w:id="30"/>
      <w:bookmarkEnd w:id="31"/>
    </w:p>
    <w:p w14:paraId="0316BF97">
      <w:pPr>
        <w:spacing w:line="400" w:lineRule="exact"/>
        <w:ind w:firstLine="480" w:firstLineChars="200"/>
        <w:rPr>
          <w:rFonts w:hint="eastAsia" w:ascii="楷体" w:hAnsi="楷体" w:eastAsia="楷体"/>
          <w:color w:val="auto"/>
          <w:sz w:val="24"/>
          <w:szCs w:val="24"/>
          <w:highlight w:val="none"/>
        </w:rPr>
      </w:pPr>
      <w:bookmarkStart w:id="32" w:name="_Toc480466700"/>
      <w:bookmarkStart w:id="33" w:name="_Toc54171064"/>
      <w:r>
        <w:rPr>
          <w:rFonts w:hint="eastAsia" w:ascii="楷体" w:hAnsi="楷体" w:eastAsia="楷体"/>
          <w:color w:val="auto"/>
          <w:sz w:val="24"/>
          <w:szCs w:val="24"/>
          <w:highlight w:val="none"/>
        </w:rPr>
        <w:t>（一）单位负责人为同一人或者存在直接控股、管理关系的不同供应商，不得参加同一合同项（包）下的采购活动，否则均为无效比选。</w:t>
      </w:r>
    </w:p>
    <w:p w14:paraId="2E84814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（二）为采购项目提供整体设计、规范编制或者项目管理、监理、检测等服务的供应商，不得再参加该采购项目的其他采购活动。</w:t>
      </w:r>
    </w:p>
    <w:p w14:paraId="099FCF6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（三）同一合同项（包）下为单一品目的货物采购中，同一品牌同一型号产品有多家供应商参加比选，只能按照一家供应商计算。</w:t>
      </w:r>
    </w:p>
    <w:p w14:paraId="066E0E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（四）同一合同项（包）下的货物，制造商参与比选的，不得再委托代理商参与比选。</w:t>
      </w:r>
    </w:p>
    <w:p w14:paraId="17E75C8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（五）本项目的澄清文件（如果有）一律在重医附属永川医院官网上发布，请各供应商注意下载；无论供应商下载或与否，均视同供应商已知晓本项目澄清文件（如果有）的内容。</w:t>
      </w:r>
    </w:p>
    <w:p w14:paraId="188E1E4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（六）未报名的，其响应文件恕不接收；超过响应文件截止时间递交的响应文件，恕不接收。</w:t>
      </w:r>
    </w:p>
    <w:p w14:paraId="01C28B2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（七）比选费用：无论比选结果如何，供应商参与本项目比选的所有费用均应由供应商自行承担。</w:t>
      </w:r>
    </w:p>
    <w:p w14:paraId="43170FC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（八）在响应文件内，供应商提供与响应产品同品牌、同规格、型号的3年内签订的二甲及以上医院合同复印件或者中标通知书复印件或者有效合法发票复印件</w:t>
      </w:r>
      <w:r>
        <w:rPr>
          <w:rFonts w:hint="eastAsia" w:ascii="楷体" w:hAnsi="楷体" w:eastAsia="楷体"/>
          <w:color w:val="auto"/>
          <w:szCs w:val="28"/>
          <w:highlight w:val="none"/>
        </w:rPr>
        <w:t>2份</w:t>
      </w:r>
      <w:r>
        <w:rPr>
          <w:rFonts w:hint="eastAsia" w:ascii="楷体" w:hAnsi="楷体" w:eastAsia="楷体"/>
          <w:color w:val="auto"/>
          <w:sz w:val="24"/>
          <w:szCs w:val="24"/>
          <w:highlight w:val="none"/>
        </w:rPr>
        <w:t xml:space="preserve">（可以不是由本项目响应供应商签订的；但务必要清晰完整、真实,合同价格务必要保留,不要“打码”处理）。  </w:t>
      </w:r>
    </w:p>
    <w:p w14:paraId="37EADDE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（九）本项目不接受联合体参与比选。</w:t>
      </w:r>
    </w:p>
    <w:p w14:paraId="0C5BA0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20D4C458">
      <w:pPr>
        <w:pStyle w:val="3"/>
        <w:ind w:firstLine="482"/>
        <w:rPr>
          <w:rFonts w:hint="eastAsia"/>
          <w:color w:val="auto"/>
          <w:highlight w:val="none"/>
        </w:rPr>
      </w:pPr>
      <w:bookmarkStart w:id="34" w:name="_Toc178405945"/>
      <w:r>
        <w:rPr>
          <w:rFonts w:hint="eastAsia"/>
          <w:color w:val="auto"/>
          <w:highlight w:val="none"/>
        </w:rPr>
        <w:t>八、联系方式</w:t>
      </w:r>
      <w:bookmarkEnd w:id="32"/>
      <w:bookmarkEnd w:id="33"/>
      <w:bookmarkEnd w:id="34"/>
    </w:p>
    <w:p w14:paraId="510188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医院：重庆医科大学附属永川医院</w:t>
      </w:r>
    </w:p>
    <w:p w14:paraId="5978A80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联系人：彭老师</w:t>
      </w:r>
    </w:p>
    <w:p w14:paraId="59139D5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  话：（023）85385105</w:t>
      </w:r>
    </w:p>
    <w:p w14:paraId="784E8EE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地  址： 重庆市永川区萱花路439号</w:t>
      </w:r>
    </w:p>
    <w:p w14:paraId="0E543C06">
      <w:pPr>
        <w:pStyle w:val="2"/>
        <w:rPr>
          <w:rFonts w:hint="eastAsia"/>
          <w:color w:val="auto"/>
          <w:highlight w:val="none"/>
        </w:rPr>
      </w:pPr>
      <w:bookmarkStart w:id="35" w:name="_Toc65660338"/>
      <w:r>
        <w:rPr>
          <w:color w:val="auto"/>
          <w:highlight w:val="none"/>
        </w:rPr>
        <w:br w:type="page"/>
      </w:r>
      <w:bookmarkStart w:id="36" w:name="_Toc178405946"/>
      <w:r>
        <w:rPr>
          <w:rFonts w:hint="eastAsia"/>
          <w:color w:val="auto"/>
          <w:highlight w:val="none"/>
        </w:rPr>
        <w:t>第二篇  项目技术（质量）需求</w:t>
      </w:r>
      <w:bookmarkEnd w:id="35"/>
      <w:bookmarkEnd w:id="36"/>
    </w:p>
    <w:p w14:paraId="6E283122">
      <w:pPr>
        <w:pStyle w:val="3"/>
        <w:ind w:firstLine="482"/>
        <w:rPr>
          <w:rFonts w:hint="eastAsia"/>
          <w:color w:val="auto"/>
          <w:highlight w:val="none"/>
        </w:rPr>
      </w:pPr>
      <w:bookmarkStart w:id="37" w:name="_Toc178405947"/>
      <w:bookmarkStart w:id="38" w:name="_Toc65660341"/>
      <w:r>
        <w:rPr>
          <w:rFonts w:hint="eastAsia"/>
          <w:color w:val="auto"/>
          <w:highlight w:val="none"/>
        </w:rPr>
        <w:t>一、设备清单表</w:t>
      </w:r>
      <w:bookmarkEnd w:id="37"/>
    </w:p>
    <w:tbl>
      <w:tblPr>
        <w:tblStyle w:val="57"/>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35"/>
        <w:gridCol w:w="1417"/>
        <w:gridCol w:w="1793"/>
        <w:gridCol w:w="1606"/>
      </w:tblGrid>
      <w:tr w14:paraId="470D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5" w:type="dxa"/>
            <w:noWrap w:val="0"/>
            <w:vAlign w:val="center"/>
          </w:tcPr>
          <w:p w14:paraId="3DABE0DC">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序号</w:t>
            </w:r>
          </w:p>
        </w:tc>
        <w:tc>
          <w:tcPr>
            <w:tcW w:w="2835" w:type="dxa"/>
            <w:noWrap w:val="0"/>
            <w:vAlign w:val="center"/>
          </w:tcPr>
          <w:p w14:paraId="514D5EE1">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设备名称</w:t>
            </w:r>
          </w:p>
        </w:tc>
        <w:tc>
          <w:tcPr>
            <w:tcW w:w="1417" w:type="dxa"/>
            <w:noWrap w:val="0"/>
            <w:vAlign w:val="center"/>
          </w:tcPr>
          <w:p w14:paraId="1DCACE93">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单位</w:t>
            </w:r>
          </w:p>
        </w:tc>
        <w:tc>
          <w:tcPr>
            <w:tcW w:w="1793" w:type="dxa"/>
            <w:noWrap w:val="0"/>
            <w:vAlign w:val="center"/>
          </w:tcPr>
          <w:p w14:paraId="10E2CB48">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购买数量</w:t>
            </w:r>
          </w:p>
        </w:tc>
        <w:tc>
          <w:tcPr>
            <w:tcW w:w="1606" w:type="dxa"/>
            <w:noWrap w:val="0"/>
            <w:vAlign w:val="center"/>
          </w:tcPr>
          <w:p w14:paraId="7FFABDC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备注</w:t>
            </w:r>
          </w:p>
        </w:tc>
      </w:tr>
      <w:tr w14:paraId="0BD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5" w:type="dxa"/>
            <w:noWrap w:val="0"/>
            <w:vAlign w:val="center"/>
          </w:tcPr>
          <w:p w14:paraId="671F968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2835" w:type="dxa"/>
            <w:noWrap w:val="0"/>
            <w:vAlign w:val="center"/>
          </w:tcPr>
          <w:p w14:paraId="5453981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超声经颅多普勒血流分析仪</w:t>
            </w:r>
          </w:p>
        </w:tc>
        <w:tc>
          <w:tcPr>
            <w:tcW w:w="1417" w:type="dxa"/>
            <w:noWrap w:val="0"/>
            <w:vAlign w:val="center"/>
          </w:tcPr>
          <w:p w14:paraId="38E9A9CA">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台</w:t>
            </w:r>
          </w:p>
        </w:tc>
        <w:tc>
          <w:tcPr>
            <w:tcW w:w="1793" w:type="dxa"/>
            <w:noWrap w:val="0"/>
            <w:vAlign w:val="center"/>
          </w:tcPr>
          <w:p w14:paraId="0748500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1606" w:type="dxa"/>
            <w:noWrap w:val="0"/>
            <w:vAlign w:val="center"/>
          </w:tcPr>
          <w:p w14:paraId="0010003F">
            <w:pPr>
              <w:spacing w:line="400" w:lineRule="exact"/>
              <w:jc w:val="center"/>
              <w:rPr>
                <w:rFonts w:hint="eastAsia" w:ascii="楷体" w:hAnsi="楷体" w:eastAsia="楷体" w:cs="楷体"/>
                <w:color w:val="auto"/>
                <w:kern w:val="0"/>
                <w:sz w:val="24"/>
                <w:szCs w:val="24"/>
                <w:highlight w:val="none"/>
              </w:rPr>
            </w:pPr>
          </w:p>
        </w:tc>
      </w:tr>
    </w:tbl>
    <w:p w14:paraId="55356623">
      <w:pPr>
        <w:pStyle w:val="3"/>
        <w:ind w:firstLine="482"/>
        <w:rPr>
          <w:rFonts w:hint="eastAsia"/>
          <w:color w:val="auto"/>
          <w:highlight w:val="none"/>
        </w:rPr>
      </w:pPr>
      <w:bookmarkStart w:id="39" w:name="_Toc178405948"/>
      <w:r>
        <w:rPr>
          <w:rFonts w:hint="eastAsia"/>
          <w:color w:val="auto"/>
          <w:highlight w:val="none"/>
        </w:rPr>
        <w:t>二、设备功能及技术需求</w:t>
      </w:r>
      <w:bookmarkEnd w:id="39"/>
    </w:p>
    <w:p w14:paraId="3AD7657B">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1.功能用途：用于兴龙湖院区对脑血管及外周血管疾病的诊断和监护。</w:t>
      </w:r>
    </w:p>
    <w:p w14:paraId="0C39958C">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2.具体技术需求</w:t>
      </w:r>
    </w:p>
    <w:p w14:paraId="7409124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（1）频谱分辨率：64点、128点、256点、512点、1024点、2048点</w:t>
      </w:r>
    </w:p>
    <w:p w14:paraId="31D2231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（2）配置触摸显示器不低于15.6英寸</w:t>
      </w:r>
      <w:r>
        <w:rPr>
          <w:rFonts w:hint="eastAsia" w:ascii="楷体" w:hAnsi="楷体" w:eastAsia="楷体" w:cs="楷体"/>
          <w:color w:val="auto"/>
          <w:sz w:val="24"/>
          <w:szCs w:val="24"/>
          <w:highlight w:val="none"/>
        </w:rPr>
        <w:tab/>
      </w:r>
    </w:p>
    <w:p w14:paraId="7FD1D171">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（3）检测参数：Vs、Vm、Vd、PI、RI、S/D、HR、a、频宽指数（SBI）、狭窄指数（STI）、短暂高强度信号（HITS）、热指数（TI）</w:t>
      </w:r>
    </w:p>
    <w:p w14:paraId="7A46EC23">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（4）同时工作通道数：支持单通道、双通道</w:t>
      </w:r>
    </w:p>
    <w:p w14:paraId="7DB178BA">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（5）包含颈脑血管手术脑循环监测模块、脑循环微栓子监测模块等</w:t>
      </w:r>
    </w:p>
    <w:p w14:paraId="1D3A3FA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（6）配备无线遥控器</w:t>
      </w:r>
    </w:p>
    <w:p w14:paraId="34975776">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（7）支持DICOM3.0网络接口，支持连接医院网络，PACS系统</w:t>
      </w:r>
    </w:p>
    <w:p w14:paraId="48453090">
      <w:pPr>
        <w:pStyle w:val="145"/>
        <w:spacing w:line="400" w:lineRule="exact"/>
        <w:ind w:firstLine="480"/>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rPr>
        <w:t>（8）探头要求：PW 1.6M探头1个，CW/PW双模式4M探头1个，监护探头PW 2M探头2个</w:t>
      </w:r>
    </w:p>
    <w:p w14:paraId="7C12D6A8">
      <w:pPr>
        <w:pStyle w:val="3"/>
        <w:ind w:firstLine="482"/>
        <w:rPr>
          <w:rFonts w:hint="eastAsia"/>
          <w:color w:val="auto"/>
          <w:highlight w:val="none"/>
        </w:rPr>
      </w:pPr>
      <w:bookmarkStart w:id="40" w:name="_Toc178405949"/>
      <w:bookmarkStart w:id="41" w:name="_Toc178405369"/>
      <w:r>
        <w:rPr>
          <w:rFonts w:hint="eastAsia"/>
          <w:color w:val="auto"/>
          <w:highlight w:val="none"/>
        </w:rPr>
        <w:t>三、其他要求</w:t>
      </w:r>
      <w:bookmarkEnd w:id="40"/>
      <w:bookmarkEnd w:id="41"/>
    </w:p>
    <w:p w14:paraId="7E65364F">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响应单位提供与采购人信息系统连接接口，在采购人现有相关信息系统及相关硬件接口开放的基础上，响应单位提供的软、硬件须无条件实现与采购人现有相关信息系统和硬件对接，响应单位承担第三方软件厂商开放接口所收取的费用。</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2.在远程服务或系统升级服务时，响应单位必须向采购人提出申请同意后才能实施，且响应单位对采购人的信息安全和数据安全负全责，在服务工作中造成的影响或损失由响应单位负全责。</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3.设备所提供的软件需正版化或取得相应的授权资料。</w:t>
      </w:r>
    </w:p>
    <w:p w14:paraId="2D1C68F9">
      <w:pPr>
        <w:pStyle w:val="145"/>
        <w:spacing w:line="400" w:lineRule="exact"/>
        <w:ind w:firstLine="48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w:t>
      </w:r>
    </w:p>
    <w:p w14:paraId="36F16AE7">
      <w:pPr>
        <w:pStyle w:val="145"/>
        <w:spacing w:line="400" w:lineRule="exact"/>
        <w:ind w:firstLine="480"/>
        <w:rPr>
          <w:rFonts w:hint="eastAsia" w:ascii="楷体" w:hAnsi="楷体" w:eastAsia="楷体" w:cs="楷体"/>
          <w:color w:val="auto"/>
          <w:sz w:val="24"/>
          <w:szCs w:val="24"/>
          <w:highlight w:val="none"/>
        </w:rPr>
      </w:pPr>
    </w:p>
    <w:p w14:paraId="5289F16F">
      <w:pPr>
        <w:spacing w:line="400" w:lineRule="exact"/>
        <w:ind w:right="2800" w:rightChars="1000"/>
        <w:jc w:val="both"/>
        <w:rPr>
          <w:color w:val="auto"/>
          <w:szCs w:val="28"/>
          <w:highlight w:val="none"/>
        </w:rPr>
      </w:pPr>
    </w:p>
    <w:p w14:paraId="103AFC15">
      <w:pPr>
        <w:pStyle w:val="2"/>
        <w:rPr>
          <w:rFonts w:hint="eastAsia"/>
          <w:color w:val="auto"/>
          <w:highlight w:val="none"/>
        </w:rPr>
      </w:pPr>
      <w:r>
        <w:rPr>
          <w:color w:val="auto"/>
          <w:highlight w:val="none"/>
        </w:rPr>
        <w:br w:type="page"/>
      </w:r>
      <w:bookmarkStart w:id="42" w:name="_Toc178405950"/>
      <w:r>
        <w:rPr>
          <w:rFonts w:hint="eastAsia"/>
          <w:color w:val="auto"/>
          <w:highlight w:val="none"/>
        </w:rPr>
        <w:t xml:space="preserve">第三篇  </w:t>
      </w:r>
      <w:bookmarkEnd w:id="38"/>
      <w:r>
        <w:rPr>
          <w:rFonts w:hint="eastAsia"/>
          <w:color w:val="auto"/>
          <w:highlight w:val="none"/>
        </w:rPr>
        <w:t>项目商务要求</w:t>
      </w:r>
      <w:bookmarkEnd w:id="42"/>
    </w:p>
    <w:p w14:paraId="513A7F1A">
      <w:pPr>
        <w:pStyle w:val="3"/>
        <w:ind w:firstLine="482"/>
        <w:rPr>
          <w:rFonts w:hint="eastAsia"/>
          <w:color w:val="auto"/>
          <w:highlight w:val="none"/>
        </w:rPr>
      </w:pPr>
      <w:bookmarkStart w:id="43" w:name="_Toc178405951"/>
      <w:bookmarkStart w:id="44" w:name="_Toc65660342"/>
      <w:r>
        <w:rPr>
          <w:rFonts w:hint="eastAsia"/>
          <w:color w:val="auto"/>
          <w:highlight w:val="none"/>
        </w:rPr>
        <w:t>一、主要商务条款</w:t>
      </w:r>
      <w:bookmarkEnd w:id="43"/>
    </w:p>
    <w:p w14:paraId="18A34182">
      <w:pPr>
        <w:spacing w:line="400" w:lineRule="exact"/>
        <w:ind w:firstLine="480" w:firstLineChars="200"/>
        <w:rPr>
          <w:rFonts w:hint="eastAsia" w:ascii="楷体" w:hAnsi="楷体" w:eastAsia="楷体" w:cs="楷体"/>
          <w:color w:val="auto"/>
          <w:sz w:val="24"/>
          <w:szCs w:val="24"/>
          <w:highlight w:val="none"/>
        </w:rPr>
      </w:pPr>
      <w:bookmarkStart w:id="45" w:name="_Toc178405952"/>
      <w:r>
        <w:rPr>
          <w:rFonts w:hint="eastAsia" w:ascii="楷体" w:hAnsi="楷体" w:eastAsia="楷体" w:cs="楷体"/>
          <w:color w:val="auto"/>
          <w:sz w:val="24"/>
          <w:szCs w:val="24"/>
          <w:highlight w:val="none"/>
        </w:rPr>
        <w:t>1.设备整机质保期：≥5年。产品使用寿命≥6年。</w:t>
      </w:r>
    </w:p>
    <w:p w14:paraId="263F550C">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2.设备质保期内，出现不可修复的质量问题需无条件更换全新机器，修复期超过五天时需提供备用机。</w:t>
      </w:r>
    </w:p>
    <w:p w14:paraId="375BFD6E">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3.合同期内不得随意变更配送单位。</w:t>
      </w:r>
    </w:p>
    <w:p w14:paraId="4C1623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4.若有配套易损件或封闭专用耗材（专机专用）的，需同时报价，否则视为标配。</w:t>
      </w:r>
    </w:p>
    <w:p w14:paraId="2DAF294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rPr>
        <w:t>. 设备质保期内，每年提供巡检保养服务2次，即每半年1次。</w:t>
      </w:r>
    </w:p>
    <w:p w14:paraId="7F0958E0">
      <w:pPr>
        <w:pStyle w:val="3"/>
        <w:ind w:firstLine="482"/>
        <w:rPr>
          <w:rFonts w:hint="eastAsia"/>
          <w:color w:val="auto"/>
          <w:highlight w:val="none"/>
        </w:rPr>
      </w:pPr>
      <w:r>
        <w:rPr>
          <w:rFonts w:hint="eastAsia"/>
          <w:color w:val="auto"/>
          <w:highlight w:val="none"/>
        </w:rPr>
        <w:t>二、交货时间、地点及验收方式</w:t>
      </w:r>
      <w:bookmarkEnd w:id="44"/>
      <w:bookmarkEnd w:id="45"/>
    </w:p>
    <w:p w14:paraId="77D37C89">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（一）交货时间</w:t>
      </w:r>
    </w:p>
    <w:p w14:paraId="020EB3E7">
      <w:pPr>
        <w:pStyle w:val="33"/>
        <w:spacing w:line="400" w:lineRule="exact"/>
        <w:ind w:firstLine="361" w:firstLineChars="150"/>
        <w:rPr>
          <w:rFonts w:hint="eastAsia" w:ascii="楷体" w:hAnsi="楷体" w:eastAsia="楷体" w:cs="楷体"/>
          <w:b/>
          <w:bCs/>
          <w:color w:val="auto"/>
          <w:sz w:val="24"/>
          <w:szCs w:val="24"/>
          <w:highlight w:val="none"/>
        </w:rPr>
      </w:pPr>
      <w:r>
        <w:rPr>
          <w:rFonts w:hint="eastAsia" w:ascii="楷体" w:hAnsi="楷体" w:eastAsia="楷体" w:cs="楷体"/>
          <w:b/>
          <w:color w:val="auto"/>
          <w:sz w:val="24"/>
          <w:szCs w:val="24"/>
          <w:highlight w:val="none"/>
        </w:rPr>
        <w:t>设备到货时间：成交供应商在</w:t>
      </w:r>
      <w:r>
        <w:rPr>
          <w:rFonts w:ascii="楷体" w:hAnsi="楷体" w:eastAsia="楷体" w:cs="楷体"/>
          <w:b/>
          <w:color w:val="auto"/>
          <w:sz w:val="24"/>
          <w:szCs w:val="24"/>
          <w:highlight w:val="none"/>
        </w:rPr>
        <w:t>采购合同签订</w:t>
      </w:r>
      <w:r>
        <w:rPr>
          <w:rFonts w:hint="eastAsia" w:ascii="楷体" w:hAnsi="楷体" w:eastAsia="楷体" w:cs="楷体"/>
          <w:b/>
          <w:color w:val="auto"/>
          <w:sz w:val="24"/>
          <w:szCs w:val="24"/>
          <w:highlight w:val="none"/>
        </w:rPr>
        <w:t>后30天内交货，并完成安装调试</w:t>
      </w:r>
      <w:r>
        <w:rPr>
          <w:rFonts w:hint="eastAsia" w:ascii="楷体" w:hAnsi="楷体" w:eastAsia="楷体" w:cs="楷体"/>
          <w:b/>
          <w:bCs/>
          <w:color w:val="auto"/>
          <w:sz w:val="24"/>
          <w:szCs w:val="24"/>
          <w:highlight w:val="none"/>
        </w:rPr>
        <w:t>。</w:t>
      </w:r>
    </w:p>
    <w:p w14:paraId="0E1D81C5">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（二）交货地点</w:t>
      </w:r>
    </w:p>
    <w:p w14:paraId="2960B96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交货地点：重庆医科大学附属永川医院。</w:t>
      </w:r>
    </w:p>
    <w:p w14:paraId="0C886473">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（三）验收方式</w:t>
      </w:r>
    </w:p>
    <w:p w14:paraId="15B68D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1.货物到达现场后，供应商应在使用科室、设备技术人员在场情况下当面开箱，共同清点、检查外观，作出开箱记录，双方签字确认。</w:t>
      </w:r>
    </w:p>
    <w:p w14:paraId="04A5E24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2.供应商应保证货物到达医院所在地完好无损，如有缺漏、损坏，由供应商负责调换、补齐或赔偿。</w:t>
      </w:r>
    </w:p>
    <w:p w14:paraId="3B12E4F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3.供应商应提供完备的技术资料、装箱单和合格证等，并派遣专业技术人员进行现场安装调试。验收合格条件如下：</w:t>
      </w:r>
    </w:p>
    <w:p w14:paraId="42DCEBA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3.1设备品种、规格、数量、技术参数以及商品品牌、制造商等与采购合同一致，性能指标达到规定的标准。</w:t>
      </w:r>
    </w:p>
    <w:p w14:paraId="6571E60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3.2货物技术资料、装箱单、合格证等资料齐全。</w:t>
      </w:r>
    </w:p>
    <w:p w14:paraId="56EA0E3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3.3在系统试运行期间所出现的问题得到解决，并运行正常。</w:t>
      </w:r>
    </w:p>
    <w:p w14:paraId="7451239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3.4在规定时间内完成交货并验收，并经医院确认。</w:t>
      </w:r>
    </w:p>
    <w:p w14:paraId="629A94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4.产品在安装调试并试运行符合要求后，才作为最终验收。</w:t>
      </w:r>
    </w:p>
    <w:p w14:paraId="3718F89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5.供应商提供的货物未达到比选文件规定要求，且对医院造成损失的，由供应商承担一切责任，并赔偿所造成的损失。</w:t>
      </w:r>
    </w:p>
    <w:p w14:paraId="6C1730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6.医院需要制造商对成交供应商交付的产品（包括质量、技术参数等）进行确认的，制造商应予以配合，并出具书面意见。</w:t>
      </w:r>
    </w:p>
    <w:p w14:paraId="794B04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7.产品包装材料归医院所有。</w:t>
      </w:r>
    </w:p>
    <w:p w14:paraId="2973BC2C">
      <w:pPr>
        <w:pStyle w:val="3"/>
        <w:ind w:firstLine="482"/>
        <w:rPr>
          <w:rFonts w:hint="eastAsia"/>
          <w:color w:val="auto"/>
          <w:highlight w:val="none"/>
        </w:rPr>
      </w:pPr>
      <w:bookmarkStart w:id="46" w:name="_Toc178405953"/>
      <w:bookmarkStart w:id="47" w:name="_Toc65660343"/>
      <w:r>
        <w:rPr>
          <w:rFonts w:hint="eastAsia"/>
          <w:color w:val="auto"/>
          <w:highlight w:val="none"/>
        </w:rPr>
        <w:t>三、质量保证及售后服务</w:t>
      </w:r>
      <w:bookmarkEnd w:id="46"/>
      <w:bookmarkEnd w:id="47"/>
    </w:p>
    <w:p w14:paraId="77913A8B">
      <w:pPr>
        <w:spacing w:line="400" w:lineRule="exact"/>
        <w:ind w:firstLine="480" w:firstLineChars="200"/>
        <w:rPr>
          <w:rFonts w:hint="eastAsia" w:ascii="楷体" w:hAnsi="楷体" w:eastAsia="楷体"/>
          <w:b/>
          <w:color w:val="auto"/>
          <w:sz w:val="24"/>
          <w:szCs w:val="24"/>
          <w:highlight w:val="none"/>
        </w:rPr>
      </w:pPr>
      <w:r>
        <w:rPr>
          <w:rFonts w:hint="eastAsia" w:ascii="楷体" w:hAnsi="楷体" w:eastAsia="楷体"/>
          <w:color w:val="auto"/>
          <w:sz w:val="24"/>
          <w:szCs w:val="24"/>
          <w:highlight w:val="none"/>
        </w:rPr>
        <w:t>（一）产品质量保证期：</w:t>
      </w:r>
      <w:r>
        <w:rPr>
          <w:rFonts w:hint="eastAsia" w:ascii="楷体" w:hAnsi="楷体" w:eastAsia="楷体"/>
          <w:b/>
          <w:color w:val="auto"/>
          <w:sz w:val="24"/>
          <w:szCs w:val="24"/>
          <w:highlight w:val="none"/>
        </w:rPr>
        <w:t>从验收合格的次日起，设备整机质保期≥5年。</w:t>
      </w:r>
    </w:p>
    <w:p w14:paraId="44282A1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（二）售后服务内容</w:t>
      </w:r>
    </w:p>
    <w:p w14:paraId="0A1FF74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供应商和制造商在质量保证期内应当为医院提供以下技术支持服务：</w:t>
      </w:r>
    </w:p>
    <w:p w14:paraId="088E89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1.质量保证期内服务要求</w:t>
      </w:r>
    </w:p>
    <w:p w14:paraId="3B93E58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1.1电话咨询</w:t>
      </w:r>
    </w:p>
    <w:p w14:paraId="77B3E7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成交供应商和制造商应当为医院提供技术援助电话，解答医院在使用中遇到的问题，及时为医院提出解决问题的建议。</w:t>
      </w:r>
    </w:p>
    <w:p w14:paraId="6329D1F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1.2现场响应</w:t>
      </w:r>
    </w:p>
    <w:p w14:paraId="1592FD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医院遇到使用及技术问题，电话咨询不能解决的，质保期内，乙方具备专职维修工程师，维修响应时间为2小时，24小时上门维修服务并排除设备故障，修复期超过五天时乙方应提供备用品。</w:t>
      </w:r>
    </w:p>
    <w:p w14:paraId="68BE18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1.3技术升级</w:t>
      </w:r>
    </w:p>
    <w:p w14:paraId="2BD32D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在质保期内，如果成交供应商和制造商的产品技术升级，成交供应商应及时通知医院，如医院有相应要求，成交供应商和制造商应对医院进行升级服务。</w:t>
      </w:r>
    </w:p>
    <w:p w14:paraId="629263B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2.质保期外服务要求</w:t>
      </w:r>
    </w:p>
    <w:p w14:paraId="0910CCF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2.1质量保证期过后，成交供应商和制造商应同样提供免费电话咨询服务，并应承诺提供产品上门维护服务。</w:t>
      </w:r>
    </w:p>
    <w:p w14:paraId="392E209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2.2质量保证期过后，医院需要继续由原成交供应商和制造商提供售后服务的，成交供应商和制造商应以优惠价格提供售后服务。</w:t>
      </w:r>
    </w:p>
    <w:p w14:paraId="542B9F8B">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（三）备品备件及易损件</w:t>
      </w:r>
    </w:p>
    <w:p w14:paraId="62E0814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kern w:val="0"/>
          <w:sz w:val="24"/>
          <w:szCs w:val="24"/>
          <w:highlight w:val="none"/>
        </w:rPr>
        <w:t>供应商和制造商售后服务中，维修使用的备品备件及易损件应为原厂配件，未经医院同意不得使用非原厂配件，常用的、容易损坏的备品备件及易损件的价格清单须在响应文件中列出。</w:t>
      </w:r>
    </w:p>
    <w:p w14:paraId="396D2111">
      <w:pPr>
        <w:pStyle w:val="3"/>
        <w:ind w:firstLine="482"/>
        <w:rPr>
          <w:rFonts w:hint="eastAsia"/>
          <w:color w:val="auto"/>
          <w:highlight w:val="none"/>
        </w:rPr>
      </w:pPr>
      <w:bookmarkStart w:id="48" w:name="_Toc178405954"/>
      <w:bookmarkStart w:id="49" w:name="_Toc65660344"/>
      <w:r>
        <w:rPr>
          <w:rFonts w:hint="eastAsia"/>
          <w:color w:val="auto"/>
          <w:highlight w:val="none"/>
        </w:rPr>
        <w:t>四、报价要求</w:t>
      </w:r>
      <w:bookmarkEnd w:id="48"/>
      <w:bookmarkEnd w:id="49"/>
    </w:p>
    <w:p w14:paraId="5CDAAA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76F2E3C9">
      <w:pPr>
        <w:pStyle w:val="3"/>
        <w:ind w:firstLine="482"/>
        <w:rPr>
          <w:rFonts w:hint="eastAsia"/>
          <w:color w:val="auto"/>
          <w:highlight w:val="none"/>
        </w:rPr>
      </w:pPr>
      <w:bookmarkStart w:id="50" w:name="_Toc65660345"/>
      <w:bookmarkStart w:id="51" w:name="_Toc178405955"/>
      <w:r>
        <w:rPr>
          <w:rFonts w:hint="eastAsia"/>
          <w:color w:val="auto"/>
          <w:highlight w:val="none"/>
        </w:rPr>
        <w:t>五、付款方式</w:t>
      </w:r>
      <w:bookmarkEnd w:id="50"/>
      <w:bookmarkEnd w:id="51"/>
    </w:p>
    <w:p w14:paraId="039306FD">
      <w:pPr>
        <w:spacing w:line="440" w:lineRule="exact"/>
        <w:ind w:firstLine="482" w:firstLineChars="200"/>
        <w:rPr>
          <w:rFonts w:ascii="楷体" w:hAnsi="楷体" w:eastAsia="楷体" w:cs="宋体"/>
          <w:b/>
          <w:color w:val="auto"/>
          <w:sz w:val="24"/>
          <w:highlight w:val="none"/>
        </w:rPr>
      </w:pPr>
      <w:bookmarkStart w:id="52" w:name="_Toc65660346"/>
      <w:r>
        <w:rPr>
          <w:rFonts w:hint="eastAsia" w:ascii="楷体" w:hAnsi="楷体" w:eastAsia="楷体" w:cs="宋体"/>
          <w:b/>
          <w:color w:val="auto"/>
          <w:sz w:val="24"/>
          <w:highlight w:val="none"/>
        </w:rPr>
        <w:t>（一）合同签订后，乙方支付实际交付设备合计金额的8%给甲方作为</w:t>
      </w:r>
      <w:r>
        <w:rPr>
          <w:rFonts w:hint="eastAsia" w:ascii="楷体" w:hAnsi="楷体" w:eastAsia="楷体"/>
          <w:b/>
          <w:color w:val="auto"/>
          <w:sz w:val="24"/>
          <w:highlight w:val="none"/>
        </w:rPr>
        <w:t>履约保证金</w:t>
      </w:r>
      <w:r>
        <w:rPr>
          <w:rFonts w:hint="eastAsia" w:ascii="楷体" w:hAnsi="楷体" w:eastAsia="楷体" w:cs="宋体"/>
          <w:b/>
          <w:color w:val="auto"/>
          <w:sz w:val="24"/>
          <w:highlight w:val="none"/>
        </w:rPr>
        <w:t>；</w:t>
      </w:r>
    </w:p>
    <w:p w14:paraId="56B23F96">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（二）设备安装完毕，乙方提供给甲方项目安装单、培训单和有效合法发票；</w:t>
      </w:r>
    </w:p>
    <w:p w14:paraId="548D3C5B">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 xml:space="preserve">（三）设备试运行30天，经甲方书面验收合格后，甲方在30天内向乙方支付实际交付设备的货款100%； </w:t>
      </w:r>
    </w:p>
    <w:p w14:paraId="56C680F8">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（四）退还履约保证金的注意事项：</w:t>
      </w:r>
    </w:p>
    <w:p w14:paraId="3530D56D">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63A06458">
      <w:pPr>
        <w:numPr>
          <w:ilvl w:val="0"/>
          <w:numId w:val="13"/>
        </w:numPr>
        <w:spacing w:line="460" w:lineRule="exact"/>
        <w:ind w:firstLine="482" w:firstLineChars="200"/>
        <w:rPr>
          <w:rFonts w:ascii="楷体" w:hAnsi="楷体" w:eastAsia="楷体" w:cs="宋体"/>
          <w:b/>
          <w:color w:val="auto"/>
          <w:sz w:val="24"/>
          <w:highlight w:val="none"/>
        </w:rPr>
      </w:pPr>
      <w:r>
        <w:rPr>
          <w:rFonts w:hint="eastAsia" w:ascii="楷体" w:hAnsi="楷体" w:eastAsia="楷体" w:cs="宋体"/>
          <w:b/>
          <w:bCs/>
          <w:color w:val="auto"/>
          <w:sz w:val="24"/>
          <w:highlight w:val="none"/>
        </w:rPr>
        <w:t>若乙方在该时间段内未提供巡检保养服务或服务次数不足，甲方按实际巡检保养服务次数支付相应履约保证金，并等量延长质保期，甲方不再补退未提供巡检保养服务时间段的履约保证金；</w:t>
      </w:r>
    </w:p>
    <w:p w14:paraId="28DCE5FD">
      <w:pPr>
        <w:spacing w:line="400" w:lineRule="exact"/>
        <w:ind w:firstLine="482" w:firstLineChars="200"/>
        <w:rPr>
          <w:rFonts w:hint="eastAsia" w:ascii="楷体" w:hAnsi="楷体" w:eastAsia="楷体"/>
          <w:b/>
          <w:color w:val="auto"/>
          <w:sz w:val="24"/>
          <w:highlight w:val="none"/>
        </w:rPr>
      </w:pPr>
      <w:r>
        <w:rPr>
          <w:rFonts w:hint="eastAsia" w:ascii="楷体" w:hAnsi="楷体" w:eastAsia="楷体" w:cs="宋体"/>
          <w:b/>
          <w:bCs/>
          <w:color w:val="auto"/>
          <w:sz w:val="24"/>
          <w:highlight w:val="none"/>
        </w:rPr>
        <w:t>由于不可抗力原因，甲乙双方达成一致意见后顺延质保期。</w:t>
      </w:r>
    </w:p>
    <w:p w14:paraId="103AC0C3">
      <w:pPr>
        <w:pStyle w:val="3"/>
        <w:ind w:firstLine="482"/>
        <w:rPr>
          <w:rFonts w:hint="eastAsia"/>
          <w:color w:val="auto"/>
          <w:highlight w:val="none"/>
        </w:rPr>
      </w:pPr>
      <w:bookmarkStart w:id="53" w:name="_Toc178405956"/>
      <w:r>
        <w:rPr>
          <w:rFonts w:hint="eastAsia"/>
          <w:color w:val="auto"/>
          <w:highlight w:val="none"/>
        </w:rPr>
        <w:t>六、知识产权</w:t>
      </w:r>
      <w:bookmarkEnd w:id="52"/>
      <w:bookmarkEnd w:id="53"/>
    </w:p>
    <w:p w14:paraId="503E449E">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412F017A">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注：（若涉及软件开发等服务类项目知识产权的，知识产权归医院所有）。</w:t>
      </w:r>
    </w:p>
    <w:p w14:paraId="5C0FE6B9">
      <w:pPr>
        <w:pStyle w:val="3"/>
        <w:ind w:firstLine="482"/>
        <w:rPr>
          <w:rFonts w:hint="eastAsia"/>
          <w:color w:val="auto"/>
          <w:highlight w:val="none"/>
        </w:rPr>
      </w:pPr>
      <w:bookmarkStart w:id="54" w:name="_Toc178405957"/>
      <w:bookmarkStart w:id="55" w:name="_Toc65660347"/>
      <w:r>
        <w:rPr>
          <w:rFonts w:hint="eastAsia"/>
          <w:color w:val="auto"/>
          <w:highlight w:val="none"/>
        </w:rPr>
        <w:t>七、培训</w:t>
      </w:r>
      <w:bookmarkEnd w:id="54"/>
      <w:bookmarkEnd w:id="55"/>
    </w:p>
    <w:p w14:paraId="34221EE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成交供应商对其提供产品的使用和操作应尽培训义务，应提供对医院相关使用人员的基本免费培训，使相关使用人员能够正常操作相关设备。</w:t>
      </w:r>
    </w:p>
    <w:p w14:paraId="3D2FD773">
      <w:pPr>
        <w:pStyle w:val="3"/>
        <w:ind w:firstLine="482"/>
        <w:rPr>
          <w:rFonts w:hint="eastAsia"/>
          <w:color w:val="auto"/>
          <w:highlight w:val="none"/>
        </w:rPr>
      </w:pPr>
      <w:bookmarkStart w:id="56" w:name="_Toc178405958"/>
      <w:bookmarkStart w:id="57" w:name="_Toc65660348"/>
      <w:r>
        <w:rPr>
          <w:rFonts w:hint="eastAsia"/>
          <w:color w:val="auto"/>
          <w:highlight w:val="none"/>
        </w:rPr>
        <w:t>八、其他</w:t>
      </w:r>
      <w:bookmarkEnd w:id="56"/>
      <w:bookmarkEnd w:id="57"/>
    </w:p>
    <w:p w14:paraId="4E59737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（一）供应商必须在响应文件中对以上条款和服务承诺明确列出，承诺内容必须达到本篇及比选文件其他条款的要求。</w:t>
      </w:r>
    </w:p>
    <w:p w14:paraId="3AB5CD16">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（二）其他未尽事宜由供需双方在采购合同中详细约定，供应商在响应文件中所承诺的所有经济、技术和商务条款都要纳入成交合同中。</w:t>
      </w:r>
    </w:p>
    <w:p w14:paraId="12B59FE4">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4183DF5D">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highlight w:val="none"/>
        </w:rPr>
        <w:t>同时成交供应商按合同总价百分之三十赔付医院延误损失。</w:t>
      </w:r>
    </w:p>
    <w:p w14:paraId="447C49FB">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（五）比选文件、成交供应商的报价文件及有效承诺文件等，均为签订合同的依据，是合同不可分割的一部分。</w:t>
      </w:r>
    </w:p>
    <w:p w14:paraId="624E9802">
      <w:pPr>
        <w:snapToGrid w:val="0"/>
        <w:spacing w:line="400" w:lineRule="exact"/>
        <w:ind w:firstLine="540"/>
        <w:rPr>
          <w:rFonts w:hint="eastAsia" w:ascii="仿宋" w:hAnsi="仿宋" w:eastAsia="仿宋" w:cs="宋体"/>
          <w:b/>
          <w:color w:val="auto"/>
          <w:sz w:val="24"/>
          <w:szCs w:val="24"/>
          <w:highlight w:val="none"/>
          <w:u w:val="none" w:color="000000"/>
          <w:lang w:val="zh-TW"/>
        </w:rPr>
      </w:pPr>
    </w:p>
    <w:p w14:paraId="77F09907">
      <w:pPr>
        <w:pStyle w:val="2"/>
        <w:rPr>
          <w:rFonts w:hint="eastAsia"/>
          <w:color w:val="auto"/>
          <w:highlight w:val="none"/>
        </w:rPr>
      </w:pPr>
      <w:bookmarkStart w:id="58" w:name="_Toc65660349"/>
      <w:r>
        <w:rPr>
          <w:color w:val="auto"/>
          <w:highlight w:val="none"/>
        </w:rPr>
        <w:br w:type="page"/>
      </w:r>
      <w:bookmarkStart w:id="59" w:name="_Toc178405959"/>
      <w:r>
        <w:rPr>
          <w:rFonts w:hint="eastAsia"/>
          <w:color w:val="auto"/>
          <w:highlight w:val="none"/>
        </w:rPr>
        <w:t>第四篇  采购程序、评审标准、无效响应和采购终止</w:t>
      </w:r>
      <w:bookmarkEnd w:id="58"/>
      <w:bookmarkEnd w:id="59"/>
    </w:p>
    <w:p w14:paraId="449989E1">
      <w:pPr>
        <w:pStyle w:val="3"/>
        <w:ind w:firstLine="482"/>
        <w:rPr>
          <w:rFonts w:hint="eastAsia"/>
          <w:color w:val="auto"/>
          <w:highlight w:val="none"/>
        </w:rPr>
      </w:pPr>
      <w:bookmarkStart w:id="60" w:name="_Toc64732012"/>
      <w:bookmarkStart w:id="61" w:name="_Toc65660350"/>
      <w:bookmarkStart w:id="62" w:name="_Toc178405960"/>
      <w:r>
        <w:rPr>
          <w:rFonts w:hint="eastAsia"/>
          <w:color w:val="auto"/>
          <w:highlight w:val="none"/>
        </w:rPr>
        <w:t>一、采购程序</w:t>
      </w:r>
      <w:bookmarkEnd w:id="60"/>
      <w:bookmarkEnd w:id="61"/>
      <w:r>
        <w:rPr>
          <w:rFonts w:hint="eastAsia"/>
          <w:color w:val="auto"/>
          <w:highlight w:val="none"/>
        </w:rPr>
        <w:t>及评审标准</w:t>
      </w:r>
      <w:bookmarkEnd w:id="62"/>
    </w:p>
    <w:p w14:paraId="18579A74">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（一）比选按比选文件规定的时间和地点进行。供应商须有法定代表人（或其授权代表）或自然人参加并签到。</w:t>
      </w:r>
    </w:p>
    <w:p w14:paraId="488146B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w:t>
      </w:r>
      <w:bookmarkStart w:id="63" w:name="_Toc10474389"/>
      <w:bookmarkStart w:id="64" w:name="_Toc75252326"/>
      <w:r>
        <w:rPr>
          <w:rFonts w:hint="eastAsia" w:ascii="楷体" w:hAnsi="楷体" w:eastAsia="楷体"/>
          <w:color w:val="auto"/>
          <w:sz w:val="24"/>
          <w:szCs w:val="24"/>
          <w:highlight w:val="none"/>
        </w:rPr>
        <w:t>评审方法</w:t>
      </w:r>
      <w:bookmarkEnd w:id="63"/>
      <w:bookmarkEnd w:id="64"/>
    </w:p>
    <w:p w14:paraId="381C0983">
      <w:pPr>
        <w:pStyle w:val="33"/>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本项目采用</w:t>
      </w:r>
      <w:r>
        <w:rPr>
          <w:rFonts w:hint="eastAsia" w:ascii="楷体" w:hAnsi="楷体" w:eastAsia="楷体" w:cs="宋体"/>
          <w:b/>
          <w:color w:val="auto"/>
          <w:kern w:val="0"/>
          <w:sz w:val="24"/>
          <w:szCs w:val="24"/>
          <w:highlight w:val="none"/>
        </w:rPr>
        <w:t>最低价法</w:t>
      </w:r>
      <w:r>
        <w:rPr>
          <w:rFonts w:hint="eastAsia" w:ascii="楷体" w:hAnsi="楷体" w:eastAsia="楷体"/>
          <w:b/>
          <w:color w:val="auto"/>
          <w:sz w:val="24"/>
          <w:szCs w:val="24"/>
          <w:highlight w:val="none"/>
        </w:rPr>
        <w:t>进行评审。</w:t>
      </w:r>
    </w:p>
    <w:p w14:paraId="2934A3CE">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kern w:val="0"/>
          <w:sz w:val="24"/>
          <w:szCs w:val="24"/>
          <w:highlight w:val="none"/>
        </w:rPr>
        <w:t>最低价法，是指</w:t>
      </w:r>
      <w:r>
        <w:rPr>
          <w:rFonts w:hint="eastAsia" w:ascii="楷体" w:hAnsi="楷体" w:eastAsia="楷体"/>
          <w:b/>
          <w:color w:val="auto"/>
          <w:sz w:val="24"/>
          <w:szCs w:val="24"/>
          <w:highlight w:val="none"/>
        </w:rPr>
        <w:t>响应</w:t>
      </w:r>
      <w:r>
        <w:rPr>
          <w:rFonts w:hint="eastAsia" w:ascii="楷体" w:hAnsi="楷体" w:eastAsia="楷体" w:cs="宋体"/>
          <w:b/>
          <w:color w:val="auto"/>
          <w:kern w:val="0"/>
          <w:sz w:val="24"/>
          <w:szCs w:val="24"/>
          <w:highlight w:val="none"/>
        </w:rPr>
        <w:t>文件满足</w:t>
      </w:r>
      <w:r>
        <w:rPr>
          <w:rFonts w:hint="eastAsia" w:ascii="楷体" w:hAnsi="楷体" w:eastAsia="楷体"/>
          <w:b/>
          <w:color w:val="auto"/>
          <w:sz w:val="24"/>
          <w:szCs w:val="24"/>
          <w:highlight w:val="none"/>
        </w:rPr>
        <w:t>比选</w:t>
      </w:r>
      <w:r>
        <w:rPr>
          <w:rFonts w:hint="eastAsia" w:ascii="楷体" w:hAnsi="楷体" w:eastAsia="楷体" w:cs="宋体"/>
          <w:b/>
          <w:color w:val="auto"/>
          <w:kern w:val="0"/>
          <w:sz w:val="24"/>
          <w:szCs w:val="24"/>
          <w:highlight w:val="none"/>
        </w:rPr>
        <w:t>文件全部实质性要求且响应报价最低的供应商为成交候选人的评审方法。</w:t>
      </w:r>
    </w:p>
    <w:p w14:paraId="57A3AB4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（三）比选以抽签的形式确定比选顺序，由本项目比选评审小组分别与各供应商进行比选。在比选前，对各供应商的资格条件、实质性响应等进行审查。 </w:t>
      </w:r>
    </w:p>
    <w:p w14:paraId="6694772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D84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7EB3A5F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885" w:type="dxa"/>
            <w:gridSpan w:val="2"/>
            <w:noWrap w:val="0"/>
            <w:vAlign w:val="center"/>
          </w:tcPr>
          <w:p w14:paraId="669274CD">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检查因素</w:t>
            </w:r>
          </w:p>
        </w:tc>
        <w:tc>
          <w:tcPr>
            <w:tcW w:w="4948" w:type="dxa"/>
            <w:noWrap w:val="0"/>
            <w:vAlign w:val="center"/>
          </w:tcPr>
          <w:p w14:paraId="55219BAF">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检查内容</w:t>
            </w:r>
          </w:p>
        </w:tc>
      </w:tr>
      <w:tr w14:paraId="4CC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5F61A9CE">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060" w:type="dxa"/>
            <w:vMerge w:val="restart"/>
            <w:noWrap w:val="0"/>
            <w:vAlign w:val="center"/>
          </w:tcPr>
          <w:p w14:paraId="40B65BE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响应人应符合的基本资格条件</w:t>
            </w:r>
          </w:p>
        </w:tc>
        <w:tc>
          <w:tcPr>
            <w:tcW w:w="2825" w:type="dxa"/>
            <w:noWrap w:val="0"/>
            <w:vAlign w:val="center"/>
          </w:tcPr>
          <w:p w14:paraId="586FECA3">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（1）具有独立承担民事责任的能力</w:t>
            </w:r>
          </w:p>
        </w:tc>
        <w:tc>
          <w:tcPr>
            <w:tcW w:w="4948" w:type="dxa"/>
            <w:noWrap w:val="0"/>
            <w:vAlign w:val="center"/>
          </w:tcPr>
          <w:p w14:paraId="4E442B79">
            <w:pPr>
              <w:snapToGrid w:val="0"/>
              <w:spacing w:line="400" w:lineRule="exact"/>
              <w:ind w:firstLine="420" w:firstLineChars="200"/>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供应商法人营业执照（副本）或事业单位法人证书（副本）或个体工商户营业执照或有效的自然人身份证明、组织机构代码证复印件； 供应商法定代表人身份证明和法定代表人授权代表委托书。</w:t>
            </w:r>
          </w:p>
        </w:tc>
      </w:tr>
      <w:tr w14:paraId="5A5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4E8CE0B">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66929DC">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F30CC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lang w:val="zh-CN"/>
              </w:rPr>
              <w:t>（2）</w:t>
            </w:r>
            <w:r>
              <w:rPr>
                <w:rFonts w:hint="eastAsia" w:ascii="楷体" w:hAnsi="楷体" w:eastAsia="楷体"/>
                <w:color w:val="auto"/>
                <w:sz w:val="21"/>
                <w:szCs w:val="21"/>
                <w:highlight w:val="none"/>
              </w:rPr>
              <w:t>具有良好的商业信誉和健全的财务会计制度</w:t>
            </w:r>
          </w:p>
        </w:tc>
        <w:tc>
          <w:tcPr>
            <w:tcW w:w="4948" w:type="dxa"/>
            <w:noWrap w:val="0"/>
            <w:vAlign w:val="center"/>
          </w:tcPr>
          <w:p w14:paraId="46F318AF">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1.供应商提供2022或2023年度财务状况报告（表）或其基本开户银行出具的资信证明（提供复印件）。</w:t>
            </w:r>
          </w:p>
          <w:p w14:paraId="36617C9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2.本年度新成立或成立不满一年的组织和自然人无法提供财务状况报告（表）的，可提供银行出具的资信证明（提供复印件）。</w:t>
            </w:r>
          </w:p>
        </w:tc>
      </w:tr>
      <w:tr w14:paraId="7A3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6EF2962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16490483">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A9CEC0">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（3）具有履行合同所必需的设备和专业技术能力</w:t>
            </w:r>
          </w:p>
        </w:tc>
        <w:tc>
          <w:tcPr>
            <w:tcW w:w="4948" w:type="dxa"/>
            <w:noWrap w:val="0"/>
            <w:vAlign w:val="center"/>
          </w:tcPr>
          <w:p w14:paraId="7AE3DE0A">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供应商提供书面声明或相关证明材料（见格式文件）。</w:t>
            </w:r>
          </w:p>
        </w:tc>
      </w:tr>
      <w:tr w14:paraId="13D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C421EC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A66A1E0">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40E92EB7">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（4）有依法缴纳税收和社会保障金的良好记录</w:t>
            </w:r>
          </w:p>
        </w:tc>
        <w:tc>
          <w:tcPr>
            <w:tcW w:w="4948" w:type="dxa"/>
            <w:noWrap w:val="0"/>
            <w:vAlign w:val="center"/>
          </w:tcPr>
          <w:p w14:paraId="36B5E6A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1.税务登记证（副本）（提供复印件）。</w:t>
            </w:r>
          </w:p>
          <w:p w14:paraId="1037005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2.缴纳社会保障金的证明材料（提供复印件）【缴纳社会保障金的证明材料指：社会保险登记证（注</w:t>
            </w:r>
            <w:r>
              <w:rPr>
                <w:rFonts w:hint="eastAsia" w:ascii="楷体" w:hAnsi="楷体" w:eastAsia="楷体" w:cs="宋体"/>
                <w:color w:val="auto"/>
                <w:kern w:val="0"/>
                <w:sz w:val="24"/>
                <w:szCs w:val="24"/>
                <w:highlight w:val="none"/>
              </w:rPr>
              <w:fldChar w:fldCharType="begin"/>
            </w:r>
            <w:r>
              <w:rPr>
                <w:rFonts w:hint="eastAsia" w:ascii="楷体" w:hAnsi="楷体" w:eastAsia="楷体" w:cs="宋体"/>
                <w:color w:val="auto"/>
                <w:kern w:val="0"/>
                <w:sz w:val="24"/>
                <w:szCs w:val="24"/>
                <w:highlight w:val="none"/>
              </w:rPr>
              <w:instrText xml:space="preserve"> eq \o\ac(○,</w:instrText>
            </w:r>
            <w:r>
              <w:rPr>
                <w:rFonts w:hint="eastAsia" w:ascii="楷体" w:hAnsi="楷体" w:eastAsia="楷体" w:cs="宋体"/>
                <w:color w:val="auto"/>
                <w:kern w:val="0"/>
                <w:position w:val="3"/>
                <w:sz w:val="16"/>
                <w:szCs w:val="24"/>
                <w:highlight w:val="none"/>
              </w:rPr>
              <w:instrText xml:space="preserve">1</w:instrText>
            </w:r>
            <w:r>
              <w:rPr>
                <w:rFonts w:hint="eastAsia" w:ascii="楷体" w:hAnsi="楷体" w:eastAsia="楷体" w:cs="宋体"/>
                <w:color w:val="auto"/>
                <w:kern w:val="0"/>
                <w:sz w:val="24"/>
                <w:szCs w:val="24"/>
                <w:highlight w:val="none"/>
              </w:rPr>
              <w:instrText xml:space="preserve">)</w:instrText>
            </w:r>
            <w:r>
              <w:rPr>
                <w:rFonts w:hint="eastAsia" w:ascii="楷体" w:hAnsi="楷体" w:eastAsia="楷体" w:cs="宋体"/>
                <w:color w:val="auto"/>
                <w:kern w:val="0"/>
                <w:sz w:val="24"/>
                <w:szCs w:val="24"/>
                <w:highlight w:val="none"/>
              </w:rPr>
              <w:fldChar w:fldCharType="end"/>
            </w:r>
            <w:r>
              <w:rPr>
                <w:rFonts w:hint="eastAsia" w:ascii="楷体" w:hAnsi="楷体" w:eastAsia="楷体"/>
                <w:color w:val="auto"/>
                <w:sz w:val="21"/>
                <w:szCs w:val="21"/>
                <w:highlight w:val="none"/>
              </w:rPr>
              <w:t>）或缴纳社会保险的凭据（专用收据或社会保险缴纳清单）】。</w:t>
            </w:r>
          </w:p>
          <w:p w14:paraId="62A1A16F">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3.依法免税或不需要缴纳社会保障资金的供应商，应提供相应文件证明其依法免税或不需要缴纳社会保障资金（提供复印件）。</w:t>
            </w:r>
          </w:p>
        </w:tc>
      </w:tr>
      <w:tr w14:paraId="5BB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ADA8DB8">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A22C1D1">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2ABC490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rPr>
              <w:t>（5）参加采购活动前三年内，在经营活动中没有重大违法记录（注</w:t>
            </w:r>
            <w:r>
              <w:rPr>
                <w:rFonts w:ascii="楷体" w:hAnsi="楷体" w:eastAsia="楷体" w:cs="Calibri"/>
                <w:color w:val="auto"/>
                <w:sz w:val="21"/>
                <w:szCs w:val="21"/>
                <w:highlight w:val="none"/>
              </w:rPr>
              <w:t>①</w:t>
            </w:r>
            <w:r>
              <w:rPr>
                <w:rFonts w:hint="eastAsia" w:ascii="楷体" w:hAnsi="楷体" w:eastAsia="楷体"/>
                <w:color w:val="auto"/>
                <w:sz w:val="21"/>
                <w:szCs w:val="21"/>
                <w:highlight w:val="none"/>
              </w:rPr>
              <w:t>）</w:t>
            </w:r>
          </w:p>
        </w:tc>
        <w:tc>
          <w:tcPr>
            <w:tcW w:w="4948" w:type="dxa"/>
            <w:noWrap w:val="0"/>
            <w:vAlign w:val="center"/>
          </w:tcPr>
          <w:p w14:paraId="69EAB37D">
            <w:pPr>
              <w:snapToGrid w:val="0"/>
              <w:spacing w:line="400" w:lineRule="exact"/>
              <w:rPr>
                <w:rFonts w:hint="eastAsia" w:ascii="楷体" w:hAnsi="楷体" w:eastAsia="楷体"/>
                <w:color w:val="auto"/>
                <w:sz w:val="21"/>
                <w:szCs w:val="21"/>
                <w:highlight w:val="none"/>
              </w:rPr>
            </w:pPr>
            <w:r>
              <w:rPr>
                <w:rFonts w:hint="eastAsia" w:ascii="楷体" w:hAnsi="楷体" w:eastAsia="楷体"/>
                <w:b/>
                <w:color w:val="auto"/>
                <w:sz w:val="21"/>
                <w:szCs w:val="21"/>
                <w:highlight w:val="none"/>
              </w:rPr>
              <w:t>供应商提供 “信用中国”网站(www.creditchina.gov.cn)、"中国政府采购网"(www.ccgp.gov.cn)等渠道查询供应商信用记录（注</w:t>
            </w:r>
            <w:r>
              <w:rPr>
                <w:rFonts w:ascii="楷体" w:hAnsi="楷体" w:eastAsia="楷体" w:cs="Calibri"/>
                <w:b/>
                <w:color w:val="auto"/>
                <w:sz w:val="21"/>
                <w:szCs w:val="21"/>
                <w:highlight w:val="none"/>
              </w:rPr>
              <w:t>②</w:t>
            </w:r>
            <w:r>
              <w:rPr>
                <w:rFonts w:hint="eastAsia" w:ascii="楷体" w:hAnsi="楷体" w:eastAsia="楷体"/>
                <w:b/>
                <w:color w:val="auto"/>
                <w:sz w:val="21"/>
                <w:szCs w:val="21"/>
                <w:highlight w:val="none"/>
              </w:rPr>
              <w:t>）。对列入失信被执行人、重大税收违法案件当事人名单、政府采购严重违法失信行为记录名单的供应商将拒绝其参与医院采购活动。</w:t>
            </w:r>
          </w:p>
        </w:tc>
      </w:tr>
      <w:tr w14:paraId="555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0BDF346">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409497C">
            <w:pPr>
              <w:snapToGrid w:val="0"/>
              <w:spacing w:line="400" w:lineRule="exact"/>
              <w:ind w:firstLine="420" w:firstLineChars="200"/>
              <w:jc w:val="both"/>
              <w:rPr>
                <w:rFonts w:hint="eastAsia" w:ascii="楷体" w:hAnsi="楷体" w:eastAsia="楷体"/>
                <w:color w:val="auto"/>
                <w:sz w:val="21"/>
                <w:szCs w:val="21"/>
                <w:highlight w:val="none"/>
              </w:rPr>
            </w:pPr>
          </w:p>
        </w:tc>
        <w:tc>
          <w:tcPr>
            <w:tcW w:w="2825" w:type="dxa"/>
            <w:noWrap w:val="0"/>
            <w:vAlign w:val="center"/>
          </w:tcPr>
          <w:p w14:paraId="60303C31">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（6）法律、行政法规规定的其他条件</w:t>
            </w:r>
          </w:p>
        </w:tc>
        <w:tc>
          <w:tcPr>
            <w:tcW w:w="4948" w:type="dxa"/>
            <w:noWrap w:val="0"/>
            <w:vAlign w:val="center"/>
          </w:tcPr>
          <w:p w14:paraId="122DE9B6">
            <w:pPr>
              <w:snapToGrid w:val="0"/>
              <w:spacing w:line="400" w:lineRule="exact"/>
              <w:ind w:firstLine="420" w:firstLineChars="200"/>
              <w:jc w:val="both"/>
              <w:rPr>
                <w:rFonts w:hint="eastAsia" w:ascii="楷体" w:hAnsi="楷体" w:eastAsia="楷体"/>
                <w:color w:val="auto"/>
                <w:sz w:val="21"/>
                <w:szCs w:val="21"/>
                <w:highlight w:val="none"/>
              </w:rPr>
            </w:pPr>
          </w:p>
        </w:tc>
      </w:tr>
      <w:tr w14:paraId="63B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B48C9A5">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3885" w:type="dxa"/>
            <w:gridSpan w:val="2"/>
            <w:noWrap w:val="0"/>
            <w:vAlign w:val="center"/>
          </w:tcPr>
          <w:p w14:paraId="008E55C7">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特定资格条件</w:t>
            </w:r>
          </w:p>
        </w:tc>
        <w:tc>
          <w:tcPr>
            <w:tcW w:w="4948" w:type="dxa"/>
            <w:noWrap w:val="0"/>
            <w:vAlign w:val="center"/>
          </w:tcPr>
          <w:p w14:paraId="44FE31A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按“第一篇三、供应商资格要求（二）落实政府采购政策需满足的资格要求”的要求提交（如果有）。</w:t>
            </w:r>
          </w:p>
        </w:tc>
      </w:tr>
    </w:tbl>
    <w:p w14:paraId="28A62D4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08E70B8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供应商按“多证合一”登记制度办理营业执照的，税务登记证（副本）和社会保险登记证以供应商所提供的营业执照（副本）复印件为准。</w:t>
      </w:r>
    </w:p>
    <w:p w14:paraId="7BD1B5D1">
      <w:pPr>
        <w:snapToGrid w:val="0"/>
        <w:spacing w:line="400" w:lineRule="exact"/>
        <w:ind w:firstLine="480" w:firstLineChars="200"/>
        <w:rPr>
          <w:rFonts w:hint="eastAsia" w:ascii="楷体" w:hAnsi="楷体" w:eastAsia="楷体"/>
          <w:color w:val="auto"/>
          <w:sz w:val="24"/>
          <w:szCs w:val="24"/>
          <w:highlight w:val="none"/>
        </w:rPr>
      </w:pPr>
      <w:r>
        <w:rPr>
          <w:rFonts w:ascii="楷体" w:hAnsi="楷体" w:eastAsia="楷体" w:cs="Calibri"/>
          <w:color w:val="auto"/>
          <w:sz w:val="24"/>
          <w:szCs w:val="24"/>
          <w:highlight w:val="none"/>
        </w:rPr>
        <w:t>①</w:t>
      </w:r>
      <w:r>
        <w:rPr>
          <w:rFonts w:hint="eastAsia" w:ascii="楷体" w:hAnsi="楷体" w:eastAsia="楷体"/>
          <w:color w:val="auto"/>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500D0793">
      <w:pPr>
        <w:snapToGrid w:val="0"/>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72A2E531">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olor w:val="auto"/>
          <w:sz w:val="24"/>
          <w:szCs w:val="24"/>
          <w:highlight w:val="none"/>
        </w:rPr>
        <w:t>2.实质性响应审查。比选评审小组应当对响应文件进行评审，并根据比选文件规定的采购程序、评定成交的标准等事项与实质性响应比选文件要求的供应商进行比选。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highlight w:val="none"/>
        </w:rPr>
        <w:t>未实质性响应比选文件的供应商失去成交供应商资格，</w:t>
      </w:r>
      <w:r>
        <w:rPr>
          <w:rFonts w:hint="eastAsia" w:ascii="楷体" w:hAnsi="楷体" w:eastAsia="楷体"/>
          <w:color w:val="auto"/>
          <w:sz w:val="24"/>
          <w:szCs w:val="24"/>
          <w:highlight w:val="none"/>
        </w:rPr>
        <w:t>比选评审小组应当告知有关供应商。实质性响应审查内容</w:t>
      </w:r>
      <w:r>
        <w:rPr>
          <w:rFonts w:hint="eastAsia" w:ascii="楷体" w:hAnsi="楷体" w:eastAsia="楷体" w:cs="宋体"/>
          <w:color w:val="auto"/>
          <w:sz w:val="24"/>
          <w:szCs w:val="24"/>
          <w:highlight w:val="none"/>
        </w:rPr>
        <w:t>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3AE3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DDF02C0">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FDC54A4">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评审因素</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7C86400B">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评审标准</w:t>
            </w:r>
          </w:p>
        </w:tc>
      </w:tr>
      <w:tr w14:paraId="06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062D24B4">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457" w:type="dxa"/>
            <w:vMerge w:val="restart"/>
            <w:tcBorders>
              <w:top w:val="single" w:color="auto" w:sz="4" w:space="0"/>
              <w:left w:val="single" w:color="auto" w:sz="4" w:space="0"/>
              <w:bottom w:val="single" w:color="auto" w:sz="4" w:space="0"/>
              <w:right w:val="single" w:color="auto" w:sz="4" w:space="0"/>
            </w:tcBorders>
            <w:noWrap w:val="0"/>
            <w:vAlign w:val="center"/>
          </w:tcPr>
          <w:p w14:paraId="5E89524F">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BC295F">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响应文件签署</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2894D2">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响应</w:t>
            </w:r>
            <w:r>
              <w:rPr>
                <w:rFonts w:hint="eastAsia" w:ascii="楷体" w:hAnsi="楷体" w:eastAsia="楷体"/>
                <w:color w:val="auto"/>
                <w:sz w:val="21"/>
                <w:szCs w:val="21"/>
                <w:highlight w:val="none"/>
              </w:rPr>
              <w:t>文件上法定代表人或其授权代表人的签字齐全。</w:t>
            </w:r>
          </w:p>
        </w:tc>
      </w:tr>
      <w:tr w14:paraId="416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830C171">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4D47A2A9">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88C53D">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响应方案</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F5832F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只能有一个方案响应。</w:t>
            </w:r>
          </w:p>
        </w:tc>
      </w:tr>
      <w:tr w14:paraId="3B23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470750D3">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1CC00DE6">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FA6CF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rPr>
              <w:t>报价唯一</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6248C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只能有一个有效报价，不得提交选择性报价。</w:t>
            </w:r>
          </w:p>
        </w:tc>
      </w:tr>
      <w:tr w14:paraId="749D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2C56400">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B16B92">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037CF6">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响应文件份数</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28C03CAF">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响应文件正、副本数量符合采购文件要求。</w:t>
            </w:r>
          </w:p>
        </w:tc>
      </w:tr>
      <w:tr w14:paraId="43E0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55206AF8">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3</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8A1666">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7919064">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02E072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响应有效期为响应截止日期后九十天内</w:t>
            </w:r>
          </w:p>
        </w:tc>
      </w:tr>
      <w:tr w14:paraId="58A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1ADB70B">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4</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5C176A4">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商务部分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3993AC">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5E94CC1C">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满足本采购文件第三篇所有商务要求</w:t>
            </w:r>
          </w:p>
        </w:tc>
      </w:tr>
      <w:tr w14:paraId="495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0961FE8C">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5</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5193446A">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技术部分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421775">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15C12011">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满足本采购文件第二篇所有的技术（质量）需求</w:t>
            </w:r>
          </w:p>
        </w:tc>
      </w:tr>
    </w:tbl>
    <w:p w14:paraId="69E1EAC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w:t>
      </w:r>
      <w:r>
        <w:rPr>
          <w:rFonts w:hint="eastAsia" w:ascii="楷体" w:hAnsi="楷体" w:eastAsia="楷体"/>
          <w:color w:val="auto"/>
          <w:sz w:val="24"/>
          <w:szCs w:val="24"/>
          <w:highlight w:val="none"/>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AE399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4BD57268">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（五）在比选过程中比选的任何一方不得向他人透露与比选有关的技术资料、价格或其他信息。</w:t>
      </w:r>
    </w:p>
    <w:p w14:paraId="4E22149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E8D8FC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（七）供应商比选时作出的所有书面承诺须由法定代表人（或其授权代表）或自然人（供应商为自然人）签署。</w:t>
      </w:r>
    </w:p>
    <w:p w14:paraId="70D8031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（八）比较与评价。按比选文件中规定的评审方法和标准，对资格审查和符合性审查合格的比选文件进行商务和技术评估。</w:t>
      </w:r>
    </w:p>
    <w:p w14:paraId="645B2017">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最低价法：</w:t>
      </w:r>
    </w:p>
    <w:p w14:paraId="2BF7BCD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依照比选文件相关规定对技术（质量）和服务均能满足比选实质性响应要求的供应商所提交的最后报价，按照由低到高的顺序提出成交候选人，并编写评审报告。</w:t>
      </w:r>
      <w:bookmarkStart w:id="65" w:name="_Toc65660352"/>
    </w:p>
    <w:p w14:paraId="0DEF9AA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1.响应文件响应标应答有一条及以上不满足采购文件“第二篇 项目技术规格、数量及质量要求”要求的，响应人将失去成为成交候选人的资格；</w:t>
      </w:r>
    </w:p>
    <w:p w14:paraId="58A9D63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2.响应文件响应应答有一条及以上不满足采购文件“第三篇 项目商务要求”要求的，响应人将失去成为成交候选人的资格；</w:t>
      </w:r>
    </w:p>
    <w:p w14:paraId="0A850E8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 评审小组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小组应当将其作为无效响应处理。</w:t>
      </w:r>
    </w:p>
    <w:p w14:paraId="26F2494F">
      <w:pPr>
        <w:pStyle w:val="3"/>
        <w:ind w:firstLine="482"/>
        <w:rPr>
          <w:rFonts w:hint="eastAsia"/>
          <w:color w:val="auto"/>
          <w:highlight w:val="none"/>
        </w:rPr>
      </w:pPr>
      <w:bookmarkStart w:id="66" w:name="_Toc178405961"/>
      <w:r>
        <w:rPr>
          <w:rFonts w:hint="eastAsia"/>
          <w:color w:val="auto"/>
          <w:highlight w:val="none"/>
        </w:rPr>
        <w:t>二、无效</w:t>
      </w:r>
      <w:bookmarkEnd w:id="65"/>
      <w:r>
        <w:rPr>
          <w:rFonts w:hint="eastAsia"/>
          <w:color w:val="auto"/>
          <w:highlight w:val="none"/>
        </w:rPr>
        <w:t>比选</w:t>
      </w:r>
      <w:bookmarkEnd w:id="66"/>
    </w:p>
    <w:p w14:paraId="0F79570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w:t>
      </w:r>
    </w:p>
    <w:p w14:paraId="2DE960B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（一）供应商不符合规定的资格条件的；</w:t>
      </w:r>
    </w:p>
    <w:p w14:paraId="77DC4C1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（二）供应商的法定代表人（或其授权代表）或自然人未参加比选的；</w:t>
      </w:r>
    </w:p>
    <w:p w14:paraId="66878D5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（三）供应商所提交的响应文件未按比选文件要求签署或盖章的；</w:t>
      </w:r>
    </w:p>
    <w:p w14:paraId="5572CA1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（四）响应文件含有使用科室不能接受的附加条件的；</w:t>
      </w:r>
    </w:p>
    <w:p w14:paraId="3D6323A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（五）单位负责人为同一人或者存在直接控股、管理关系的不同供应商，参加同一合同项（包）比选的；</w:t>
      </w:r>
    </w:p>
    <w:p w14:paraId="2144CB0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（六）为采购项目提供整体设计、规范编制或者项目管理、监理、检测等服务的供应商再参加该采购项目的其他采购活动的；</w:t>
      </w:r>
    </w:p>
    <w:p w14:paraId="059990D6">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（七）同一合同项（包）下的货物，制造商参与比选，再委托代理商参与比选的；</w:t>
      </w:r>
    </w:p>
    <w:p w14:paraId="3B6CD47F">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（八）供应商以联合体形式参与比选的；</w:t>
      </w:r>
    </w:p>
    <w:p w14:paraId="4E93843E">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（九）供应商进行合同分包的；</w:t>
      </w:r>
    </w:p>
    <w:p w14:paraId="5C8BE5F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（十）供应商响应文件内容有与国家现行法律法规相违背的内容，或附有医院无法接受条件的。</w:t>
      </w:r>
      <w:bookmarkStart w:id="67" w:name="_Toc65660353"/>
    </w:p>
    <w:p w14:paraId="5EAE937C">
      <w:pPr>
        <w:pStyle w:val="3"/>
        <w:ind w:firstLine="482"/>
        <w:rPr>
          <w:rFonts w:hint="eastAsia"/>
          <w:color w:val="auto"/>
          <w:highlight w:val="none"/>
        </w:rPr>
      </w:pPr>
      <w:bookmarkStart w:id="68" w:name="_Toc178405962"/>
      <w:r>
        <w:rPr>
          <w:rFonts w:hint="eastAsia"/>
          <w:color w:val="auto"/>
          <w:highlight w:val="none"/>
        </w:rPr>
        <w:t>三、采购终止</w:t>
      </w:r>
      <w:bookmarkEnd w:id="67"/>
      <w:bookmarkEnd w:id="68"/>
    </w:p>
    <w:p w14:paraId="7531AA4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出现下列情形之一的，医院应当终止比选采购活动，发布项目终止公告并说明原因，重新开展采购活动：</w:t>
      </w:r>
    </w:p>
    <w:p w14:paraId="1AF7C4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（一）因情况变化，不再符合规定的比选采购方式适用情形的；</w:t>
      </w:r>
    </w:p>
    <w:p w14:paraId="3D22256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（二）出现影响采购公正的违法、违规行为的；</w:t>
      </w:r>
    </w:p>
    <w:p w14:paraId="59C6A95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（三）在采购过程中符合要求的供应商不足3家的，但《医院采购管理办法（2023年修订）》第二十八条第五款规定的情形除外。</w:t>
      </w:r>
    </w:p>
    <w:p w14:paraId="0F048F94">
      <w:pPr>
        <w:snapToGrid w:val="0"/>
        <w:spacing w:line="400" w:lineRule="exact"/>
        <w:ind w:firstLine="480" w:firstLineChars="200"/>
        <w:rPr>
          <w:rFonts w:hint="eastAsia" w:ascii="楷体" w:hAnsi="楷体" w:eastAsia="楷体"/>
          <w:color w:val="auto"/>
          <w:sz w:val="24"/>
          <w:szCs w:val="24"/>
          <w:highlight w:val="none"/>
        </w:rPr>
      </w:pPr>
    </w:p>
    <w:p w14:paraId="72C37B58">
      <w:pPr>
        <w:snapToGrid w:val="0"/>
        <w:spacing w:line="400" w:lineRule="exact"/>
        <w:ind w:firstLine="480" w:firstLineChars="200"/>
        <w:rPr>
          <w:rFonts w:hint="eastAsia" w:ascii="楷体" w:hAnsi="楷体" w:eastAsia="楷体"/>
          <w:color w:val="auto"/>
          <w:sz w:val="24"/>
          <w:szCs w:val="24"/>
          <w:highlight w:val="none"/>
        </w:rPr>
      </w:pPr>
    </w:p>
    <w:p w14:paraId="01368589">
      <w:pPr>
        <w:pStyle w:val="2"/>
        <w:rPr>
          <w:rFonts w:hint="eastAsia"/>
          <w:color w:val="auto"/>
          <w:highlight w:val="none"/>
        </w:rPr>
      </w:pPr>
      <w:r>
        <w:rPr>
          <w:color w:val="auto"/>
          <w:highlight w:val="none"/>
        </w:rPr>
        <w:br w:type="page"/>
      </w:r>
      <w:bookmarkStart w:id="69" w:name="_Toc178405963"/>
      <w:r>
        <w:rPr>
          <w:rFonts w:hint="eastAsia"/>
          <w:color w:val="auto"/>
          <w:highlight w:val="none"/>
        </w:rPr>
        <w:t>第五篇  供应商须知</w:t>
      </w:r>
      <w:bookmarkEnd w:id="21"/>
      <w:bookmarkEnd w:id="22"/>
      <w:bookmarkEnd w:id="69"/>
      <w:bookmarkStart w:id="70" w:name="_Toc342913389"/>
    </w:p>
    <w:p w14:paraId="4E12B0B5">
      <w:pPr>
        <w:pStyle w:val="3"/>
        <w:ind w:firstLine="482"/>
        <w:rPr>
          <w:rFonts w:hint="eastAsia"/>
          <w:color w:val="auto"/>
          <w:highlight w:val="none"/>
        </w:rPr>
      </w:pPr>
      <w:bookmarkStart w:id="71" w:name="_Toc54718180"/>
      <w:bookmarkStart w:id="72" w:name="_Toc22907"/>
      <w:bookmarkStart w:id="73" w:name="_Toc178405964"/>
      <w:bookmarkStart w:id="74" w:name="_Toc8780"/>
      <w:r>
        <w:rPr>
          <w:rFonts w:hint="eastAsia"/>
          <w:color w:val="auto"/>
          <w:highlight w:val="none"/>
        </w:rPr>
        <w:t>一、比选费用</w:t>
      </w:r>
      <w:bookmarkEnd w:id="70"/>
      <w:bookmarkEnd w:id="71"/>
      <w:bookmarkEnd w:id="72"/>
      <w:bookmarkEnd w:id="73"/>
      <w:bookmarkEnd w:id="74"/>
    </w:p>
    <w:p w14:paraId="7BEEE9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参与比选的供应商应承担其编制响应文件与递交响应文件所涉及的一切费用，不论比选结果如何，医院在任何情况下无义务也无责任承担这些费用。</w:t>
      </w:r>
      <w:bookmarkStart w:id="75" w:name="_Toc342913391"/>
    </w:p>
    <w:p w14:paraId="23C19285">
      <w:pPr>
        <w:pStyle w:val="3"/>
        <w:ind w:firstLine="482"/>
        <w:rPr>
          <w:rFonts w:hint="eastAsia"/>
          <w:color w:val="auto"/>
          <w:highlight w:val="none"/>
        </w:rPr>
      </w:pPr>
      <w:bookmarkStart w:id="76" w:name="_Toc178405965"/>
      <w:r>
        <w:rPr>
          <w:rFonts w:hint="eastAsia"/>
          <w:color w:val="auto"/>
          <w:highlight w:val="none"/>
        </w:rPr>
        <w:t>二、比选文件</w:t>
      </w:r>
      <w:bookmarkEnd w:id="75"/>
      <w:bookmarkEnd w:id="76"/>
      <w:r>
        <w:rPr>
          <w:rFonts w:hint="eastAsia"/>
          <w:color w:val="auto"/>
          <w:highlight w:val="none"/>
        </w:rPr>
        <w:tab/>
      </w:r>
    </w:p>
    <w:p w14:paraId="438D644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（一）比选文件由比选邀请书、项目技术（质量）需求、项目商务要求、采购程序、评审标准、无效响应和采购终止、供应商须知、合同草案条款、响应文件格式要求七部分组成。</w:t>
      </w:r>
    </w:p>
    <w:p w14:paraId="06B282F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（二）医院所作的一切有效的书面通知、修改及补充，都是比选文件不可分割的部分。</w:t>
      </w:r>
    </w:p>
    <w:p w14:paraId="0B7178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w:t>
      </w:r>
      <w:bookmarkStart w:id="77" w:name="_Toc318159349"/>
      <w:bookmarkStart w:id="78" w:name="_Toc318159160"/>
      <w:bookmarkStart w:id="79" w:name="_Toc318166429"/>
      <w:bookmarkStart w:id="80" w:name="_Toc318159780"/>
      <w:r>
        <w:rPr>
          <w:rFonts w:hint="eastAsia" w:ascii="楷体" w:hAnsi="楷体" w:eastAsia="楷体"/>
          <w:color w:val="auto"/>
          <w:sz w:val="24"/>
          <w:szCs w:val="24"/>
          <w:highlight w:val="none"/>
        </w:rPr>
        <w:t>本比选文件中，评审小组根据与供应商比选情况可能实质性变动的内容为比选文件第二、三、六篇全部内容。</w:t>
      </w:r>
      <w:bookmarkEnd w:id="77"/>
      <w:bookmarkEnd w:id="78"/>
      <w:bookmarkEnd w:id="79"/>
      <w:bookmarkEnd w:id="80"/>
      <w:bookmarkStart w:id="81" w:name="_Toc102227318"/>
      <w:bookmarkStart w:id="82" w:name="_Toc342913392"/>
      <w:bookmarkStart w:id="83" w:name="_Toc179714297"/>
    </w:p>
    <w:p w14:paraId="6CC0E4BB">
      <w:pPr>
        <w:pStyle w:val="3"/>
        <w:ind w:firstLine="482"/>
        <w:rPr>
          <w:rFonts w:hint="eastAsia"/>
          <w:color w:val="auto"/>
          <w:highlight w:val="none"/>
        </w:rPr>
      </w:pPr>
      <w:bookmarkStart w:id="84" w:name="_Toc54718182"/>
      <w:bookmarkStart w:id="85" w:name="_Toc178405966"/>
      <w:r>
        <w:rPr>
          <w:rFonts w:hint="eastAsia"/>
          <w:color w:val="auto"/>
          <w:highlight w:val="none"/>
        </w:rPr>
        <w:t>三、比选要求</w:t>
      </w:r>
      <w:bookmarkEnd w:id="81"/>
      <w:bookmarkEnd w:id="82"/>
      <w:bookmarkEnd w:id="83"/>
      <w:bookmarkEnd w:id="84"/>
      <w:bookmarkEnd w:id="85"/>
    </w:p>
    <w:p w14:paraId="4B2A81F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（一）响应文件</w:t>
      </w:r>
    </w:p>
    <w:p w14:paraId="7926D41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供应商应当按照比选文件的要求编制响应文件，并对比选文件提出的要求和条件作出实质性响应，响应文件原则上采用软面订本。</w:t>
      </w:r>
    </w:p>
    <w:p w14:paraId="5155F9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1.响应文件组成</w:t>
      </w:r>
    </w:p>
    <w:p w14:paraId="3F1FCF8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8867AC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比选有效期：响应文件及有关承诺文件有效期为开始时间起90天。</w:t>
      </w:r>
    </w:p>
    <w:p w14:paraId="70DE8CC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（二）联合体</w:t>
      </w:r>
    </w:p>
    <w:p w14:paraId="78AE7CC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本项目不接受联合体响应。</w:t>
      </w:r>
    </w:p>
    <w:p w14:paraId="03DE9AC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（三）修正错误</w:t>
      </w:r>
    </w:p>
    <w:p w14:paraId="235EBA9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若供应商所递交的响应文件或最后报价中的价格出现大写金额和小写金额不一致的错误，以大写金额修正为准。</w:t>
      </w:r>
    </w:p>
    <w:p w14:paraId="58D767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评审小组按上述修正错误的原则及方法修正供应商的报价，供应商同意并签字确认后，修正后的报价对供应商具有约束作用。如果供应商不接受修正后的价格，将失去成为成交供应商的资格。</w:t>
      </w:r>
    </w:p>
    <w:p w14:paraId="3C980EA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（四）报价要求</w:t>
      </w:r>
    </w:p>
    <w:p w14:paraId="4718C4D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035C1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 因成交供应商自身原因造成漏报、少报皆由其自行承担责任，医院不再补偿。（采购文件服务需求有报价要求的以服务需求的为准）。</w:t>
      </w:r>
    </w:p>
    <w:p w14:paraId="2BD322F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（五）提交响应文件的份数和签署</w:t>
      </w:r>
    </w:p>
    <w:p w14:paraId="2F24445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1.响应文件一式四份，其中正本一份，副本三份（副本可为正本的复印件，应与正本一致，如出现不一致情况以正本为准。</w:t>
      </w:r>
    </w:p>
    <w:p w14:paraId="70CB32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2.在响应文件正本中，比选文件第七篇响应文件格式中规定签字、盖章的地方必须按其规定签字、盖章。</w:t>
      </w:r>
    </w:p>
    <w:p w14:paraId="4C7E2E1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3.若供应商对响应文件的错处作必要修改，则应在修改处加盖供应商公章或由法定代表人或法定代表人授权代表签字确认。</w:t>
      </w:r>
    </w:p>
    <w:p w14:paraId="4681448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4.电报、电话、传真形式的响应文件概不接受。</w:t>
      </w:r>
    </w:p>
    <w:p w14:paraId="430307D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（六）响应文件的递交</w:t>
      </w:r>
    </w:p>
    <w:p w14:paraId="1F22A4A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1.响应文件的正本、副本均应密封送达比选地点，应在封套上注明项目名称、供应商名称。若正本、副本分别进行密封的，还应在封套上注明“正本”、“副本”字样。</w:t>
      </w:r>
    </w:p>
    <w:p w14:paraId="20125A1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2.封套的封口处应加盖供应商公章或由法定代表人授权代表签字。</w:t>
      </w:r>
    </w:p>
    <w:p w14:paraId="7BCD594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3.如果响应文件通过邮寄递交，供应商应将响应文件用内、外两层封套密封。</w:t>
      </w:r>
    </w:p>
    <w:p w14:paraId="18D3B9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如果未按上述规定进行密封和标记，医院采购办对响应文件误投、丢失或提前拆封不负责任。</w:t>
      </w:r>
    </w:p>
    <w:p w14:paraId="0335543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（七）响应文件语言：简体中文</w:t>
      </w:r>
    </w:p>
    <w:p w14:paraId="0DE28F4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（八）供应商参与人员</w:t>
      </w:r>
    </w:p>
    <w:p w14:paraId="2A4AAC3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各供应商应当派1-2名代表参与比选，至少1人应为法定代表人或具有法定代表人授权委托书的授权代表。</w:t>
      </w:r>
    </w:p>
    <w:p w14:paraId="55B0265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（九）无效比选</w:t>
      </w:r>
    </w:p>
    <w:p w14:paraId="33E1E08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供应商发生以下条款情况之一者，视为无效比选，其响应文件将被拒绝：</w:t>
      </w:r>
    </w:p>
    <w:p w14:paraId="70469F5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1.供应商不符合规定的基本资格条件或特定资格条件的；</w:t>
      </w:r>
    </w:p>
    <w:p w14:paraId="7AA676F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2.供应商的法定代表人或其授权代表未参加比选；</w:t>
      </w:r>
    </w:p>
    <w:p w14:paraId="1453DD8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3.供应商所提交的响应文件不按规定签字、盖章的；</w:t>
      </w:r>
    </w:p>
    <w:p w14:paraId="1521D9B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4.供应商的最后报价超过采购预算或最高限价的；</w:t>
      </w:r>
    </w:p>
    <w:p w14:paraId="3362542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5.供应商响应文件内容有与国家现行法律法规相违背的内容，或附有医院无法接受条件的。</w:t>
      </w:r>
    </w:p>
    <w:p w14:paraId="479CB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6.单位负责人为同一人或者存在直接控股、管理关系的不同供应商，参加同一合同项（分包）下政府采购活动的；</w:t>
      </w:r>
    </w:p>
    <w:p w14:paraId="4A55E3F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7.为采购项目提供整体设计、规范编制或者项目管理、监理、检测等服务的供应商再参加该采购项目的其他采购活动的；</w:t>
      </w:r>
    </w:p>
    <w:p w14:paraId="139EE0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8.同一合同项（分包）下的货物，制造商参与比选的，再委托代理商参与比选的.</w:t>
      </w:r>
    </w:p>
    <w:p w14:paraId="62498E2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9.供应商以联合体形式参与比选的。</w:t>
      </w:r>
    </w:p>
    <w:p w14:paraId="68A40DEC">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10.供应商如会上不能解答比选文件的技术问题，视为无效比选。</w:t>
      </w:r>
      <w:bookmarkStart w:id="86" w:name="_Toc65660358"/>
      <w:bookmarkStart w:id="87" w:name="_Toc179714298"/>
      <w:bookmarkStart w:id="88" w:name="_Toc342913393"/>
      <w:bookmarkStart w:id="89" w:name="_Toc102227319"/>
    </w:p>
    <w:p w14:paraId="3A3ED785">
      <w:pPr>
        <w:pStyle w:val="3"/>
        <w:ind w:firstLine="482"/>
        <w:rPr>
          <w:rFonts w:hint="eastAsia"/>
          <w:color w:val="auto"/>
          <w:highlight w:val="none"/>
        </w:rPr>
      </w:pPr>
      <w:bookmarkStart w:id="90" w:name="_Toc178405967"/>
      <w:r>
        <w:rPr>
          <w:rFonts w:hint="eastAsia"/>
          <w:color w:val="auto"/>
          <w:highlight w:val="none"/>
        </w:rPr>
        <w:t>四、成交供应商的确定和变更</w:t>
      </w:r>
      <w:bookmarkEnd w:id="86"/>
      <w:bookmarkEnd w:id="90"/>
    </w:p>
    <w:p w14:paraId="60022B5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（一）成交供应商的确认</w:t>
      </w:r>
    </w:p>
    <w:p w14:paraId="7743FEC6">
      <w:pPr>
        <w:snapToGrid w:val="0"/>
        <w:spacing w:line="400" w:lineRule="exact"/>
        <w:ind w:firstLine="482" w:firstLineChars="20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最低价法：</w:t>
      </w:r>
    </w:p>
    <w:p w14:paraId="246F4A5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医院应当按照有效报价排序由低到高的原则确定成交供应商。</w:t>
      </w:r>
    </w:p>
    <w:p w14:paraId="009A193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（二）成交供应商的变更</w:t>
      </w:r>
    </w:p>
    <w:p w14:paraId="5B53794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91" w:name="_Toc65660359"/>
    </w:p>
    <w:p w14:paraId="2C29A2E1">
      <w:pPr>
        <w:pStyle w:val="3"/>
        <w:ind w:firstLine="482"/>
        <w:rPr>
          <w:rFonts w:hint="eastAsia"/>
          <w:color w:val="auto"/>
          <w:highlight w:val="none"/>
        </w:rPr>
      </w:pPr>
      <w:bookmarkStart w:id="92" w:name="_Toc178405968"/>
      <w:r>
        <w:rPr>
          <w:rFonts w:hint="eastAsia"/>
          <w:color w:val="auto"/>
          <w:highlight w:val="none"/>
        </w:rPr>
        <w:t>五、成交通知</w:t>
      </w:r>
      <w:bookmarkEnd w:id="91"/>
      <w:bookmarkEnd w:id="92"/>
    </w:p>
    <w:p w14:paraId="7C914D2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成交供应商确定后，医院将在重庆医科大学附属永川医院官网发布成交结果公告，并仅对成交者发出电话通知。</w:t>
      </w:r>
    </w:p>
    <w:p w14:paraId="76BCC670">
      <w:pPr>
        <w:pStyle w:val="3"/>
        <w:ind w:firstLine="482"/>
        <w:rPr>
          <w:rFonts w:hint="eastAsia"/>
          <w:color w:val="auto"/>
          <w:highlight w:val="none"/>
        </w:rPr>
      </w:pPr>
      <w:bookmarkStart w:id="93" w:name="_Toc178405969"/>
      <w:bookmarkStart w:id="94" w:name="_Toc65660360"/>
      <w:r>
        <w:rPr>
          <w:rFonts w:hint="eastAsia"/>
          <w:color w:val="auto"/>
          <w:highlight w:val="none"/>
        </w:rPr>
        <w:t>六、关于质疑和投诉</w:t>
      </w:r>
      <w:bookmarkEnd w:id="93"/>
      <w:bookmarkEnd w:id="94"/>
    </w:p>
    <w:p w14:paraId="5005A162">
      <w:pPr>
        <w:snapToGrid w:val="0"/>
        <w:spacing w:line="400" w:lineRule="exact"/>
        <w:ind w:firstLine="482" w:firstLineChars="200"/>
        <w:rPr>
          <w:rFonts w:hint="eastAsia" w:ascii="楷体" w:hAnsi="楷体" w:eastAsia="楷体"/>
          <w:b/>
          <w:color w:val="auto"/>
          <w:sz w:val="24"/>
          <w:szCs w:val="24"/>
          <w:highlight w:val="none"/>
        </w:rPr>
      </w:pPr>
      <w:bookmarkStart w:id="95" w:name="_Toc65660361"/>
      <w:r>
        <w:rPr>
          <w:rFonts w:hint="eastAsia" w:ascii="楷体" w:hAnsi="楷体" w:eastAsia="楷体"/>
          <w:b/>
          <w:color w:val="auto"/>
          <w:sz w:val="24"/>
          <w:szCs w:val="24"/>
          <w:highlight w:val="none"/>
        </w:rPr>
        <w:t>（一）质疑内容、时限</w:t>
      </w:r>
    </w:p>
    <w:p w14:paraId="7DF1867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供应商认为采购文件、采购过程和成交结果使自己的权益收到伤害的，可向采购人以书面形式提出质疑。</w:t>
      </w:r>
    </w:p>
    <w:p w14:paraId="4105C35F">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 xml:space="preserve">提出质疑的应当是参与所质疑项目采购活动的供应商。 </w:t>
      </w:r>
    </w:p>
    <w:p w14:paraId="584D776C">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1.质疑时限、内容</w:t>
      </w:r>
    </w:p>
    <w:p w14:paraId="3163A749">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1.1供应商认为采购文件、采购过程、成交结果使自己的权益受到损害的，可以在知道或者应知其权益受到损害之日起7个工作日内，以书面形式向采购人提出质疑。</w:t>
      </w:r>
    </w:p>
    <w:p w14:paraId="39848371">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1.2供应商提出质疑应当提交质疑函和必要的证明材料，质疑函应当包括下列内容：</w:t>
      </w:r>
    </w:p>
    <w:p w14:paraId="6EE38192">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1.2.1供应商的姓名或者名称、地址、邮编、联系人及联系电话；</w:t>
      </w:r>
    </w:p>
    <w:p w14:paraId="05530D0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1.2.2</w:t>
      </w:r>
      <w:r>
        <w:rPr>
          <w:rFonts w:hint="eastAsia" w:ascii="楷体" w:hAnsi="楷体" w:eastAsia="楷体" w:cs="宋体"/>
          <w:b/>
          <w:color w:val="auto"/>
          <w:sz w:val="24"/>
          <w:szCs w:val="24"/>
          <w:highlight w:val="none"/>
        </w:rPr>
        <w:t>质疑项目的项目名称、项目号以及采购执行编号</w:t>
      </w:r>
      <w:r>
        <w:rPr>
          <w:rFonts w:hint="eastAsia" w:ascii="楷体" w:hAnsi="楷体" w:eastAsia="楷体" w:cs="宋体"/>
          <w:b/>
          <w:color w:val="auto"/>
          <w:sz w:val="24"/>
          <w:highlight w:val="none"/>
        </w:rPr>
        <w:t>；</w:t>
      </w:r>
    </w:p>
    <w:p w14:paraId="7C0198F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1.2.3具体、明确的质疑事项和与质疑事项相关的请求；</w:t>
      </w:r>
    </w:p>
    <w:p w14:paraId="274E0C55">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1.2.4事实依据；</w:t>
      </w:r>
    </w:p>
    <w:p w14:paraId="086CE3DB">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1.2.5必要的法律依据；</w:t>
      </w:r>
    </w:p>
    <w:p w14:paraId="5A26A87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1.2.6提出质疑的日期；</w:t>
      </w:r>
    </w:p>
    <w:p w14:paraId="2A33817A">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1.2.7营业执照（或事业单位法人证书，或个体工商户营业执照或有效的自然人身份证明）复印件；</w:t>
      </w:r>
    </w:p>
    <w:p w14:paraId="6F9E26F0">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1.2.8法定代表人授权委托书原件、法定代表人身份证复印件和其授权代表的身份证复印件（供应商为自然人的提供自然人身份证复印件）；</w:t>
      </w:r>
    </w:p>
    <w:p w14:paraId="53929BB1">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sz w:val="24"/>
          <w:highlight w:val="none"/>
        </w:rPr>
        <w:t>1.3供应商为自然人的，质疑函应当由本人签字；供应商为法人或者其他组织的，质疑函应当由法定代表人、主要负责人，或者其授权代表签字或者盖章，并加盖公章。</w:t>
      </w:r>
    </w:p>
    <w:p w14:paraId="5ABFE96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（二）质疑答复</w:t>
      </w:r>
    </w:p>
    <w:p w14:paraId="014F6A8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医院在收到供应商书面质疑后7个工作日内，对质疑内容采用书面的形式作出答复。</w:t>
      </w:r>
    </w:p>
    <w:p w14:paraId="7543B35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（三）不予受理或暂缓受理</w:t>
      </w:r>
    </w:p>
    <w:p w14:paraId="0A88ECD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1.质疑有下列情形之一的，不予受理：</w:t>
      </w:r>
    </w:p>
    <w:p w14:paraId="36D9C1E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1.1质疑供应商参与了比选活动后，再对比选文件内容提出质疑的；</w:t>
      </w:r>
    </w:p>
    <w:p w14:paraId="550D872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1.2质疑超过有效期的；</w:t>
      </w:r>
    </w:p>
    <w:p w14:paraId="303BEB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1.3对同一事项重复质疑的。</w:t>
      </w:r>
    </w:p>
    <w:p w14:paraId="44B536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2.质疑有下列情形之一的，应暂不受理并告知供应商补充材料。供应商及时补充材料的，应予受理；逾期未补充的，不予受理：</w:t>
      </w:r>
    </w:p>
    <w:p w14:paraId="6BD58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2.1质疑书格式和内容不符合国家或重庆市相关规定的；</w:t>
      </w:r>
    </w:p>
    <w:p w14:paraId="0E9B8A7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2.2质疑书提供的依据或证明材料不全的；</w:t>
      </w:r>
    </w:p>
    <w:p w14:paraId="2B5CDCA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（四）投诉</w:t>
      </w:r>
    </w:p>
    <w:p w14:paraId="265DE9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供应商对医院的答复不满意，或者医院未在规定时间内答复的，可在答复期满后15个工作日内按有关规定，向院纪检部门投诉。</w:t>
      </w:r>
    </w:p>
    <w:p w14:paraId="02B16B47">
      <w:pPr>
        <w:pStyle w:val="3"/>
        <w:ind w:firstLine="482"/>
        <w:rPr>
          <w:rFonts w:hint="eastAsia"/>
          <w:color w:val="auto"/>
          <w:highlight w:val="none"/>
        </w:rPr>
      </w:pPr>
      <w:bookmarkStart w:id="96" w:name="_Toc178405970"/>
      <w:r>
        <w:rPr>
          <w:rFonts w:hint="eastAsia"/>
          <w:color w:val="auto"/>
          <w:highlight w:val="none"/>
        </w:rPr>
        <w:t>七、签订合同</w:t>
      </w:r>
      <w:bookmarkEnd w:id="95"/>
      <w:bookmarkEnd w:id="96"/>
    </w:p>
    <w:p w14:paraId="5772D5E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58C40F6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（二）比选文件、供应商的响应文件及澄清文件等，均为签订采购合同的依据。</w:t>
      </w:r>
    </w:p>
    <w:p w14:paraId="54F6248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（三）合同生效条款由供需双方约定，法律、行政法规规定应当办理批准、登记等手续后生效的合同，依照其规定。</w:t>
      </w:r>
    </w:p>
    <w:p w14:paraId="29C79F1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（四）医院要求成交供应商提供履约保证金的，应当在比选文件中予以约定。成交供应商履约完毕后，医院根据采购文件规定无息退还其履约保证金。</w:t>
      </w:r>
    </w:p>
    <w:p w14:paraId="7B3CBF45">
      <w:pPr>
        <w:snapToGrid w:val="0"/>
        <w:spacing w:line="400" w:lineRule="exact"/>
        <w:ind w:firstLine="480" w:firstLineChars="200"/>
        <w:rPr>
          <w:rFonts w:hint="eastAsia" w:ascii="楷体" w:hAnsi="楷体" w:eastAsia="楷体"/>
          <w:color w:val="auto"/>
          <w:sz w:val="24"/>
          <w:szCs w:val="24"/>
          <w:highlight w:val="none"/>
        </w:rPr>
      </w:pPr>
    </w:p>
    <w:p w14:paraId="568AB5A6">
      <w:pPr>
        <w:snapToGrid w:val="0"/>
        <w:spacing w:line="400" w:lineRule="exact"/>
        <w:ind w:firstLine="480" w:firstLineChars="200"/>
        <w:rPr>
          <w:rFonts w:hint="eastAsia" w:ascii="楷体" w:hAnsi="楷体" w:eastAsia="楷体"/>
          <w:color w:val="auto"/>
          <w:sz w:val="24"/>
          <w:szCs w:val="24"/>
          <w:highlight w:val="none"/>
        </w:rPr>
      </w:pPr>
    </w:p>
    <w:bookmarkEnd w:id="87"/>
    <w:bookmarkEnd w:id="88"/>
    <w:bookmarkEnd w:id="89"/>
    <w:p w14:paraId="63D1A0CF">
      <w:pPr>
        <w:pStyle w:val="2"/>
        <w:rPr>
          <w:rFonts w:hint="eastAsia" w:ascii="楷体" w:hAnsi="楷体"/>
          <w:color w:val="auto"/>
          <w:highlight w:val="none"/>
        </w:rPr>
      </w:pPr>
      <w:bookmarkStart w:id="97" w:name="_Toc11641055"/>
      <w:bookmarkStart w:id="98" w:name="_Toc12789059"/>
      <w:r>
        <w:rPr>
          <w:rFonts w:hint="eastAsia" w:ascii="楷体" w:hAnsi="楷体"/>
          <w:color w:val="auto"/>
          <w:highlight w:val="none"/>
        </w:rPr>
        <w:br w:type="page"/>
      </w:r>
      <w:bookmarkStart w:id="99" w:name="_Toc178405971"/>
      <w:r>
        <w:rPr>
          <w:rFonts w:hint="eastAsia" w:ascii="楷体" w:hAnsi="楷体"/>
          <w:color w:val="auto"/>
          <w:highlight w:val="none"/>
        </w:rPr>
        <w:t xml:space="preserve">第六篇  </w:t>
      </w:r>
      <w:bookmarkEnd w:id="97"/>
      <w:bookmarkEnd w:id="98"/>
      <w:r>
        <w:rPr>
          <w:rFonts w:hint="eastAsia" w:ascii="楷体" w:hAnsi="楷体"/>
          <w:color w:val="auto"/>
          <w:highlight w:val="none"/>
        </w:rPr>
        <w:t>合同草案条款</w:t>
      </w:r>
      <w:bookmarkEnd w:id="99"/>
    </w:p>
    <w:p w14:paraId="2FEE5FF9">
      <w:pPr>
        <w:pStyle w:val="3"/>
        <w:ind w:firstLine="482"/>
        <w:rPr>
          <w:rFonts w:hint="eastAsia"/>
          <w:color w:val="auto"/>
          <w:highlight w:val="none"/>
        </w:rPr>
      </w:pPr>
      <w:bookmarkStart w:id="100" w:name="_Toc178405972"/>
      <w:r>
        <w:rPr>
          <w:rFonts w:hint="eastAsia"/>
          <w:color w:val="auto"/>
          <w:highlight w:val="none"/>
        </w:rPr>
        <w:t>一、定义</w:t>
      </w:r>
      <w:bookmarkEnd w:id="100"/>
    </w:p>
    <w:p w14:paraId="3485CCEE">
      <w:pPr>
        <w:snapToGrid w:val="0"/>
        <w:spacing w:line="400" w:lineRule="exact"/>
        <w:ind w:firstLine="480" w:firstLineChars="200"/>
        <w:rPr>
          <w:rFonts w:hint="eastAsia" w:ascii="楷体" w:hAnsi="楷体" w:eastAsia="楷体"/>
          <w:color w:val="auto"/>
          <w:sz w:val="24"/>
          <w:szCs w:val="24"/>
          <w:highlight w:val="none"/>
        </w:rPr>
      </w:pPr>
      <w:bookmarkStart w:id="101" w:name="_Toc988"/>
      <w:r>
        <w:rPr>
          <w:rFonts w:hint="eastAsia" w:ascii="楷体" w:hAnsi="楷体" w:eastAsia="楷体"/>
          <w:color w:val="auto"/>
          <w:sz w:val="24"/>
          <w:szCs w:val="24"/>
          <w:highlight w:val="none"/>
        </w:rPr>
        <w:t>（一）甲方（需方）即重庆医科大学附属永川医院。</w:t>
      </w:r>
      <w:bookmarkEnd w:id="101"/>
    </w:p>
    <w:p w14:paraId="15E05804">
      <w:pPr>
        <w:snapToGrid w:val="0"/>
        <w:spacing w:line="400" w:lineRule="exact"/>
        <w:ind w:firstLine="480" w:firstLineChars="200"/>
        <w:rPr>
          <w:rFonts w:hint="eastAsia" w:ascii="楷体" w:hAnsi="楷体" w:eastAsia="楷体"/>
          <w:color w:val="auto"/>
          <w:sz w:val="24"/>
          <w:szCs w:val="24"/>
          <w:highlight w:val="none"/>
        </w:rPr>
      </w:pPr>
      <w:bookmarkStart w:id="102" w:name="_Toc22662"/>
      <w:r>
        <w:rPr>
          <w:rFonts w:hint="eastAsia" w:ascii="楷体" w:hAnsi="楷体" w:eastAsia="楷体"/>
          <w:color w:val="auto"/>
          <w:sz w:val="24"/>
          <w:szCs w:val="24"/>
          <w:highlight w:val="none"/>
        </w:rPr>
        <w:t>（二）乙方（供方）即成交供应商，是指成交后提供合同货物和服务的自然人、法人及其他组织。</w:t>
      </w:r>
      <w:bookmarkEnd w:id="102"/>
    </w:p>
    <w:p w14:paraId="2CF0119E">
      <w:pPr>
        <w:snapToGrid w:val="0"/>
        <w:spacing w:line="400" w:lineRule="exact"/>
        <w:ind w:firstLine="480" w:firstLineChars="200"/>
        <w:rPr>
          <w:rFonts w:hint="eastAsia" w:ascii="楷体" w:hAnsi="楷体" w:eastAsia="楷体"/>
          <w:color w:val="auto"/>
          <w:sz w:val="24"/>
          <w:szCs w:val="24"/>
          <w:highlight w:val="none"/>
        </w:rPr>
      </w:pPr>
      <w:bookmarkStart w:id="103" w:name="_Toc30025"/>
      <w:r>
        <w:rPr>
          <w:rFonts w:hint="eastAsia" w:ascii="楷体" w:hAnsi="楷体" w:eastAsia="楷体"/>
          <w:color w:val="auto"/>
          <w:sz w:val="24"/>
          <w:szCs w:val="24"/>
          <w:highlight w:val="none"/>
        </w:rPr>
        <w:t>（三）合同是指由甲乙双方按照比选文件和响应文件的实质性内容，通过协商一致达成的书面协议。</w:t>
      </w:r>
      <w:bookmarkEnd w:id="103"/>
    </w:p>
    <w:p w14:paraId="3267F5E9">
      <w:pPr>
        <w:snapToGrid w:val="0"/>
        <w:spacing w:line="400" w:lineRule="exact"/>
        <w:ind w:firstLine="480" w:firstLineChars="200"/>
        <w:rPr>
          <w:rFonts w:hint="eastAsia" w:ascii="楷体" w:hAnsi="楷体" w:eastAsia="楷体"/>
          <w:color w:val="auto"/>
          <w:sz w:val="24"/>
          <w:szCs w:val="24"/>
          <w:highlight w:val="none"/>
        </w:rPr>
      </w:pPr>
      <w:bookmarkStart w:id="104" w:name="_Toc2152"/>
      <w:r>
        <w:rPr>
          <w:rFonts w:hint="eastAsia" w:ascii="楷体" w:hAnsi="楷体" w:eastAsia="楷体"/>
          <w:color w:val="auto"/>
          <w:sz w:val="24"/>
          <w:szCs w:val="24"/>
          <w:highlight w:val="none"/>
        </w:rPr>
        <w:t>（四）合同价格指以成交价格为依据，在供方全面履行合同义务后，需方应支付给供方的金额。</w:t>
      </w:r>
      <w:bookmarkEnd w:id="104"/>
    </w:p>
    <w:p w14:paraId="05BB179B">
      <w:pPr>
        <w:snapToGrid w:val="0"/>
        <w:spacing w:line="400" w:lineRule="exact"/>
        <w:ind w:firstLine="480" w:firstLineChars="200"/>
        <w:rPr>
          <w:rFonts w:hint="eastAsia" w:ascii="楷体" w:hAnsi="楷体" w:eastAsia="楷体"/>
          <w:color w:val="auto"/>
          <w:sz w:val="24"/>
          <w:szCs w:val="24"/>
          <w:highlight w:val="none"/>
        </w:rPr>
      </w:pPr>
      <w:bookmarkStart w:id="105" w:name="_Toc9666"/>
      <w:r>
        <w:rPr>
          <w:rFonts w:hint="eastAsia" w:ascii="楷体" w:hAnsi="楷体" w:eastAsia="楷体"/>
          <w:color w:val="auto"/>
          <w:sz w:val="24"/>
          <w:szCs w:val="24"/>
          <w:highlight w:val="none"/>
        </w:rPr>
        <w:t>（五）技术资料是指合同货物及其相关的设计、制造、监造、检验、验收等文件（包括图纸、各种文字说明、标准）。</w:t>
      </w:r>
      <w:bookmarkEnd w:id="105"/>
    </w:p>
    <w:p w14:paraId="14443F73">
      <w:pPr>
        <w:pStyle w:val="3"/>
        <w:ind w:firstLine="482"/>
        <w:rPr>
          <w:rFonts w:hint="eastAsia"/>
          <w:color w:val="auto"/>
          <w:highlight w:val="none"/>
        </w:rPr>
      </w:pPr>
      <w:bookmarkStart w:id="106" w:name="_Toc178405973"/>
      <w:r>
        <w:rPr>
          <w:rFonts w:hint="eastAsia"/>
          <w:color w:val="auto"/>
          <w:highlight w:val="none"/>
        </w:rPr>
        <w:t>二、货物内容</w:t>
      </w:r>
      <w:bookmarkEnd w:id="106"/>
    </w:p>
    <w:p w14:paraId="64BBA98F">
      <w:pPr>
        <w:snapToGrid w:val="0"/>
        <w:spacing w:line="400" w:lineRule="exact"/>
        <w:ind w:firstLine="480" w:firstLineChars="200"/>
        <w:rPr>
          <w:rFonts w:hint="eastAsia" w:ascii="楷体" w:hAnsi="楷体" w:eastAsia="楷体"/>
          <w:color w:val="auto"/>
          <w:sz w:val="24"/>
          <w:szCs w:val="24"/>
          <w:highlight w:val="none"/>
        </w:rPr>
      </w:pPr>
      <w:bookmarkStart w:id="107" w:name="_Toc28967"/>
      <w:r>
        <w:rPr>
          <w:rFonts w:hint="eastAsia" w:ascii="楷体" w:hAnsi="楷体" w:eastAsia="楷体"/>
          <w:color w:val="auto"/>
          <w:sz w:val="24"/>
          <w:szCs w:val="24"/>
          <w:highlight w:val="none"/>
        </w:rPr>
        <w:t>合同包括以下内容：货物名称、型号规格、技术参数、数量（单位）等内容。</w:t>
      </w:r>
      <w:bookmarkEnd w:id="107"/>
    </w:p>
    <w:p w14:paraId="7C65F820">
      <w:pPr>
        <w:pStyle w:val="3"/>
        <w:ind w:firstLine="482"/>
        <w:rPr>
          <w:rFonts w:hint="eastAsia"/>
          <w:color w:val="auto"/>
          <w:highlight w:val="none"/>
        </w:rPr>
      </w:pPr>
      <w:bookmarkStart w:id="108" w:name="_Toc178405974"/>
      <w:r>
        <w:rPr>
          <w:rFonts w:hint="eastAsia"/>
          <w:color w:val="auto"/>
          <w:highlight w:val="none"/>
        </w:rPr>
        <w:t>三、合同价格</w:t>
      </w:r>
      <w:bookmarkEnd w:id="108"/>
    </w:p>
    <w:p w14:paraId="378E1D83">
      <w:pPr>
        <w:snapToGrid w:val="0"/>
        <w:spacing w:line="400" w:lineRule="exact"/>
        <w:ind w:firstLine="480" w:firstLineChars="200"/>
        <w:rPr>
          <w:rFonts w:hint="eastAsia" w:ascii="楷体" w:hAnsi="楷体" w:eastAsia="楷体"/>
          <w:color w:val="auto"/>
          <w:sz w:val="24"/>
          <w:szCs w:val="24"/>
          <w:highlight w:val="none"/>
        </w:rPr>
      </w:pPr>
      <w:bookmarkStart w:id="109" w:name="_Toc25177"/>
      <w:r>
        <w:rPr>
          <w:rFonts w:hint="eastAsia" w:ascii="楷体" w:hAnsi="楷体" w:eastAsia="楷体"/>
          <w:color w:val="auto"/>
          <w:sz w:val="24"/>
          <w:szCs w:val="24"/>
          <w:highlight w:val="none"/>
        </w:rPr>
        <w:t>（一）合同价格即合同总价。</w:t>
      </w:r>
      <w:bookmarkEnd w:id="109"/>
    </w:p>
    <w:p w14:paraId="4C33B1CD">
      <w:pPr>
        <w:snapToGrid w:val="0"/>
        <w:spacing w:line="400" w:lineRule="exact"/>
        <w:ind w:firstLine="480" w:firstLineChars="200"/>
        <w:rPr>
          <w:rFonts w:hint="eastAsia" w:ascii="楷体" w:hAnsi="楷体" w:eastAsia="楷体"/>
          <w:color w:val="auto"/>
          <w:sz w:val="24"/>
          <w:szCs w:val="24"/>
          <w:highlight w:val="none"/>
        </w:rPr>
      </w:pPr>
      <w:bookmarkStart w:id="110" w:name="_Toc3890"/>
      <w:r>
        <w:rPr>
          <w:rFonts w:hint="eastAsia" w:ascii="楷体" w:hAnsi="楷体" w:eastAsia="楷体"/>
          <w:color w:val="auto"/>
          <w:sz w:val="24"/>
          <w:szCs w:val="24"/>
          <w:highlight w:val="none"/>
        </w:rPr>
        <w:t>（二）合同价格包括合同货物、技术资料、合同货物的税费、运杂费、保险费、包装费、装卸费及与货物有关的供方应纳的税费，所有税费由乙方负担。</w:t>
      </w:r>
      <w:bookmarkEnd w:id="110"/>
    </w:p>
    <w:p w14:paraId="258141F8">
      <w:pPr>
        <w:snapToGrid w:val="0"/>
        <w:spacing w:line="400" w:lineRule="exact"/>
        <w:ind w:firstLine="480" w:firstLineChars="200"/>
        <w:rPr>
          <w:rFonts w:hint="eastAsia" w:ascii="楷体" w:hAnsi="楷体" w:eastAsia="楷体"/>
          <w:color w:val="auto"/>
          <w:sz w:val="24"/>
          <w:szCs w:val="24"/>
          <w:highlight w:val="none"/>
        </w:rPr>
      </w:pPr>
      <w:bookmarkStart w:id="111" w:name="_Toc19296"/>
      <w:r>
        <w:rPr>
          <w:rFonts w:hint="eastAsia" w:ascii="楷体" w:hAnsi="楷体" w:eastAsia="楷体"/>
          <w:color w:val="auto"/>
          <w:sz w:val="24"/>
          <w:szCs w:val="24"/>
          <w:highlight w:val="none"/>
        </w:rPr>
        <w:t>（三）合同货物单价为不变价。</w:t>
      </w:r>
      <w:bookmarkEnd w:id="111"/>
    </w:p>
    <w:p w14:paraId="49B91533">
      <w:pPr>
        <w:pStyle w:val="3"/>
        <w:ind w:firstLine="482"/>
        <w:rPr>
          <w:rFonts w:hint="eastAsia"/>
          <w:color w:val="auto"/>
          <w:highlight w:val="none"/>
        </w:rPr>
      </w:pPr>
      <w:bookmarkStart w:id="112" w:name="_Toc178405975"/>
      <w:r>
        <w:rPr>
          <w:rFonts w:hint="eastAsia"/>
          <w:color w:val="auto"/>
          <w:highlight w:val="none"/>
        </w:rPr>
        <w:t>四、转包或分包</w:t>
      </w:r>
      <w:bookmarkEnd w:id="112"/>
    </w:p>
    <w:p w14:paraId="5DE3AD7E">
      <w:pPr>
        <w:snapToGrid w:val="0"/>
        <w:spacing w:line="400" w:lineRule="exact"/>
        <w:ind w:firstLine="480" w:firstLineChars="200"/>
        <w:rPr>
          <w:rFonts w:hint="eastAsia" w:ascii="楷体" w:hAnsi="楷体" w:eastAsia="楷体"/>
          <w:color w:val="auto"/>
          <w:sz w:val="24"/>
          <w:szCs w:val="24"/>
          <w:highlight w:val="none"/>
        </w:rPr>
      </w:pPr>
      <w:bookmarkStart w:id="113" w:name="_Toc8161"/>
      <w:r>
        <w:rPr>
          <w:rFonts w:hint="eastAsia" w:ascii="楷体" w:hAnsi="楷体" w:eastAsia="楷体"/>
          <w:color w:val="auto"/>
          <w:sz w:val="24"/>
          <w:szCs w:val="24"/>
          <w:highlight w:val="none"/>
        </w:rPr>
        <w:t>（一）本合同范围的货物，应由乙方直接供应，不得转让他人供应；</w:t>
      </w:r>
      <w:bookmarkEnd w:id="113"/>
    </w:p>
    <w:p w14:paraId="17426702">
      <w:pPr>
        <w:snapToGrid w:val="0"/>
        <w:spacing w:line="400" w:lineRule="exact"/>
        <w:ind w:firstLine="480" w:firstLineChars="200"/>
        <w:rPr>
          <w:rFonts w:hint="eastAsia" w:ascii="楷体" w:hAnsi="楷体" w:eastAsia="楷体"/>
          <w:color w:val="auto"/>
          <w:sz w:val="24"/>
          <w:szCs w:val="24"/>
          <w:highlight w:val="none"/>
        </w:rPr>
      </w:pPr>
      <w:bookmarkStart w:id="114" w:name="_Toc26926"/>
      <w:r>
        <w:rPr>
          <w:rFonts w:hint="eastAsia" w:ascii="楷体" w:hAnsi="楷体" w:eastAsia="楷体"/>
          <w:color w:val="auto"/>
          <w:sz w:val="24"/>
          <w:szCs w:val="24"/>
          <w:highlight w:val="none"/>
        </w:rPr>
        <w:t>（二）非经甲方书面同意，乙方不得将本合同范围的货物全部或部分分包给他人供应；</w:t>
      </w:r>
      <w:bookmarkEnd w:id="114"/>
    </w:p>
    <w:p w14:paraId="43B41485">
      <w:pPr>
        <w:snapToGrid w:val="0"/>
        <w:spacing w:line="400" w:lineRule="exact"/>
        <w:ind w:firstLine="480" w:firstLineChars="200"/>
        <w:rPr>
          <w:rFonts w:hint="eastAsia" w:ascii="楷体" w:hAnsi="楷体" w:eastAsia="楷体"/>
          <w:color w:val="auto"/>
          <w:sz w:val="24"/>
          <w:szCs w:val="24"/>
          <w:highlight w:val="none"/>
        </w:rPr>
      </w:pPr>
      <w:bookmarkStart w:id="115" w:name="_Toc11245"/>
      <w:r>
        <w:rPr>
          <w:rFonts w:hint="eastAsia" w:ascii="楷体" w:hAnsi="楷体" w:eastAsia="楷体"/>
          <w:color w:val="auto"/>
          <w:sz w:val="24"/>
          <w:szCs w:val="24"/>
          <w:highlight w:val="none"/>
        </w:rPr>
        <w:t>（三）如有转让和未经甲方同意的分包行为，甲方有权解除合同，没收履约保证金并追究乙方的违约责任。</w:t>
      </w:r>
      <w:bookmarkEnd w:id="115"/>
    </w:p>
    <w:p w14:paraId="369439EB">
      <w:pPr>
        <w:pStyle w:val="3"/>
        <w:ind w:firstLine="482"/>
        <w:rPr>
          <w:rFonts w:hint="eastAsia"/>
          <w:color w:val="auto"/>
          <w:highlight w:val="none"/>
        </w:rPr>
      </w:pPr>
      <w:bookmarkStart w:id="116" w:name="_Toc178405976"/>
      <w:r>
        <w:rPr>
          <w:rFonts w:hint="eastAsia"/>
          <w:color w:val="auto"/>
          <w:highlight w:val="none"/>
        </w:rPr>
        <w:t>五、质量保证及售后服务</w:t>
      </w:r>
      <w:bookmarkEnd w:id="116"/>
    </w:p>
    <w:p w14:paraId="2C662547">
      <w:pPr>
        <w:snapToGrid w:val="0"/>
        <w:spacing w:line="400" w:lineRule="exact"/>
        <w:ind w:firstLine="480" w:firstLineChars="200"/>
        <w:rPr>
          <w:rFonts w:hint="eastAsia" w:ascii="楷体" w:hAnsi="楷体" w:eastAsia="楷体"/>
          <w:color w:val="auto"/>
          <w:sz w:val="24"/>
          <w:szCs w:val="24"/>
          <w:highlight w:val="none"/>
        </w:rPr>
      </w:pPr>
      <w:bookmarkStart w:id="117" w:name="_Toc21178"/>
      <w:r>
        <w:rPr>
          <w:rFonts w:hint="eastAsia" w:ascii="楷体" w:hAnsi="楷体" w:eastAsia="楷体"/>
          <w:color w:val="auto"/>
          <w:sz w:val="24"/>
          <w:szCs w:val="24"/>
          <w:highlight w:val="none"/>
        </w:rPr>
        <w:t>（一）乙方应按比选文件规定的货物性能、技术要求、质量标准向甲方提供未经使用的全新产品。</w:t>
      </w:r>
      <w:bookmarkEnd w:id="117"/>
    </w:p>
    <w:p w14:paraId="723FF170">
      <w:pPr>
        <w:snapToGrid w:val="0"/>
        <w:spacing w:line="400" w:lineRule="exact"/>
        <w:ind w:firstLine="480" w:firstLineChars="200"/>
        <w:rPr>
          <w:rFonts w:hint="eastAsia" w:ascii="楷体" w:hAnsi="楷体" w:eastAsia="楷体"/>
          <w:color w:val="auto"/>
          <w:sz w:val="24"/>
          <w:szCs w:val="24"/>
          <w:highlight w:val="none"/>
        </w:rPr>
      </w:pPr>
      <w:bookmarkStart w:id="118" w:name="_Toc3746"/>
      <w:r>
        <w:rPr>
          <w:rFonts w:hint="eastAsia" w:ascii="楷体" w:hAnsi="楷体" w:eastAsia="楷体"/>
          <w:color w:val="auto"/>
          <w:sz w:val="24"/>
          <w:szCs w:val="24"/>
          <w:highlight w:val="none"/>
        </w:rPr>
        <w:t>（二）乙方提供的货物在质保期内因货物本身的质量问题发生故障，乙方应负责免费更换。对达不到技术要求者，根据实际情况，经双方协商，可按以下办法处理：</w:t>
      </w:r>
      <w:bookmarkEnd w:id="118"/>
    </w:p>
    <w:p w14:paraId="39EA8492">
      <w:pPr>
        <w:snapToGrid w:val="0"/>
        <w:spacing w:line="400" w:lineRule="exact"/>
        <w:ind w:firstLine="480" w:firstLineChars="200"/>
        <w:rPr>
          <w:rFonts w:hint="eastAsia" w:ascii="楷体" w:hAnsi="楷体" w:eastAsia="楷体"/>
          <w:color w:val="auto"/>
          <w:sz w:val="24"/>
          <w:szCs w:val="24"/>
          <w:highlight w:val="none"/>
        </w:rPr>
      </w:pPr>
      <w:bookmarkStart w:id="119" w:name="_Toc7117"/>
      <w:r>
        <w:rPr>
          <w:rFonts w:hint="eastAsia" w:ascii="楷体" w:hAnsi="楷体" w:eastAsia="楷体"/>
          <w:color w:val="auto"/>
          <w:sz w:val="24"/>
          <w:szCs w:val="24"/>
          <w:highlight w:val="none"/>
        </w:rPr>
        <w:t>1、更换：由乙方承担所发生的全部费用。</w:t>
      </w:r>
      <w:bookmarkEnd w:id="119"/>
    </w:p>
    <w:p w14:paraId="2ADDA70C">
      <w:pPr>
        <w:snapToGrid w:val="0"/>
        <w:spacing w:line="400" w:lineRule="exact"/>
        <w:ind w:firstLine="480" w:firstLineChars="200"/>
        <w:rPr>
          <w:rFonts w:hint="eastAsia" w:ascii="楷体" w:hAnsi="楷体" w:eastAsia="楷体"/>
          <w:color w:val="auto"/>
          <w:sz w:val="24"/>
          <w:szCs w:val="24"/>
          <w:highlight w:val="none"/>
        </w:rPr>
      </w:pPr>
      <w:bookmarkStart w:id="120" w:name="_Toc10071"/>
      <w:r>
        <w:rPr>
          <w:rFonts w:hint="eastAsia" w:ascii="楷体" w:hAnsi="楷体" w:eastAsia="楷体"/>
          <w:color w:val="auto"/>
          <w:sz w:val="24"/>
          <w:szCs w:val="24"/>
          <w:highlight w:val="none"/>
        </w:rPr>
        <w:t>2、贬值处理：由甲乙双方合议定价。</w:t>
      </w:r>
      <w:bookmarkEnd w:id="120"/>
    </w:p>
    <w:p w14:paraId="2C13FDE5">
      <w:pPr>
        <w:snapToGrid w:val="0"/>
        <w:spacing w:line="400" w:lineRule="exact"/>
        <w:ind w:firstLine="480" w:firstLineChars="200"/>
        <w:rPr>
          <w:rFonts w:hint="eastAsia" w:ascii="楷体" w:hAnsi="楷体" w:eastAsia="楷体"/>
          <w:color w:val="auto"/>
          <w:sz w:val="24"/>
          <w:szCs w:val="24"/>
          <w:highlight w:val="none"/>
        </w:rPr>
      </w:pPr>
      <w:bookmarkStart w:id="121" w:name="_Toc19080"/>
      <w:r>
        <w:rPr>
          <w:rFonts w:hint="eastAsia" w:ascii="楷体" w:hAnsi="楷体" w:eastAsia="楷体"/>
          <w:color w:val="auto"/>
          <w:sz w:val="24"/>
          <w:szCs w:val="24"/>
          <w:highlight w:val="none"/>
        </w:rPr>
        <w:t>3、退货处理：乙方应退还甲方支付的合同款，同时应承担该货物的直接费用（运输、保险、检验、货款利息及银行手续费等）。</w:t>
      </w:r>
      <w:bookmarkEnd w:id="121"/>
    </w:p>
    <w:p w14:paraId="0404D083">
      <w:pPr>
        <w:snapToGrid w:val="0"/>
        <w:spacing w:line="400" w:lineRule="exact"/>
        <w:ind w:firstLine="480" w:firstLineChars="200"/>
        <w:rPr>
          <w:rFonts w:hint="eastAsia" w:ascii="楷体" w:hAnsi="楷体" w:eastAsia="楷体"/>
          <w:color w:val="auto"/>
          <w:sz w:val="24"/>
          <w:szCs w:val="24"/>
          <w:highlight w:val="none"/>
        </w:rPr>
      </w:pPr>
      <w:bookmarkStart w:id="122" w:name="_Toc12985"/>
      <w:r>
        <w:rPr>
          <w:rFonts w:hint="eastAsia" w:ascii="楷体" w:hAnsi="楷体" w:eastAsia="楷体"/>
          <w:color w:val="auto"/>
          <w:sz w:val="24"/>
          <w:szCs w:val="24"/>
          <w:highlight w:val="none"/>
        </w:rPr>
        <w:t>（三）如在使用过程中发生质量问题，乙方应同本项目“第四篇 比选项目服务需求”对质量保证及售后服务内容的约定。</w:t>
      </w:r>
      <w:bookmarkEnd w:id="122"/>
    </w:p>
    <w:p w14:paraId="7D1E09B1">
      <w:pPr>
        <w:snapToGrid w:val="0"/>
        <w:spacing w:line="400" w:lineRule="exact"/>
        <w:ind w:firstLine="480" w:firstLineChars="200"/>
        <w:rPr>
          <w:rFonts w:hint="eastAsia" w:ascii="楷体" w:hAnsi="楷体" w:eastAsia="楷体"/>
          <w:color w:val="auto"/>
          <w:sz w:val="24"/>
          <w:szCs w:val="24"/>
          <w:highlight w:val="none"/>
        </w:rPr>
      </w:pPr>
      <w:bookmarkStart w:id="123" w:name="_Toc23372"/>
      <w:r>
        <w:rPr>
          <w:rFonts w:hint="eastAsia" w:ascii="楷体" w:hAnsi="楷体" w:eastAsia="楷体"/>
          <w:color w:val="auto"/>
          <w:sz w:val="24"/>
          <w:szCs w:val="24"/>
          <w:highlight w:val="none"/>
        </w:rPr>
        <w:t>（四）在质保期内，乙方应对货物出现的质量及安全问题负责处理解决并承担一切费用。</w:t>
      </w:r>
      <w:bookmarkEnd w:id="123"/>
    </w:p>
    <w:p w14:paraId="653999FC">
      <w:pPr>
        <w:pStyle w:val="3"/>
        <w:ind w:firstLine="482"/>
        <w:rPr>
          <w:rFonts w:hint="eastAsia"/>
          <w:color w:val="auto"/>
          <w:highlight w:val="none"/>
        </w:rPr>
      </w:pPr>
      <w:bookmarkStart w:id="124" w:name="_Toc178405977"/>
      <w:r>
        <w:rPr>
          <w:rFonts w:hint="eastAsia"/>
          <w:color w:val="auto"/>
          <w:highlight w:val="none"/>
        </w:rPr>
        <w:t>六、付款</w:t>
      </w:r>
      <w:bookmarkEnd w:id="124"/>
    </w:p>
    <w:p w14:paraId="7BAE3439">
      <w:pPr>
        <w:snapToGrid w:val="0"/>
        <w:spacing w:line="400" w:lineRule="exact"/>
        <w:ind w:firstLine="480" w:firstLineChars="200"/>
        <w:rPr>
          <w:rFonts w:hint="eastAsia" w:ascii="楷体" w:hAnsi="楷体" w:eastAsia="楷体"/>
          <w:color w:val="auto"/>
          <w:sz w:val="24"/>
          <w:szCs w:val="24"/>
          <w:highlight w:val="none"/>
        </w:rPr>
      </w:pPr>
      <w:bookmarkStart w:id="125" w:name="_Toc23183"/>
      <w:r>
        <w:rPr>
          <w:rFonts w:hint="eastAsia" w:ascii="楷体" w:hAnsi="楷体" w:eastAsia="楷体"/>
          <w:color w:val="auto"/>
          <w:sz w:val="24"/>
          <w:szCs w:val="24"/>
          <w:highlight w:val="none"/>
        </w:rPr>
        <w:t>（一）本合同使用货币币制如未作特别说明均为人民币。</w:t>
      </w:r>
      <w:bookmarkEnd w:id="125"/>
    </w:p>
    <w:p w14:paraId="41564CB4">
      <w:pPr>
        <w:snapToGrid w:val="0"/>
        <w:spacing w:line="400" w:lineRule="exact"/>
        <w:ind w:firstLine="480" w:firstLineChars="200"/>
        <w:rPr>
          <w:rFonts w:hint="eastAsia" w:ascii="楷体" w:hAnsi="楷体" w:eastAsia="楷体"/>
          <w:color w:val="auto"/>
          <w:sz w:val="24"/>
          <w:szCs w:val="24"/>
          <w:highlight w:val="none"/>
        </w:rPr>
      </w:pPr>
      <w:bookmarkStart w:id="126" w:name="_Toc8880"/>
      <w:r>
        <w:rPr>
          <w:rFonts w:hint="eastAsia" w:ascii="楷体" w:hAnsi="楷体" w:eastAsia="楷体"/>
          <w:color w:val="auto"/>
          <w:sz w:val="24"/>
          <w:szCs w:val="24"/>
          <w:highlight w:val="none"/>
        </w:rPr>
        <w:t>（二）付款方式：银行转账。</w:t>
      </w:r>
      <w:bookmarkEnd w:id="126"/>
    </w:p>
    <w:p w14:paraId="2F56994C">
      <w:pPr>
        <w:snapToGrid w:val="0"/>
        <w:spacing w:line="400" w:lineRule="exact"/>
        <w:ind w:firstLine="480" w:firstLineChars="200"/>
        <w:rPr>
          <w:rFonts w:hint="eastAsia" w:ascii="楷体" w:hAnsi="楷体" w:eastAsia="楷体"/>
          <w:color w:val="auto"/>
          <w:sz w:val="24"/>
          <w:szCs w:val="24"/>
          <w:highlight w:val="none"/>
        </w:rPr>
      </w:pPr>
      <w:bookmarkStart w:id="127" w:name="_Toc28037"/>
      <w:r>
        <w:rPr>
          <w:rFonts w:hint="eastAsia" w:ascii="楷体" w:hAnsi="楷体" w:eastAsia="楷体"/>
          <w:color w:val="auto"/>
          <w:sz w:val="24"/>
          <w:szCs w:val="24"/>
          <w:highlight w:val="none"/>
        </w:rPr>
        <w:t>（三）付款方法：同本项目“第三篇 项目商务要求”中关于付款方式的约定。</w:t>
      </w:r>
      <w:bookmarkEnd w:id="127"/>
    </w:p>
    <w:p w14:paraId="6F7EFA6E">
      <w:pPr>
        <w:pStyle w:val="3"/>
        <w:ind w:firstLine="482"/>
        <w:rPr>
          <w:rFonts w:hint="eastAsia"/>
          <w:color w:val="auto"/>
          <w:highlight w:val="none"/>
        </w:rPr>
      </w:pPr>
      <w:bookmarkStart w:id="128" w:name="_Toc54718208"/>
      <w:bookmarkStart w:id="129" w:name="_Toc178405978"/>
      <w:r>
        <w:rPr>
          <w:rFonts w:hint="eastAsia"/>
          <w:color w:val="auto"/>
          <w:highlight w:val="none"/>
        </w:rPr>
        <w:t>七、检查验收</w:t>
      </w:r>
      <w:bookmarkEnd w:id="128"/>
      <w:bookmarkEnd w:id="129"/>
    </w:p>
    <w:p w14:paraId="636F98A2">
      <w:pPr>
        <w:snapToGrid w:val="0"/>
        <w:spacing w:line="400" w:lineRule="exact"/>
        <w:ind w:firstLine="480" w:firstLineChars="200"/>
        <w:rPr>
          <w:rFonts w:hint="eastAsia" w:ascii="楷体" w:hAnsi="楷体" w:eastAsia="楷体"/>
          <w:color w:val="auto"/>
          <w:sz w:val="24"/>
          <w:szCs w:val="24"/>
          <w:highlight w:val="none"/>
        </w:rPr>
      </w:pPr>
      <w:bookmarkStart w:id="130" w:name="_Toc24927"/>
      <w:r>
        <w:rPr>
          <w:rFonts w:hint="eastAsia" w:ascii="楷体" w:hAnsi="楷体" w:eastAsia="楷体"/>
          <w:color w:val="auto"/>
          <w:sz w:val="24"/>
          <w:szCs w:val="24"/>
          <w:highlight w:val="none"/>
        </w:rPr>
        <w:t>（一）供方应随货物提供合格证和质量证明文件，如是国外进口的货物还须提供入关证明。</w:t>
      </w:r>
      <w:bookmarkEnd w:id="130"/>
    </w:p>
    <w:p w14:paraId="608E923F">
      <w:pPr>
        <w:snapToGrid w:val="0"/>
        <w:spacing w:line="400" w:lineRule="exact"/>
        <w:ind w:firstLine="480" w:firstLineChars="200"/>
        <w:rPr>
          <w:rFonts w:hint="eastAsia" w:ascii="楷体" w:hAnsi="楷体" w:eastAsia="楷体"/>
          <w:color w:val="auto"/>
          <w:sz w:val="24"/>
          <w:szCs w:val="24"/>
          <w:highlight w:val="none"/>
        </w:rPr>
      </w:pPr>
      <w:bookmarkStart w:id="131" w:name="_Toc16103"/>
      <w:r>
        <w:rPr>
          <w:rFonts w:hint="eastAsia" w:ascii="楷体" w:hAnsi="楷体" w:eastAsia="楷体"/>
          <w:color w:val="auto"/>
          <w:sz w:val="24"/>
          <w:szCs w:val="24"/>
          <w:highlight w:val="none"/>
        </w:rPr>
        <w:t>（二）货物验收</w:t>
      </w:r>
      <w:bookmarkEnd w:id="131"/>
    </w:p>
    <w:p w14:paraId="39127E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075C5D61">
      <w:pPr>
        <w:snapToGrid w:val="0"/>
        <w:spacing w:line="400" w:lineRule="exact"/>
        <w:ind w:firstLine="480" w:firstLineChars="200"/>
        <w:rPr>
          <w:rFonts w:hint="eastAsia" w:ascii="楷体" w:hAnsi="楷体" w:eastAsia="楷体"/>
          <w:color w:val="auto"/>
          <w:sz w:val="24"/>
          <w:szCs w:val="24"/>
          <w:highlight w:val="none"/>
        </w:rPr>
      </w:pPr>
      <w:bookmarkStart w:id="132" w:name="_Toc32038"/>
      <w:r>
        <w:rPr>
          <w:rFonts w:hint="eastAsia" w:ascii="楷体" w:hAnsi="楷体" w:eastAsia="楷体"/>
          <w:color w:val="auto"/>
          <w:sz w:val="24"/>
          <w:szCs w:val="24"/>
          <w:highlight w:val="none"/>
        </w:rPr>
        <w:t>（三）货物验收报告应由需方、供方经办人签字，以此作为支付凭据。</w:t>
      </w:r>
      <w:bookmarkEnd w:id="132"/>
    </w:p>
    <w:p w14:paraId="6353571D">
      <w:pPr>
        <w:pStyle w:val="3"/>
        <w:ind w:firstLine="482"/>
        <w:rPr>
          <w:rFonts w:hint="eastAsia"/>
          <w:color w:val="auto"/>
          <w:highlight w:val="none"/>
        </w:rPr>
      </w:pPr>
      <w:bookmarkStart w:id="133" w:name="_Toc54718209"/>
      <w:bookmarkStart w:id="134" w:name="_Toc178405979"/>
      <w:r>
        <w:rPr>
          <w:rFonts w:hint="eastAsia"/>
          <w:color w:val="auto"/>
          <w:highlight w:val="none"/>
        </w:rPr>
        <w:t>八、索赔</w:t>
      </w:r>
      <w:bookmarkEnd w:id="133"/>
      <w:bookmarkEnd w:id="134"/>
    </w:p>
    <w:p w14:paraId="087201E0">
      <w:pPr>
        <w:snapToGrid w:val="0"/>
        <w:spacing w:line="400" w:lineRule="exact"/>
        <w:ind w:firstLine="480" w:firstLineChars="200"/>
        <w:rPr>
          <w:rFonts w:hint="eastAsia" w:ascii="楷体" w:hAnsi="楷体" w:eastAsia="楷体"/>
          <w:color w:val="auto"/>
          <w:sz w:val="24"/>
          <w:szCs w:val="24"/>
          <w:highlight w:val="none"/>
        </w:rPr>
      </w:pPr>
      <w:bookmarkStart w:id="135" w:name="_Toc29622"/>
      <w:r>
        <w:rPr>
          <w:rFonts w:hint="eastAsia" w:ascii="楷体" w:hAnsi="楷体" w:eastAsia="楷体"/>
          <w:color w:val="auto"/>
          <w:sz w:val="24"/>
          <w:szCs w:val="24"/>
          <w:highlight w:val="none"/>
        </w:rPr>
        <w:t>供方对货物与合同要求不符负有责任，并且需方已于规定交货内和质量保证期内提出索赔，供方应按需方同意的下述一种或多种方法解决索赔事宜。</w:t>
      </w:r>
      <w:bookmarkEnd w:id="135"/>
    </w:p>
    <w:p w14:paraId="09727CD3">
      <w:pPr>
        <w:snapToGrid w:val="0"/>
        <w:spacing w:line="400" w:lineRule="exact"/>
        <w:ind w:firstLine="480" w:firstLineChars="200"/>
        <w:rPr>
          <w:rFonts w:hint="eastAsia" w:ascii="楷体" w:hAnsi="楷体" w:eastAsia="楷体"/>
          <w:color w:val="auto"/>
          <w:sz w:val="24"/>
          <w:szCs w:val="24"/>
          <w:highlight w:val="none"/>
        </w:rPr>
      </w:pPr>
      <w:bookmarkStart w:id="136" w:name="_Toc2616"/>
      <w:r>
        <w:rPr>
          <w:rFonts w:hint="eastAsia" w:ascii="楷体" w:hAnsi="楷体" w:eastAsia="楷体"/>
          <w:color w:val="auto"/>
          <w:sz w:val="24"/>
          <w:szCs w:val="24"/>
          <w:highlight w:val="none"/>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6"/>
    </w:p>
    <w:p w14:paraId="2746D910">
      <w:pPr>
        <w:snapToGrid w:val="0"/>
        <w:spacing w:line="400" w:lineRule="exact"/>
        <w:ind w:firstLine="480" w:firstLineChars="200"/>
        <w:rPr>
          <w:rFonts w:hint="eastAsia" w:ascii="楷体" w:hAnsi="楷体" w:eastAsia="楷体"/>
          <w:color w:val="auto"/>
          <w:sz w:val="24"/>
          <w:szCs w:val="24"/>
          <w:highlight w:val="none"/>
        </w:rPr>
      </w:pPr>
      <w:bookmarkStart w:id="137" w:name="_Toc32371"/>
      <w:r>
        <w:rPr>
          <w:rFonts w:hint="eastAsia" w:ascii="楷体" w:hAnsi="楷体" w:eastAsia="楷体"/>
          <w:color w:val="auto"/>
          <w:sz w:val="24"/>
          <w:szCs w:val="24"/>
          <w:highlight w:val="none"/>
        </w:rPr>
        <w:t>（二）根据货物的疵劣和受损程度以及需方遭受损失的金额，经双方同意降低货物价格。</w:t>
      </w:r>
      <w:bookmarkEnd w:id="137"/>
    </w:p>
    <w:p w14:paraId="1AD26080">
      <w:pPr>
        <w:pStyle w:val="3"/>
        <w:ind w:firstLine="482"/>
        <w:rPr>
          <w:rFonts w:hint="eastAsia"/>
          <w:color w:val="auto"/>
          <w:highlight w:val="none"/>
        </w:rPr>
      </w:pPr>
      <w:bookmarkStart w:id="138" w:name="_Toc54718210"/>
      <w:bookmarkStart w:id="139" w:name="_Toc178405980"/>
      <w:r>
        <w:rPr>
          <w:rFonts w:hint="eastAsia"/>
          <w:color w:val="auto"/>
          <w:highlight w:val="none"/>
        </w:rPr>
        <w:t>九、知识产权</w:t>
      </w:r>
      <w:bookmarkEnd w:id="138"/>
      <w:bookmarkEnd w:id="139"/>
    </w:p>
    <w:p w14:paraId="363D0C3E">
      <w:pPr>
        <w:snapToGrid w:val="0"/>
        <w:spacing w:line="400" w:lineRule="exact"/>
        <w:ind w:firstLine="480" w:firstLineChars="200"/>
        <w:rPr>
          <w:rFonts w:hint="eastAsia" w:ascii="楷体" w:hAnsi="楷体" w:eastAsia="楷体"/>
          <w:color w:val="auto"/>
          <w:sz w:val="24"/>
          <w:szCs w:val="24"/>
          <w:highlight w:val="none"/>
        </w:rPr>
      </w:pPr>
      <w:bookmarkStart w:id="140" w:name="_Toc11938"/>
      <w:r>
        <w:rPr>
          <w:rFonts w:hint="eastAsia" w:ascii="楷体" w:hAnsi="楷体" w:eastAsia="楷体"/>
          <w:color w:val="auto"/>
          <w:sz w:val="24"/>
          <w:szCs w:val="24"/>
          <w:highlight w:val="none"/>
        </w:rPr>
        <w:t>（一）甲方在中华人民共和国境内使用乙方提供的货物及服务时免受第三方提出的侵犯其专利权或其它知识产权的起诉。如果第三方提出侵权指控，乙方承担由此而引起的一切法律责任和费用。</w:t>
      </w:r>
      <w:bookmarkEnd w:id="140"/>
    </w:p>
    <w:p w14:paraId="57C78357">
      <w:pPr>
        <w:snapToGrid w:val="0"/>
        <w:spacing w:line="400" w:lineRule="exact"/>
        <w:ind w:firstLine="480" w:firstLineChars="200"/>
        <w:rPr>
          <w:rFonts w:hint="eastAsia" w:ascii="楷体" w:hAnsi="楷体" w:eastAsia="楷体"/>
          <w:color w:val="auto"/>
          <w:sz w:val="24"/>
          <w:szCs w:val="24"/>
          <w:highlight w:val="none"/>
        </w:rPr>
      </w:pPr>
      <w:bookmarkStart w:id="141" w:name="_Toc17287"/>
      <w:r>
        <w:rPr>
          <w:rFonts w:hint="eastAsia" w:ascii="楷体" w:hAnsi="楷体" w:eastAsia="楷体"/>
          <w:color w:val="auto"/>
          <w:sz w:val="24"/>
          <w:szCs w:val="24"/>
          <w:highlight w:val="none"/>
        </w:rPr>
        <w:t>（二）若涉及软件开发等服务类项目知识产权的，知识产权归医院所有。</w:t>
      </w:r>
      <w:bookmarkEnd w:id="141"/>
    </w:p>
    <w:p w14:paraId="2BA787EF">
      <w:pPr>
        <w:pStyle w:val="3"/>
        <w:ind w:firstLine="482"/>
        <w:rPr>
          <w:rFonts w:hint="eastAsia"/>
          <w:color w:val="auto"/>
          <w:highlight w:val="none"/>
        </w:rPr>
      </w:pPr>
      <w:bookmarkStart w:id="142" w:name="_Toc54718211"/>
      <w:bookmarkStart w:id="143" w:name="_Toc178405981"/>
      <w:r>
        <w:rPr>
          <w:rFonts w:hint="eastAsia"/>
          <w:color w:val="auto"/>
          <w:highlight w:val="none"/>
        </w:rPr>
        <w:t>十、合同争议的解决</w:t>
      </w:r>
      <w:bookmarkEnd w:id="142"/>
      <w:bookmarkEnd w:id="143"/>
    </w:p>
    <w:p w14:paraId="720566EA">
      <w:pPr>
        <w:snapToGrid w:val="0"/>
        <w:spacing w:line="400" w:lineRule="exact"/>
        <w:ind w:firstLine="480" w:firstLineChars="200"/>
        <w:rPr>
          <w:rFonts w:hint="eastAsia" w:ascii="楷体" w:hAnsi="楷体" w:eastAsia="楷体"/>
          <w:color w:val="auto"/>
          <w:sz w:val="24"/>
          <w:szCs w:val="24"/>
          <w:highlight w:val="none"/>
        </w:rPr>
      </w:pPr>
      <w:bookmarkStart w:id="144" w:name="_Toc5382"/>
      <w:r>
        <w:rPr>
          <w:rFonts w:hint="eastAsia" w:ascii="楷体" w:hAnsi="楷体" w:eastAsia="楷体"/>
          <w:color w:val="auto"/>
          <w:sz w:val="24"/>
          <w:szCs w:val="24"/>
          <w:highlight w:val="none"/>
        </w:rPr>
        <w:t>（一）当事人友好协商达成一致</w:t>
      </w:r>
      <w:bookmarkEnd w:id="144"/>
    </w:p>
    <w:p w14:paraId="1D4890A7">
      <w:pPr>
        <w:snapToGrid w:val="0"/>
        <w:spacing w:line="400" w:lineRule="exact"/>
        <w:ind w:firstLine="480" w:firstLineChars="200"/>
        <w:rPr>
          <w:rFonts w:hint="eastAsia" w:ascii="楷体" w:hAnsi="楷体" w:eastAsia="楷体"/>
          <w:color w:val="auto"/>
          <w:sz w:val="24"/>
          <w:szCs w:val="24"/>
          <w:highlight w:val="none"/>
        </w:rPr>
      </w:pPr>
      <w:bookmarkStart w:id="145" w:name="_Toc29926"/>
      <w:r>
        <w:rPr>
          <w:rFonts w:hint="eastAsia" w:ascii="楷体" w:hAnsi="楷体" w:eastAsia="楷体"/>
          <w:color w:val="auto"/>
          <w:sz w:val="24"/>
          <w:szCs w:val="24"/>
          <w:highlight w:val="none"/>
        </w:rPr>
        <w:t>（二）在60天内当事人协商不能达成协议的，可提请医院当地仲裁机构仲裁。</w:t>
      </w:r>
      <w:bookmarkEnd w:id="145"/>
    </w:p>
    <w:p w14:paraId="4E8C4874">
      <w:pPr>
        <w:pStyle w:val="3"/>
        <w:ind w:firstLine="482"/>
        <w:rPr>
          <w:rFonts w:hint="eastAsia"/>
          <w:color w:val="auto"/>
          <w:highlight w:val="none"/>
        </w:rPr>
      </w:pPr>
      <w:bookmarkStart w:id="146" w:name="_Toc178405982"/>
      <w:bookmarkStart w:id="147" w:name="_Toc54718212"/>
      <w:r>
        <w:rPr>
          <w:rFonts w:hint="eastAsia"/>
          <w:color w:val="auto"/>
          <w:highlight w:val="none"/>
        </w:rPr>
        <w:t>十一、违约责任</w:t>
      </w:r>
      <w:bookmarkEnd w:id="146"/>
      <w:bookmarkEnd w:id="147"/>
    </w:p>
    <w:p w14:paraId="62741012">
      <w:pPr>
        <w:snapToGrid w:val="0"/>
        <w:spacing w:line="400" w:lineRule="exact"/>
        <w:ind w:firstLine="480" w:firstLineChars="200"/>
        <w:rPr>
          <w:rFonts w:hint="eastAsia" w:ascii="楷体" w:hAnsi="楷体" w:eastAsia="楷体"/>
          <w:color w:val="auto"/>
          <w:sz w:val="24"/>
          <w:szCs w:val="24"/>
          <w:highlight w:val="none"/>
        </w:rPr>
      </w:pPr>
      <w:bookmarkStart w:id="148" w:name="_Toc54718213"/>
      <w:r>
        <w:rPr>
          <w:rFonts w:hint="eastAsia" w:ascii="楷体" w:hAnsi="楷体" w:eastAsia="楷体"/>
          <w:color w:val="auto"/>
          <w:sz w:val="24"/>
          <w:szCs w:val="24"/>
          <w:highlight w:val="none"/>
        </w:rPr>
        <w:t>按《中华人民共和国民法典》有关条款，或由供需双方约定。</w:t>
      </w:r>
    </w:p>
    <w:p w14:paraId="4E98482F">
      <w:pPr>
        <w:pStyle w:val="3"/>
        <w:ind w:firstLine="482"/>
        <w:rPr>
          <w:rFonts w:hint="eastAsia"/>
          <w:color w:val="auto"/>
          <w:highlight w:val="none"/>
        </w:rPr>
      </w:pPr>
      <w:bookmarkStart w:id="149" w:name="_Toc178405983"/>
      <w:r>
        <w:rPr>
          <w:rFonts w:hint="eastAsia"/>
          <w:color w:val="auto"/>
          <w:highlight w:val="none"/>
        </w:rPr>
        <w:t>十二、合同生效及其它</w:t>
      </w:r>
      <w:bookmarkEnd w:id="148"/>
      <w:bookmarkEnd w:id="149"/>
    </w:p>
    <w:p w14:paraId="341B152A">
      <w:pPr>
        <w:snapToGrid w:val="0"/>
        <w:spacing w:line="400" w:lineRule="exact"/>
        <w:ind w:firstLine="480" w:firstLineChars="200"/>
        <w:rPr>
          <w:rFonts w:hint="eastAsia" w:ascii="楷体" w:hAnsi="楷体" w:eastAsia="楷体"/>
          <w:color w:val="auto"/>
          <w:sz w:val="24"/>
          <w:szCs w:val="24"/>
          <w:highlight w:val="none"/>
        </w:rPr>
      </w:pPr>
      <w:bookmarkStart w:id="150" w:name="_Toc7071"/>
      <w:r>
        <w:rPr>
          <w:rFonts w:hint="eastAsia" w:ascii="楷体" w:hAnsi="楷体" w:eastAsia="楷体"/>
          <w:color w:val="auto"/>
          <w:sz w:val="24"/>
          <w:szCs w:val="24"/>
          <w:highlight w:val="none"/>
        </w:rPr>
        <w:t>（一）合同生效及其效力应符合《中华人民共和国民法典》有关规定。</w:t>
      </w:r>
      <w:bookmarkEnd w:id="150"/>
    </w:p>
    <w:p w14:paraId="0540CA13">
      <w:pPr>
        <w:snapToGrid w:val="0"/>
        <w:spacing w:line="400" w:lineRule="exact"/>
        <w:ind w:firstLine="480" w:firstLineChars="200"/>
        <w:rPr>
          <w:rFonts w:hint="eastAsia" w:ascii="楷体" w:hAnsi="楷体" w:eastAsia="楷体"/>
          <w:color w:val="auto"/>
          <w:sz w:val="24"/>
          <w:szCs w:val="24"/>
          <w:highlight w:val="none"/>
        </w:rPr>
      </w:pPr>
      <w:bookmarkStart w:id="151" w:name="_Toc26923"/>
      <w:r>
        <w:rPr>
          <w:rFonts w:hint="eastAsia" w:ascii="楷体" w:hAnsi="楷体" w:eastAsia="楷体"/>
          <w:color w:val="auto"/>
          <w:sz w:val="24"/>
          <w:szCs w:val="24"/>
          <w:highlight w:val="none"/>
        </w:rPr>
        <w:t>（二）合同应经当事人法定代表人或委托代理人签字，加盖双方合同专用章或公章。</w:t>
      </w:r>
      <w:bookmarkEnd w:id="151"/>
    </w:p>
    <w:p w14:paraId="742EB226">
      <w:pPr>
        <w:snapToGrid w:val="0"/>
        <w:spacing w:line="400" w:lineRule="exact"/>
        <w:ind w:firstLine="480" w:firstLineChars="200"/>
        <w:rPr>
          <w:rFonts w:hint="eastAsia" w:ascii="楷体" w:hAnsi="楷体" w:eastAsia="楷体"/>
          <w:color w:val="auto"/>
          <w:sz w:val="24"/>
          <w:szCs w:val="24"/>
          <w:highlight w:val="none"/>
        </w:rPr>
      </w:pPr>
      <w:bookmarkStart w:id="152" w:name="_Toc21580"/>
      <w:r>
        <w:rPr>
          <w:rFonts w:hint="eastAsia" w:ascii="楷体" w:hAnsi="楷体" w:eastAsia="楷体"/>
          <w:color w:val="auto"/>
          <w:sz w:val="24"/>
          <w:szCs w:val="24"/>
          <w:highlight w:val="none"/>
        </w:rPr>
        <w:t>（三）合同所包括附件，是合同不可分割的一部分，具有同等法法律效力。</w:t>
      </w:r>
      <w:bookmarkEnd w:id="152"/>
    </w:p>
    <w:p w14:paraId="46F10DAE">
      <w:pPr>
        <w:snapToGrid w:val="0"/>
        <w:spacing w:line="400" w:lineRule="exact"/>
        <w:ind w:firstLine="480" w:firstLineChars="200"/>
        <w:rPr>
          <w:rFonts w:hint="eastAsia" w:ascii="楷体" w:hAnsi="楷体" w:eastAsia="楷体"/>
          <w:color w:val="auto"/>
          <w:sz w:val="24"/>
          <w:szCs w:val="24"/>
          <w:highlight w:val="none"/>
        </w:rPr>
      </w:pPr>
      <w:bookmarkStart w:id="153" w:name="_Toc28233"/>
      <w:r>
        <w:rPr>
          <w:rFonts w:hint="eastAsia" w:ascii="楷体" w:hAnsi="楷体" w:eastAsia="楷体"/>
          <w:color w:val="auto"/>
          <w:sz w:val="24"/>
          <w:szCs w:val="24"/>
          <w:highlight w:val="none"/>
        </w:rPr>
        <w:t>（四）合同需提供担保的，按《中华人民共和国担保法》规定执行。</w:t>
      </w:r>
      <w:bookmarkEnd w:id="153"/>
    </w:p>
    <w:p w14:paraId="27CDC4C8">
      <w:pPr>
        <w:snapToGrid w:val="0"/>
        <w:spacing w:line="400" w:lineRule="exact"/>
        <w:ind w:firstLine="480" w:firstLineChars="200"/>
        <w:rPr>
          <w:rFonts w:hint="eastAsia" w:ascii="楷体" w:hAnsi="楷体" w:eastAsia="楷体"/>
          <w:color w:val="auto"/>
          <w:sz w:val="24"/>
          <w:szCs w:val="24"/>
          <w:highlight w:val="none"/>
        </w:rPr>
      </w:pPr>
      <w:bookmarkStart w:id="154" w:name="_Toc18983"/>
      <w:r>
        <w:rPr>
          <w:rFonts w:hint="eastAsia" w:ascii="楷体" w:hAnsi="楷体" w:eastAsia="楷体"/>
          <w:color w:val="auto"/>
          <w:sz w:val="24"/>
          <w:szCs w:val="24"/>
          <w:highlight w:val="none"/>
        </w:rPr>
        <w:t>（五）本合同条件未尽事宜依照《中华人民共和国民法典》，由供需双方共同协商确定。</w:t>
      </w:r>
      <w:bookmarkEnd w:id="154"/>
    </w:p>
    <w:p w14:paraId="56922F8E">
      <w:pPr>
        <w:spacing w:line="560" w:lineRule="exact"/>
        <w:ind w:firstLine="560" w:firstLineChars="200"/>
        <w:jc w:val="both"/>
        <w:rPr>
          <w:rFonts w:hint="eastAsia" w:ascii="楷体" w:hAnsi="楷体" w:eastAsia="楷体"/>
          <w:color w:val="auto"/>
          <w:szCs w:val="28"/>
          <w:highlight w:val="none"/>
        </w:rPr>
      </w:pPr>
      <w:r>
        <w:rPr>
          <w:rFonts w:hint="eastAsia" w:ascii="楷体" w:hAnsi="楷体" w:eastAsia="楷体"/>
          <w:color w:val="auto"/>
          <w:szCs w:val="28"/>
          <w:highlight w:val="none"/>
        </w:rPr>
        <w:t xml:space="preserve">附页： </w:t>
      </w:r>
    </w:p>
    <w:p w14:paraId="3BA962DD">
      <w:pPr>
        <w:spacing w:line="560" w:lineRule="exact"/>
        <w:ind w:firstLine="562" w:firstLineChars="200"/>
        <w:jc w:val="both"/>
        <w:rPr>
          <w:rFonts w:ascii="楷体" w:hAnsi="楷体" w:eastAsia="楷体"/>
          <w:b/>
          <w:color w:val="auto"/>
          <w:sz w:val="24"/>
          <w:szCs w:val="24"/>
          <w:highlight w:val="none"/>
        </w:rPr>
      </w:pPr>
      <w:r>
        <w:rPr>
          <w:rFonts w:hint="eastAsia" w:ascii="楷体" w:hAnsi="楷体" w:eastAsia="楷体"/>
          <w:b/>
          <w:color w:val="auto"/>
          <w:szCs w:val="28"/>
          <w:highlight w:val="none"/>
        </w:rPr>
        <w:t>经采购人、成交供应商按照采购文件、响应文件要求友好协商制定合同。</w:t>
      </w:r>
    </w:p>
    <w:p w14:paraId="34CF1F4B">
      <w:pPr>
        <w:spacing w:line="560" w:lineRule="exact"/>
        <w:ind w:firstLine="562" w:firstLineChars="200"/>
        <w:rPr>
          <w:rFonts w:hint="eastAsia" w:ascii="楷体" w:hAnsi="楷体" w:eastAsia="楷体"/>
          <w:b/>
          <w:color w:val="auto"/>
          <w:szCs w:val="28"/>
          <w:highlight w:val="none"/>
        </w:rPr>
      </w:pPr>
    </w:p>
    <w:p w14:paraId="5B9C0DFE">
      <w:pPr>
        <w:spacing w:line="560" w:lineRule="exact"/>
        <w:ind w:firstLine="562" w:firstLineChars="200"/>
        <w:rPr>
          <w:rFonts w:hint="eastAsia" w:ascii="楷体" w:hAnsi="楷体" w:eastAsia="楷体"/>
          <w:b/>
          <w:color w:val="auto"/>
          <w:szCs w:val="28"/>
          <w:highlight w:val="none"/>
        </w:rPr>
      </w:pPr>
    </w:p>
    <w:p w14:paraId="23912492">
      <w:pPr>
        <w:pStyle w:val="2"/>
        <w:rPr>
          <w:rFonts w:hint="eastAsia" w:ascii="楷体" w:hAnsi="楷体"/>
          <w:color w:val="auto"/>
          <w:szCs w:val="36"/>
          <w:highlight w:val="none"/>
        </w:rPr>
      </w:pPr>
      <w:bookmarkStart w:id="155" w:name="_Hlt41879464"/>
      <w:bookmarkEnd w:id="155"/>
      <w:bookmarkStart w:id="156" w:name="_Toc12789072"/>
      <w:bookmarkStart w:id="157" w:name="_Toc18852"/>
      <w:r>
        <w:rPr>
          <w:rFonts w:hint="eastAsia" w:ascii="楷体" w:hAnsi="楷体"/>
          <w:color w:val="auto"/>
          <w:szCs w:val="36"/>
          <w:highlight w:val="none"/>
        </w:rPr>
        <w:br w:type="page"/>
      </w:r>
      <w:bookmarkStart w:id="158" w:name="_Toc178405984"/>
      <w:r>
        <w:rPr>
          <w:rFonts w:hint="eastAsia" w:ascii="楷体" w:hAnsi="楷体"/>
          <w:color w:val="auto"/>
          <w:szCs w:val="36"/>
          <w:highlight w:val="none"/>
        </w:rPr>
        <w:t>第七篇  响应文件格式要求</w:t>
      </w:r>
      <w:bookmarkEnd w:id="156"/>
      <w:bookmarkEnd w:id="157"/>
      <w:bookmarkEnd w:id="158"/>
    </w:p>
    <w:p w14:paraId="64A738FE">
      <w:pPr>
        <w:pStyle w:val="3"/>
        <w:ind w:firstLine="482"/>
        <w:rPr>
          <w:rFonts w:hint="eastAsia"/>
          <w:color w:val="auto"/>
          <w:highlight w:val="none"/>
        </w:rPr>
      </w:pPr>
      <w:bookmarkStart w:id="159" w:name="_Toc178405985"/>
      <w:r>
        <w:rPr>
          <w:rFonts w:hint="eastAsia"/>
          <w:color w:val="auto"/>
          <w:highlight w:val="none"/>
        </w:rPr>
        <w:t>一、经济部分</w:t>
      </w:r>
      <w:bookmarkEnd w:id="159"/>
    </w:p>
    <w:p w14:paraId="3A3A2F7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（一）报价一览表</w:t>
      </w:r>
    </w:p>
    <w:p w14:paraId="061CBE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（二）明细报价表</w:t>
      </w:r>
    </w:p>
    <w:p w14:paraId="01842D5E">
      <w:pPr>
        <w:pStyle w:val="3"/>
        <w:ind w:firstLine="482"/>
        <w:rPr>
          <w:rFonts w:hint="eastAsia"/>
          <w:color w:val="auto"/>
          <w:highlight w:val="none"/>
        </w:rPr>
      </w:pPr>
      <w:bookmarkStart w:id="160" w:name="_Toc178405986"/>
      <w:r>
        <w:rPr>
          <w:rFonts w:hint="eastAsia"/>
          <w:color w:val="auto"/>
          <w:highlight w:val="none"/>
        </w:rPr>
        <w:t>二、技术（质量）部分</w:t>
      </w:r>
      <w:bookmarkEnd w:id="160"/>
    </w:p>
    <w:p w14:paraId="6859F2D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技术（质量）响应偏离表</w:t>
      </w:r>
    </w:p>
    <w:p w14:paraId="799DA355">
      <w:pPr>
        <w:pStyle w:val="3"/>
        <w:ind w:firstLine="482"/>
        <w:rPr>
          <w:rFonts w:hint="eastAsia"/>
          <w:color w:val="auto"/>
          <w:highlight w:val="none"/>
        </w:rPr>
      </w:pPr>
      <w:bookmarkStart w:id="161" w:name="_Toc178405987"/>
      <w:r>
        <w:rPr>
          <w:rFonts w:hint="eastAsia"/>
          <w:color w:val="auto"/>
          <w:highlight w:val="none"/>
        </w:rPr>
        <w:t>三、服务部分</w:t>
      </w:r>
      <w:bookmarkEnd w:id="161"/>
    </w:p>
    <w:p w14:paraId="2C5C371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 响应函（格式）</w:t>
      </w:r>
    </w:p>
    <w:p w14:paraId="44A7392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 服务响应偏离表</w:t>
      </w:r>
    </w:p>
    <w:p w14:paraId="2AFB3CC1">
      <w:pPr>
        <w:pStyle w:val="3"/>
        <w:ind w:firstLine="482"/>
        <w:rPr>
          <w:rFonts w:hint="eastAsia"/>
          <w:color w:val="auto"/>
          <w:highlight w:val="none"/>
        </w:rPr>
      </w:pPr>
      <w:bookmarkStart w:id="162" w:name="_Toc178405988"/>
      <w:r>
        <w:rPr>
          <w:rFonts w:hint="eastAsia"/>
          <w:color w:val="auto"/>
          <w:highlight w:val="none"/>
        </w:rPr>
        <w:t>四、资格条件及其他</w:t>
      </w:r>
      <w:bookmarkEnd w:id="162"/>
    </w:p>
    <w:p w14:paraId="2A8D41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5F85E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（二）法定代表人身份证明书（格式）</w:t>
      </w:r>
    </w:p>
    <w:p w14:paraId="0A6A0A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（三）法定代表人授权委托书（格式）</w:t>
      </w:r>
    </w:p>
    <w:p w14:paraId="2B0DB4F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（四）2022或2023年度财务状况报告（表）或其基本开户银行出具的资信证明复印件，本年度新成立或成立不满一年的组织和自然人无法提供财务状况报告（表）的，可提供银行出具的资信证明复印件。</w:t>
      </w:r>
    </w:p>
    <w:p w14:paraId="5156E91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（五）书面声明（格式）</w:t>
      </w:r>
    </w:p>
    <w:p w14:paraId="7007259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（六）税务登记证（副本）复印件</w:t>
      </w:r>
    </w:p>
    <w:p w14:paraId="5F850BE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C19719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说明：供应商按“多证合一”登记制度办理营业执照的，组织机构代码证、税务登记证（副本）和社会保险登记证以供应商所提供的营业执照（副本）复印件为准。</w:t>
      </w:r>
    </w:p>
    <w:p w14:paraId="18EBE0E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3151580F">
      <w:pPr>
        <w:pStyle w:val="3"/>
        <w:ind w:firstLine="482"/>
        <w:rPr>
          <w:rFonts w:hint="eastAsia"/>
          <w:color w:val="auto"/>
          <w:highlight w:val="none"/>
        </w:rPr>
      </w:pPr>
      <w:bookmarkStart w:id="163" w:name="_Toc178405989"/>
      <w:r>
        <w:rPr>
          <w:rFonts w:hint="eastAsia"/>
          <w:color w:val="auto"/>
          <w:highlight w:val="none"/>
        </w:rPr>
        <w:t>五、其他应提供的资料</w:t>
      </w:r>
      <w:bookmarkEnd w:id="163"/>
    </w:p>
    <w:p w14:paraId="4DEC32E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（一）供应商小微企业证明文件、微型企业承诺书、监狱企业证明文件、残疾人福利性单位声明函</w:t>
      </w:r>
    </w:p>
    <w:p w14:paraId="1864DA5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（二）其他与项目有关的资料（自附）</w:t>
      </w:r>
    </w:p>
    <w:p w14:paraId="6A5A9A0B">
      <w:pPr>
        <w:snapToGrid w:val="0"/>
        <w:spacing w:line="400" w:lineRule="exact"/>
        <w:ind w:firstLine="560" w:firstLineChars="200"/>
        <w:rPr>
          <w:rFonts w:hint="eastAsia" w:ascii="楷体" w:hAnsi="楷体" w:eastAsia="楷体"/>
          <w:color w:val="auto"/>
          <w:szCs w:val="28"/>
          <w:highlight w:val="none"/>
        </w:rPr>
        <w:sectPr>
          <w:footerReference r:id="rId13" w:type="default"/>
          <w:pgSz w:w="11907" w:h="16840"/>
          <w:pgMar w:top="1134" w:right="1191" w:bottom="1134" w:left="1304" w:header="851" w:footer="992" w:gutter="0"/>
          <w:pgNumType w:fmt="numberInDash"/>
          <w:cols w:space="720" w:num="1"/>
          <w:docGrid w:linePitch="380" w:charSpace="-5735"/>
        </w:sectPr>
      </w:pPr>
    </w:p>
    <w:p w14:paraId="1B29E8CE">
      <w:pPr>
        <w:pStyle w:val="2"/>
        <w:rPr>
          <w:rFonts w:hint="eastAsia"/>
          <w:color w:val="auto"/>
          <w:highlight w:val="none"/>
        </w:rPr>
      </w:pPr>
      <w:bookmarkStart w:id="164" w:name="_Toc342913419"/>
      <w:bookmarkStart w:id="165" w:name="_Toc283382454"/>
      <w:bookmarkStart w:id="166" w:name="_Toc178405990"/>
      <w:bookmarkStart w:id="167" w:name="_Toc313888360"/>
      <w:bookmarkStart w:id="168" w:name="_Toc3025"/>
      <w:bookmarkStart w:id="169" w:name="_Toc12789073"/>
      <w:bookmarkStart w:id="170" w:name="_Toc313008356"/>
      <w:r>
        <w:rPr>
          <w:rFonts w:hint="eastAsia"/>
          <w:color w:val="auto"/>
          <w:highlight w:val="none"/>
        </w:rPr>
        <w:t>第八篇 附件</w:t>
      </w:r>
      <w:bookmarkEnd w:id="164"/>
      <w:bookmarkEnd w:id="165"/>
      <w:bookmarkEnd w:id="166"/>
      <w:bookmarkEnd w:id="167"/>
      <w:bookmarkEnd w:id="168"/>
      <w:bookmarkEnd w:id="169"/>
      <w:bookmarkEnd w:id="170"/>
      <w:bookmarkStart w:id="171" w:name="_Toc69397517"/>
    </w:p>
    <w:p w14:paraId="14F855EB">
      <w:pPr>
        <w:spacing w:line="420" w:lineRule="exact"/>
        <w:jc w:val="center"/>
        <w:rPr>
          <w:rFonts w:hint="eastAsia" w:ascii="楷体" w:hAnsi="楷体" w:eastAsia="楷体"/>
          <w:b/>
          <w:bCs/>
          <w:color w:val="auto"/>
          <w:sz w:val="32"/>
          <w:szCs w:val="32"/>
          <w:highlight w:val="none"/>
        </w:rPr>
      </w:pPr>
      <w:r>
        <w:rPr>
          <w:rFonts w:hint="eastAsia" w:ascii="楷体" w:hAnsi="楷体" w:eastAsia="楷体"/>
          <w:b/>
          <w:bCs/>
          <w:color w:val="auto"/>
          <w:sz w:val="32"/>
          <w:szCs w:val="32"/>
          <w:highlight w:val="none"/>
        </w:rPr>
        <w:t>供应商承诺书</w:t>
      </w:r>
    </w:p>
    <w:p w14:paraId="0DEBC859">
      <w:pPr>
        <w:spacing w:line="50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重庆医科大学附属永川医院：</w:t>
      </w:r>
    </w:p>
    <w:p w14:paraId="549A8086">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我公司（***公司）承诺：本项目提供的响应文件资料，包括但不限于技术参数要求偏离表、商务响应情况、彩页、检测报告等资料是客观的、真实的。</w:t>
      </w:r>
    </w:p>
    <w:p w14:paraId="51B0E6EA">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若经核实在响应文件中有提供虚假资料的，我公司愿意承担由此造成的一切法律后果！</w:t>
      </w:r>
    </w:p>
    <w:p w14:paraId="6F3F50F8">
      <w:pPr>
        <w:spacing w:line="500" w:lineRule="exact"/>
        <w:jc w:val="both"/>
        <w:rPr>
          <w:rFonts w:hint="eastAsia" w:ascii="楷体" w:hAnsi="楷体" w:eastAsia="楷体"/>
          <w:b/>
          <w:bCs/>
          <w:color w:val="auto"/>
          <w:szCs w:val="28"/>
          <w:highlight w:val="none"/>
        </w:rPr>
      </w:pPr>
    </w:p>
    <w:p w14:paraId="4531AFC8">
      <w:pPr>
        <w:spacing w:line="500" w:lineRule="exact"/>
        <w:jc w:val="both"/>
        <w:rPr>
          <w:rFonts w:hint="eastAsia" w:ascii="楷体" w:hAnsi="楷体" w:eastAsia="楷体"/>
          <w:b/>
          <w:bCs/>
          <w:color w:val="auto"/>
          <w:szCs w:val="28"/>
          <w:highlight w:val="none"/>
        </w:rPr>
      </w:pPr>
    </w:p>
    <w:p w14:paraId="49B83D33">
      <w:pPr>
        <w:spacing w:line="500" w:lineRule="exact"/>
        <w:jc w:val="both"/>
        <w:rPr>
          <w:rFonts w:hint="eastAsia" w:ascii="楷体" w:hAnsi="楷体" w:eastAsia="楷体"/>
          <w:b/>
          <w:bCs/>
          <w:color w:val="auto"/>
          <w:szCs w:val="28"/>
          <w:highlight w:val="none"/>
        </w:rPr>
      </w:pPr>
    </w:p>
    <w:p w14:paraId="01C6197A">
      <w:pPr>
        <w:spacing w:line="500" w:lineRule="exact"/>
        <w:jc w:val="both"/>
        <w:rPr>
          <w:rFonts w:hint="eastAsia" w:ascii="楷体" w:hAnsi="楷体" w:eastAsia="楷体"/>
          <w:b/>
          <w:bCs/>
          <w:color w:val="auto"/>
          <w:szCs w:val="28"/>
          <w:highlight w:val="none"/>
        </w:rPr>
      </w:pPr>
    </w:p>
    <w:p w14:paraId="421FBF41">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响应单位：***（盖章）</w:t>
      </w:r>
    </w:p>
    <w:p w14:paraId="0C6DE7B8">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***年***月***日</w:t>
      </w:r>
    </w:p>
    <w:p w14:paraId="151BF953">
      <w:pPr>
        <w:spacing w:line="420" w:lineRule="exact"/>
        <w:jc w:val="both"/>
        <w:rPr>
          <w:rFonts w:hint="eastAsia" w:ascii="楷体" w:hAnsi="楷体" w:eastAsia="楷体"/>
          <w:b/>
          <w:bCs/>
          <w:color w:val="auto"/>
          <w:sz w:val="24"/>
          <w:szCs w:val="24"/>
          <w:highlight w:val="none"/>
        </w:rPr>
      </w:pPr>
    </w:p>
    <w:p w14:paraId="6CCBA9D6">
      <w:pPr>
        <w:spacing w:line="420" w:lineRule="exact"/>
        <w:jc w:val="both"/>
        <w:rPr>
          <w:rFonts w:hint="eastAsia" w:ascii="楷体" w:hAnsi="楷体" w:eastAsia="楷体"/>
          <w:b/>
          <w:bCs/>
          <w:color w:val="auto"/>
          <w:sz w:val="24"/>
          <w:szCs w:val="24"/>
          <w:highlight w:val="none"/>
        </w:rPr>
      </w:pPr>
    </w:p>
    <w:p w14:paraId="4E99102A">
      <w:pPr>
        <w:spacing w:line="42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（必须在响应文件中提供以上“供应商承诺书”！）</w:t>
      </w:r>
    </w:p>
    <w:p w14:paraId="7E4FDF36">
      <w:pPr>
        <w:spacing w:line="420" w:lineRule="exact"/>
        <w:jc w:val="both"/>
        <w:rPr>
          <w:rFonts w:hint="eastAsia" w:ascii="楷体" w:hAnsi="楷体" w:eastAsia="楷体"/>
          <w:b/>
          <w:bCs/>
          <w:color w:val="auto"/>
          <w:sz w:val="32"/>
          <w:szCs w:val="32"/>
          <w:highlight w:val="none"/>
        </w:rPr>
      </w:pPr>
    </w:p>
    <w:p w14:paraId="3A10E99C">
      <w:pPr>
        <w:spacing w:line="420" w:lineRule="exact"/>
        <w:jc w:val="center"/>
        <w:rPr>
          <w:rFonts w:hint="eastAsia" w:ascii="楷体" w:hAnsi="楷体" w:eastAsia="楷体"/>
          <w:color w:val="auto"/>
          <w:sz w:val="30"/>
          <w:szCs w:val="30"/>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(一)设备报价一览表</w:t>
      </w:r>
    </w:p>
    <w:tbl>
      <w:tblPr>
        <w:tblStyle w:val="57"/>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36"/>
        <w:gridCol w:w="1556"/>
        <w:gridCol w:w="2282"/>
        <w:gridCol w:w="840"/>
        <w:gridCol w:w="851"/>
        <w:gridCol w:w="992"/>
        <w:gridCol w:w="1025"/>
      </w:tblGrid>
      <w:tr w14:paraId="6D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65B64521">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90D65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规格型号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92410DE">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原产地及</w:t>
            </w:r>
          </w:p>
          <w:p w14:paraId="411614F8">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生产厂家</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3D19D8EA">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主要内容</w:t>
            </w:r>
          </w:p>
          <w:p w14:paraId="7D06C4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（配置及技术参数）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255FBC">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71FC3B">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数量（台）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A66B1FC">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合计（元）</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8BA72C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设备使用期限</w:t>
            </w:r>
          </w:p>
        </w:tc>
      </w:tr>
      <w:tr w14:paraId="165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38D3DA6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03C6D2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4F01B2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153F69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62207E">
            <w:pPr>
              <w:spacing w:line="440" w:lineRule="exact"/>
              <w:jc w:val="center"/>
              <w:rPr>
                <w:rFonts w:ascii="楷体" w:hAnsi="楷体" w:eastAsia="楷体"/>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EC63A7">
            <w:pPr>
              <w:spacing w:line="440" w:lineRule="exact"/>
              <w:jc w:val="center"/>
              <w:rPr>
                <w:rFonts w:ascii="楷体" w:hAnsi="楷体" w:eastAsia="楷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403E6C">
            <w:pPr>
              <w:spacing w:line="440" w:lineRule="exact"/>
              <w:jc w:val="center"/>
              <w:rPr>
                <w:rFonts w:ascii="楷体" w:hAnsi="楷体" w:eastAsia="楷体"/>
                <w:color w:val="auto"/>
                <w:sz w:val="24"/>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33FB16F">
            <w:pPr>
              <w:spacing w:line="440" w:lineRule="exact"/>
              <w:jc w:val="center"/>
              <w:rPr>
                <w:rFonts w:ascii="楷体" w:hAnsi="楷体" w:eastAsia="楷体"/>
                <w:color w:val="auto"/>
                <w:sz w:val="24"/>
                <w:szCs w:val="24"/>
                <w:highlight w:val="none"/>
              </w:rPr>
            </w:pPr>
          </w:p>
        </w:tc>
      </w:tr>
      <w:tr w14:paraId="2CF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45C612B">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设备成交单价： </w:t>
            </w:r>
          </w:p>
        </w:tc>
      </w:tr>
      <w:tr w14:paraId="2DA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7CBE3E3F">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w:t>
            </w:r>
            <w:r>
              <w:rPr>
                <w:rFonts w:ascii="楷体" w:hAnsi="楷体" w:eastAsia="楷体"/>
                <w:color w:val="auto"/>
                <w:sz w:val="24"/>
                <w:szCs w:val="24"/>
                <w:highlight w:val="none"/>
              </w:rPr>
              <w:t xml:space="preserve"> </w:t>
            </w:r>
          </w:p>
        </w:tc>
      </w:tr>
      <w:tr w14:paraId="143B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2D239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到货期：</w:t>
            </w:r>
          </w:p>
        </w:tc>
      </w:tr>
      <w:tr w14:paraId="2C30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69867732">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质保期满后，设备技术保服务为***万元/年；设备全保服务费用为***万元/年。</w:t>
            </w:r>
          </w:p>
          <w:p w14:paraId="6D147E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注：设备</w:t>
            </w:r>
            <w:r>
              <w:rPr>
                <w:rFonts w:hint="eastAsia" w:ascii="楷体" w:hAnsi="楷体" w:eastAsia="楷体"/>
                <w:b/>
                <w:bCs/>
                <w:color w:val="auto"/>
                <w:sz w:val="24"/>
                <w:szCs w:val="24"/>
                <w:highlight w:val="none"/>
              </w:rPr>
              <w:t>技术保服务指的是：</w:t>
            </w:r>
            <w:r>
              <w:rPr>
                <w:rFonts w:hint="eastAsia" w:ascii="楷体" w:hAnsi="楷体" w:eastAsia="楷体"/>
                <w:color w:val="auto"/>
                <w:sz w:val="24"/>
                <w:szCs w:val="24"/>
                <w:highlight w:val="none"/>
              </w:rPr>
              <w:t>电话咨询，不涉及人工和配件，一般为“免费”；</w:t>
            </w:r>
          </w:p>
          <w:p w14:paraId="6E89F7ED">
            <w:pPr>
              <w:spacing w:line="44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设备全保服务费用指的是：</w:t>
            </w:r>
            <w:r>
              <w:rPr>
                <w:rFonts w:hint="eastAsia" w:ascii="楷体" w:hAnsi="楷体" w:eastAsia="楷体"/>
                <w:color w:val="auto"/>
                <w:sz w:val="24"/>
                <w:szCs w:val="24"/>
                <w:highlight w:val="none"/>
              </w:rPr>
              <w:t>质保期满后，若院方购买了设备全保服务，则“人工、住宿、配件”等其他全部费用院方都不另外支付费用了，全保服务费用一般为（成交价格的6%-8%）/台/年，一般不超过成交价格的10%/台/年（请合理报价）。</w:t>
            </w:r>
          </w:p>
        </w:tc>
      </w:tr>
      <w:tr w14:paraId="51F9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5C62A34">
            <w:pPr>
              <w:spacing w:line="44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备注：</w:t>
            </w:r>
            <w:r>
              <w:rPr>
                <w:rFonts w:hint="eastAsia" w:ascii="楷体" w:hAnsi="楷体" w:eastAsia="楷体" w:cs="宋体"/>
                <w:b/>
                <w:color w:val="auto"/>
                <w:sz w:val="24"/>
                <w:highlight w:val="none"/>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0C9F37DA">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注明</w:t>
      </w:r>
    </w:p>
    <w:p w14:paraId="1AB90FC9">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1、请各响应单位根据我院采购产品的功能及配置要求合理报价；若虚高报价、串标抬价或低价中标后不供货，将取消响应人资格并列入黑名单。</w:t>
      </w:r>
    </w:p>
    <w:p w14:paraId="3F477381">
      <w:pPr>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2、若有零配件或耗材报价，请在备注栏注明，并另做报价表。若未列出,则视为标配。</w:t>
      </w:r>
    </w:p>
    <w:p w14:paraId="71A0EA68">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3、报价表盖章有效。</w:t>
      </w:r>
    </w:p>
    <w:p w14:paraId="567D0096">
      <w:pPr>
        <w:snapToGrid w:val="0"/>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4、请严格写清楚易损件报价详细清单</w:t>
      </w:r>
    </w:p>
    <w:p w14:paraId="26ECEF6B">
      <w:pPr>
        <w:snapToGrid w:val="0"/>
        <w:spacing w:line="420" w:lineRule="exact"/>
        <w:rPr>
          <w:rFonts w:hint="eastAsia" w:ascii="楷体" w:hAnsi="楷体" w:eastAsia="楷体"/>
          <w:color w:val="auto"/>
          <w:sz w:val="24"/>
          <w:szCs w:val="24"/>
          <w:highlight w:val="none"/>
        </w:rPr>
      </w:pPr>
    </w:p>
    <w:p w14:paraId="42BFF3F3">
      <w:pPr>
        <w:pStyle w:val="37"/>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供应商名称（公章）：</w:t>
      </w:r>
    </w:p>
    <w:p w14:paraId="48131596">
      <w:pPr>
        <w:snapToGrid w:val="0"/>
        <w:spacing w:line="420" w:lineRule="exact"/>
        <w:ind w:firstLine="6120" w:firstLineChars="2550"/>
        <w:rPr>
          <w:rFonts w:hint="eastAsia" w:ascii="楷体" w:hAnsi="楷体" w:eastAsia="楷体"/>
          <w:color w:val="auto"/>
          <w:szCs w:val="24"/>
          <w:highlight w:val="none"/>
        </w:rPr>
      </w:pPr>
      <w:r>
        <w:rPr>
          <w:rFonts w:hint="eastAsia" w:ascii="楷体" w:hAnsi="楷体" w:eastAsia="楷体"/>
          <w:color w:val="auto"/>
          <w:sz w:val="24"/>
          <w:szCs w:val="24"/>
          <w:highlight w:val="none"/>
        </w:rPr>
        <w:t>年     月    日</w:t>
      </w:r>
    </w:p>
    <w:p w14:paraId="41190961">
      <w:pPr>
        <w:tabs>
          <w:tab w:val="left" w:pos="6300"/>
        </w:tabs>
        <w:snapToGrid w:val="0"/>
        <w:spacing w:line="312" w:lineRule="auto"/>
        <w:ind w:firstLine="480"/>
        <w:rPr>
          <w:rFonts w:hint="eastAsia" w:ascii="楷体" w:hAnsi="楷体" w:eastAsia="楷体"/>
          <w:color w:val="auto"/>
          <w:szCs w:val="24"/>
          <w:highlight w:val="none"/>
        </w:rPr>
      </w:pPr>
    </w:p>
    <w:p w14:paraId="61400D96">
      <w:pPr>
        <w:tabs>
          <w:tab w:val="left" w:pos="6300"/>
        </w:tabs>
        <w:snapToGrid w:val="0"/>
        <w:spacing w:line="312" w:lineRule="auto"/>
        <w:ind w:firstLine="480"/>
        <w:rPr>
          <w:rFonts w:hint="eastAsia" w:ascii="楷体" w:hAnsi="楷体" w:eastAsia="楷体"/>
          <w:color w:val="auto"/>
          <w:szCs w:val="24"/>
          <w:highlight w:val="none"/>
        </w:rPr>
      </w:pPr>
    </w:p>
    <w:p w14:paraId="73D36487">
      <w:pPr>
        <w:tabs>
          <w:tab w:val="left" w:pos="6300"/>
        </w:tabs>
        <w:snapToGrid w:val="0"/>
        <w:spacing w:line="312" w:lineRule="auto"/>
        <w:ind w:firstLine="480"/>
        <w:rPr>
          <w:rFonts w:hint="eastAsia" w:ascii="楷体" w:hAnsi="楷体" w:eastAsia="楷体"/>
          <w:color w:val="auto"/>
          <w:szCs w:val="24"/>
          <w:highlight w:val="none"/>
        </w:rPr>
      </w:pPr>
    </w:p>
    <w:p w14:paraId="0E1C284B">
      <w:pPr>
        <w:tabs>
          <w:tab w:val="left" w:pos="6300"/>
        </w:tabs>
        <w:snapToGrid w:val="0"/>
        <w:spacing w:line="312" w:lineRule="auto"/>
        <w:ind w:firstLine="480"/>
        <w:rPr>
          <w:rFonts w:hint="eastAsia" w:ascii="楷体" w:hAnsi="楷体" w:eastAsia="楷体"/>
          <w:color w:val="auto"/>
          <w:szCs w:val="24"/>
          <w:highlight w:val="none"/>
        </w:rPr>
      </w:pPr>
    </w:p>
    <w:p w14:paraId="534E51B2">
      <w:pPr>
        <w:tabs>
          <w:tab w:val="left" w:pos="6300"/>
        </w:tabs>
        <w:snapToGrid w:val="0"/>
        <w:spacing w:line="312" w:lineRule="auto"/>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（二）分项报价明细表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6"/>
        <w:gridCol w:w="1264"/>
        <w:gridCol w:w="1198"/>
        <w:gridCol w:w="1199"/>
        <w:gridCol w:w="1199"/>
        <w:gridCol w:w="1199"/>
        <w:gridCol w:w="1199"/>
      </w:tblGrid>
      <w:tr w14:paraId="5E2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4206C29">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B40D0A">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E6E6E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CDDDDF0">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2E6D60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A55586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0A9B1E7">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数量</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D5C1A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110F63">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325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right w:val="single" w:color="auto" w:sz="4" w:space="0"/>
            </w:tcBorders>
            <w:noWrap w:val="0"/>
            <w:vAlign w:val="center"/>
          </w:tcPr>
          <w:p w14:paraId="70BE70B5">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628A8C">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05381C7F">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EDBC0B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3E754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374E2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D42B9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312E0D2">
            <w:pPr>
              <w:jc w:val="center"/>
              <w:rPr>
                <w:rFonts w:ascii="楷体" w:hAnsi="楷体" w:eastAsia="楷体"/>
                <w:color w:val="auto"/>
                <w:sz w:val="21"/>
                <w:szCs w:val="21"/>
                <w:highlight w:val="none"/>
              </w:rPr>
            </w:pPr>
          </w:p>
        </w:tc>
      </w:tr>
      <w:tr w14:paraId="59C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2FC4E339">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2C2992">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8AE74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CD66E65">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FDA3D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1A58F2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07A03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03F002A">
            <w:pPr>
              <w:jc w:val="center"/>
              <w:rPr>
                <w:rFonts w:hint="eastAsia" w:ascii="楷体" w:hAnsi="楷体" w:eastAsia="楷体"/>
                <w:color w:val="auto"/>
                <w:sz w:val="21"/>
                <w:szCs w:val="21"/>
                <w:highlight w:val="none"/>
              </w:rPr>
            </w:pPr>
          </w:p>
        </w:tc>
      </w:tr>
      <w:tr w14:paraId="3B0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7EE403F4">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84EC47">
            <w:pPr>
              <w:rPr>
                <w:rFonts w:ascii="楷体" w:hAnsi="楷体" w:eastAsia="楷体" w:cs="宋体"/>
                <w:color w:val="auto"/>
                <w:sz w:val="24"/>
                <w:szCs w:val="24"/>
                <w:highlight w:val="none"/>
              </w:rPr>
            </w:pPr>
            <w:r>
              <w:rPr>
                <w:rFonts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8C49C3A">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1921AD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B28B1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7BD1D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63BE26">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1021E93">
            <w:pPr>
              <w:jc w:val="center"/>
              <w:rPr>
                <w:rFonts w:hint="eastAsia" w:ascii="楷体" w:hAnsi="楷体" w:eastAsia="楷体"/>
                <w:color w:val="auto"/>
                <w:sz w:val="21"/>
                <w:szCs w:val="21"/>
                <w:highlight w:val="none"/>
              </w:rPr>
            </w:pPr>
          </w:p>
        </w:tc>
      </w:tr>
      <w:tr w14:paraId="536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1" w:type="dxa"/>
            <w:gridSpan w:val="2"/>
            <w:tcBorders>
              <w:left w:val="single" w:color="auto" w:sz="4" w:space="0"/>
              <w:right w:val="single" w:color="auto" w:sz="4" w:space="0"/>
            </w:tcBorders>
            <w:noWrap w:val="0"/>
            <w:vAlign w:val="center"/>
          </w:tcPr>
          <w:p w14:paraId="6E605F5D">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7258" w:type="dxa"/>
            <w:gridSpan w:val="6"/>
            <w:tcBorders>
              <w:left w:val="single" w:color="auto" w:sz="4" w:space="0"/>
              <w:right w:val="single" w:color="auto" w:sz="4" w:space="0"/>
            </w:tcBorders>
            <w:noWrap w:val="0"/>
            <w:vAlign w:val="center"/>
          </w:tcPr>
          <w:p w14:paraId="6F30CCCD">
            <w:pPr>
              <w:jc w:val="center"/>
              <w:rPr>
                <w:rFonts w:hint="eastAsia" w:ascii="楷体" w:hAnsi="楷体" w:eastAsia="楷体"/>
                <w:color w:val="auto"/>
                <w:sz w:val="21"/>
                <w:szCs w:val="21"/>
                <w:highlight w:val="none"/>
              </w:rPr>
            </w:pPr>
          </w:p>
        </w:tc>
      </w:tr>
    </w:tbl>
    <w:p w14:paraId="3D807391">
      <w:pPr>
        <w:ind w:left="480"/>
        <w:rPr>
          <w:rFonts w:hint="eastAsia" w:ascii="楷体" w:hAnsi="楷体" w:eastAsia="楷体"/>
          <w:color w:val="auto"/>
          <w:szCs w:val="28"/>
          <w:highlight w:val="none"/>
        </w:rPr>
      </w:pPr>
    </w:p>
    <w:p w14:paraId="21383908">
      <w:pPr>
        <w:ind w:left="480"/>
        <w:rPr>
          <w:rFonts w:hint="eastAsia" w:ascii="楷体" w:hAnsi="楷体" w:eastAsia="楷体"/>
          <w:color w:val="auto"/>
          <w:szCs w:val="28"/>
          <w:highlight w:val="none"/>
        </w:rPr>
      </w:pPr>
    </w:p>
    <w:p w14:paraId="16A553A1">
      <w:pPr>
        <w:spacing w:line="500" w:lineRule="exact"/>
        <w:ind w:firstLine="700" w:firstLineChars="250"/>
        <w:rPr>
          <w:rFonts w:hint="eastAsia" w:ascii="楷体" w:hAnsi="楷体" w:eastAsia="楷体"/>
          <w:color w:val="auto"/>
          <w:szCs w:val="28"/>
          <w:highlight w:val="none"/>
        </w:rPr>
      </w:pPr>
      <w:r>
        <w:rPr>
          <w:rFonts w:hint="eastAsia" w:ascii="楷体" w:hAnsi="楷体" w:eastAsia="楷体"/>
          <w:color w:val="auto"/>
          <w:szCs w:val="28"/>
          <w:highlight w:val="none"/>
        </w:rPr>
        <w:t>响应人：                        法定代表人或法定代表人授权代表：</w:t>
      </w:r>
    </w:p>
    <w:p w14:paraId="4A998192">
      <w:pPr>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（响应人公章）                               （签字或盖章）</w:t>
      </w:r>
    </w:p>
    <w:p w14:paraId="0C868952">
      <w:pPr>
        <w:spacing w:line="500" w:lineRule="exact"/>
        <w:ind w:firstLine="480"/>
        <w:rPr>
          <w:rFonts w:hint="eastAsia" w:ascii="楷体" w:hAnsi="楷体" w:eastAsia="楷体"/>
          <w:color w:val="auto"/>
          <w:szCs w:val="28"/>
          <w:highlight w:val="none"/>
        </w:rPr>
      </w:pPr>
    </w:p>
    <w:p w14:paraId="5763EE1F">
      <w:pPr>
        <w:spacing w:line="500" w:lineRule="exact"/>
        <w:ind w:firstLine="480"/>
        <w:rPr>
          <w:rFonts w:hint="eastAsia" w:ascii="楷体" w:hAnsi="楷体" w:eastAsia="楷体"/>
          <w:color w:val="auto"/>
          <w:szCs w:val="28"/>
          <w:highlight w:val="none"/>
        </w:rPr>
      </w:pPr>
    </w:p>
    <w:p w14:paraId="6C83D460">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 xml:space="preserve">                                            年     月     日</w:t>
      </w:r>
    </w:p>
    <w:p w14:paraId="1E1487C9">
      <w:pPr>
        <w:snapToGrid w:val="0"/>
        <w:spacing w:line="500" w:lineRule="exact"/>
        <w:ind w:firstLine="480"/>
        <w:rPr>
          <w:rFonts w:hint="eastAsia" w:ascii="楷体" w:hAnsi="楷体" w:eastAsia="楷体"/>
          <w:color w:val="auto"/>
          <w:szCs w:val="28"/>
          <w:highlight w:val="none"/>
        </w:rPr>
      </w:pPr>
    </w:p>
    <w:p w14:paraId="63AF94B6">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备注:</w:t>
      </w:r>
    </w:p>
    <w:p w14:paraId="465BD7E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Cs w:val="28"/>
          <w:highlight w:val="none"/>
        </w:rPr>
        <w:t>1.若有配套易损件或耗材的，需同时报价，否则视为标配。</w:t>
      </w:r>
    </w:p>
    <w:p w14:paraId="18C6F3C5">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2.请响应人完整填写本表。</w:t>
      </w:r>
    </w:p>
    <w:p w14:paraId="05154717">
      <w:pPr>
        <w:ind w:left="480"/>
        <w:rPr>
          <w:rFonts w:hint="eastAsia" w:ascii="楷体" w:hAnsi="楷体" w:eastAsia="楷体"/>
          <w:color w:val="auto"/>
          <w:highlight w:val="none"/>
        </w:rPr>
      </w:pPr>
    </w:p>
    <w:p w14:paraId="241B9A5C">
      <w:pPr>
        <w:snapToGrid w:val="0"/>
        <w:spacing w:line="560" w:lineRule="exact"/>
        <w:ind w:firstLine="560" w:firstLineChars="200"/>
        <w:rPr>
          <w:rFonts w:hint="eastAsia" w:ascii="楷体" w:hAnsi="楷体" w:eastAsia="楷体"/>
          <w:color w:val="auto"/>
          <w:szCs w:val="28"/>
          <w:highlight w:val="none"/>
        </w:rPr>
      </w:pPr>
    </w:p>
    <w:p w14:paraId="3FA83032">
      <w:pPr>
        <w:snapToGrid w:val="0"/>
        <w:spacing w:line="560" w:lineRule="exact"/>
        <w:ind w:firstLine="560" w:firstLineChars="200"/>
        <w:rPr>
          <w:rFonts w:hint="eastAsia" w:ascii="楷体" w:hAnsi="楷体" w:eastAsia="楷体"/>
          <w:color w:val="auto"/>
          <w:szCs w:val="28"/>
          <w:highlight w:val="none"/>
        </w:rPr>
      </w:pPr>
    </w:p>
    <w:p w14:paraId="5A458137">
      <w:pPr>
        <w:snapToGrid w:val="0"/>
        <w:spacing w:line="560" w:lineRule="exact"/>
        <w:ind w:firstLine="560" w:firstLineChars="200"/>
        <w:rPr>
          <w:rFonts w:hint="eastAsia" w:ascii="楷体" w:hAnsi="楷体" w:eastAsia="楷体"/>
          <w:color w:val="auto"/>
          <w:szCs w:val="28"/>
          <w:highlight w:val="none"/>
        </w:rPr>
      </w:pPr>
    </w:p>
    <w:p w14:paraId="0E1F080B">
      <w:pPr>
        <w:snapToGrid w:val="0"/>
        <w:spacing w:line="560" w:lineRule="exact"/>
        <w:ind w:firstLine="560" w:firstLineChars="200"/>
        <w:rPr>
          <w:rFonts w:hint="eastAsia" w:ascii="楷体" w:hAnsi="楷体" w:eastAsia="楷体"/>
          <w:color w:val="auto"/>
          <w:szCs w:val="28"/>
          <w:highlight w:val="none"/>
        </w:rPr>
      </w:pPr>
    </w:p>
    <w:p w14:paraId="40C15F65">
      <w:pPr>
        <w:snapToGrid w:val="0"/>
        <w:spacing w:line="560" w:lineRule="exact"/>
        <w:ind w:firstLine="560" w:firstLineChars="200"/>
        <w:rPr>
          <w:rFonts w:hint="eastAsia" w:ascii="楷体" w:hAnsi="楷体" w:eastAsia="楷体"/>
          <w:color w:val="auto"/>
          <w:szCs w:val="28"/>
          <w:highlight w:val="none"/>
        </w:rPr>
      </w:pPr>
    </w:p>
    <w:p w14:paraId="327008AE">
      <w:pPr>
        <w:snapToGrid w:val="0"/>
        <w:spacing w:line="560" w:lineRule="exact"/>
        <w:ind w:firstLine="560" w:firstLineChars="200"/>
        <w:rPr>
          <w:rFonts w:hint="eastAsia" w:ascii="楷体" w:hAnsi="楷体" w:eastAsia="楷体"/>
          <w:color w:val="auto"/>
          <w:szCs w:val="28"/>
          <w:highlight w:val="none"/>
        </w:rPr>
      </w:pPr>
    </w:p>
    <w:p w14:paraId="1DAFA5AA">
      <w:pPr>
        <w:snapToGrid w:val="0"/>
        <w:spacing w:line="560" w:lineRule="exact"/>
        <w:ind w:firstLine="560" w:firstLineChars="200"/>
        <w:rPr>
          <w:rFonts w:hint="eastAsia" w:ascii="楷体" w:hAnsi="楷体" w:eastAsia="楷体"/>
          <w:color w:val="auto"/>
          <w:szCs w:val="28"/>
          <w:highlight w:val="none"/>
        </w:rPr>
      </w:pPr>
    </w:p>
    <w:p w14:paraId="16A5C436">
      <w:pPr>
        <w:snapToGrid w:val="0"/>
        <w:spacing w:line="560" w:lineRule="exact"/>
        <w:ind w:firstLine="560" w:firstLineChars="200"/>
        <w:rPr>
          <w:rFonts w:hint="eastAsia" w:ascii="楷体" w:hAnsi="楷体" w:eastAsia="楷体"/>
          <w:color w:val="auto"/>
          <w:szCs w:val="28"/>
          <w:highlight w:val="none"/>
        </w:rPr>
      </w:pPr>
    </w:p>
    <w:p w14:paraId="50DC504B">
      <w:pPr>
        <w:snapToGrid w:val="0"/>
        <w:spacing w:line="560" w:lineRule="exact"/>
        <w:ind w:firstLine="560" w:firstLineChars="200"/>
        <w:rPr>
          <w:rFonts w:hint="eastAsia" w:ascii="楷体" w:hAnsi="楷体" w:eastAsia="楷体"/>
          <w:color w:val="auto"/>
          <w:szCs w:val="28"/>
          <w:highlight w:val="none"/>
        </w:rPr>
      </w:pPr>
    </w:p>
    <w:p w14:paraId="39993EB5">
      <w:pPr>
        <w:snapToGrid w:val="0"/>
        <w:spacing w:line="560" w:lineRule="exact"/>
        <w:ind w:firstLine="560" w:firstLineChars="200"/>
        <w:rPr>
          <w:rFonts w:hint="eastAsia" w:ascii="楷体" w:hAnsi="楷体" w:eastAsia="楷体"/>
          <w:color w:val="auto"/>
          <w:szCs w:val="28"/>
          <w:highlight w:val="none"/>
        </w:rPr>
      </w:pPr>
    </w:p>
    <w:p w14:paraId="2B666B1F">
      <w:pPr>
        <w:tabs>
          <w:tab w:val="left" w:pos="6300"/>
        </w:tabs>
        <w:snapToGrid w:val="0"/>
        <w:spacing w:line="312" w:lineRule="auto"/>
        <w:ind w:firstLine="480"/>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17F7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D2946A7">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58C69C2C">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3CBA6D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2D2E0A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DD7B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142047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04CD353">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74FCD">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29C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7190DC1E">
            <w:pPr>
              <w:jc w:val="center"/>
              <w:rPr>
                <w:rFonts w:ascii="楷体" w:hAnsi="楷体" w:eastAsia="楷体"/>
                <w:color w:val="auto"/>
                <w:sz w:val="21"/>
                <w:szCs w:val="21"/>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1B0EC3A">
            <w:pPr>
              <w:jc w:val="center"/>
              <w:rPr>
                <w:rFonts w:ascii="楷体" w:hAnsi="楷体" w:eastAsia="楷体"/>
                <w:color w:val="auto"/>
                <w:sz w:val="21"/>
                <w:szCs w:val="21"/>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ACB0D56">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81676C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F101AB">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B4DB0B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4378B2E">
            <w:pPr>
              <w:jc w:val="center"/>
              <w:rPr>
                <w:rFonts w:ascii="楷体" w:hAnsi="楷体" w:eastAsia="楷体"/>
                <w:color w:val="auto"/>
                <w:sz w:val="21"/>
                <w:szCs w:val="21"/>
                <w:highlight w:val="none"/>
              </w:rPr>
            </w:pPr>
          </w:p>
        </w:tc>
      </w:tr>
      <w:tr w14:paraId="0E7D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3000719">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9BAF583">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E6BA9E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F869A8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FFDFB4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4E1B3C2">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39DAC8A">
            <w:pPr>
              <w:jc w:val="center"/>
              <w:rPr>
                <w:rFonts w:hint="eastAsia" w:ascii="楷体" w:hAnsi="楷体" w:eastAsia="楷体"/>
                <w:color w:val="auto"/>
                <w:sz w:val="21"/>
                <w:szCs w:val="21"/>
                <w:highlight w:val="none"/>
              </w:rPr>
            </w:pPr>
          </w:p>
        </w:tc>
      </w:tr>
      <w:tr w14:paraId="66D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139F64B">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2CBB785">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7866E49">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1CBB20E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6BC85F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2536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080904D">
            <w:pPr>
              <w:jc w:val="center"/>
              <w:rPr>
                <w:rFonts w:hint="eastAsia" w:ascii="楷体" w:hAnsi="楷体" w:eastAsia="楷体"/>
                <w:color w:val="auto"/>
                <w:sz w:val="21"/>
                <w:szCs w:val="21"/>
                <w:highlight w:val="none"/>
              </w:rPr>
            </w:pPr>
          </w:p>
        </w:tc>
      </w:tr>
      <w:tr w14:paraId="40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B3F5918">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A4EB792">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3CD78C4">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86CE8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786DA27">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E0CD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832EAE">
            <w:pPr>
              <w:jc w:val="center"/>
              <w:rPr>
                <w:rFonts w:hint="eastAsia" w:ascii="楷体" w:hAnsi="楷体" w:eastAsia="楷体"/>
                <w:color w:val="auto"/>
                <w:sz w:val="21"/>
                <w:szCs w:val="21"/>
                <w:highlight w:val="none"/>
              </w:rPr>
            </w:pPr>
          </w:p>
        </w:tc>
      </w:tr>
      <w:tr w14:paraId="6E1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B0D7D32">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3F2C079">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C6C5DDB">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4EF7408">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898C9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152794">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7E2E351">
            <w:pPr>
              <w:jc w:val="center"/>
              <w:rPr>
                <w:rFonts w:hint="eastAsia" w:ascii="楷体" w:hAnsi="楷体" w:eastAsia="楷体"/>
                <w:color w:val="auto"/>
                <w:sz w:val="21"/>
                <w:szCs w:val="21"/>
                <w:highlight w:val="none"/>
              </w:rPr>
            </w:pPr>
          </w:p>
        </w:tc>
      </w:tr>
      <w:tr w14:paraId="309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E1A1BB3">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68D3E438">
            <w:pPr>
              <w:jc w:val="center"/>
              <w:rPr>
                <w:rFonts w:hint="eastAsia" w:ascii="楷体" w:hAnsi="楷体" w:eastAsia="楷体"/>
                <w:color w:val="auto"/>
                <w:sz w:val="21"/>
                <w:szCs w:val="21"/>
                <w:highlight w:val="none"/>
              </w:rPr>
            </w:pPr>
          </w:p>
        </w:tc>
      </w:tr>
    </w:tbl>
    <w:p w14:paraId="34BF26F6">
      <w:pPr>
        <w:snapToGrid w:val="0"/>
        <w:spacing w:line="500" w:lineRule="exact"/>
        <w:ind w:firstLine="480"/>
        <w:rPr>
          <w:rFonts w:hint="eastAsia" w:ascii="楷体" w:hAnsi="楷体" w:eastAsia="楷体"/>
          <w:b/>
          <w:bCs/>
          <w:color w:val="auto"/>
          <w:szCs w:val="28"/>
          <w:highlight w:val="none"/>
        </w:rPr>
      </w:pPr>
      <w:r>
        <w:rPr>
          <w:rFonts w:hint="eastAsia" w:ascii="楷体" w:hAnsi="楷体" w:eastAsia="楷体"/>
          <w:b/>
          <w:bCs/>
          <w:color w:val="auto"/>
          <w:szCs w:val="28"/>
          <w:highlight w:val="none"/>
        </w:rPr>
        <w:t>注意:设备若有容易损坏的备品、备件或耗材的，需提供相关零配件或配套耗材资质及报价，并注明该耗材是专用耗材或开放耗材）。</w:t>
      </w:r>
    </w:p>
    <w:p w14:paraId="269D9958">
      <w:pPr>
        <w:ind w:left="480"/>
        <w:rPr>
          <w:rFonts w:hint="eastAsia" w:ascii="楷体" w:hAnsi="楷体" w:eastAsia="楷体"/>
          <w:color w:val="auto"/>
          <w:szCs w:val="28"/>
          <w:highlight w:val="none"/>
        </w:rPr>
      </w:pPr>
    </w:p>
    <w:p w14:paraId="14D16C63">
      <w:pPr>
        <w:pStyle w:val="3"/>
        <w:ind w:firstLine="482"/>
        <w:rPr>
          <w:rFonts w:hint="eastAsia"/>
          <w:color w:val="auto"/>
          <w:highlight w:val="none"/>
        </w:rPr>
      </w:pPr>
      <w:r>
        <w:rPr>
          <w:color w:val="auto"/>
          <w:highlight w:val="none"/>
        </w:rPr>
        <w:br w:type="page"/>
      </w:r>
      <w:bookmarkStart w:id="172" w:name="_Toc178405991"/>
      <w:r>
        <w:rPr>
          <w:rFonts w:hint="eastAsia"/>
          <w:color w:val="auto"/>
          <w:highlight w:val="none"/>
        </w:rPr>
        <w:t>一、技术要求部分</w:t>
      </w:r>
      <w:bookmarkEnd w:id="171"/>
      <w:bookmarkEnd w:id="172"/>
    </w:p>
    <w:p w14:paraId="17F69D91">
      <w:pPr>
        <w:snapToGrid w:val="0"/>
        <w:spacing w:line="500" w:lineRule="exact"/>
        <w:ind w:firstLine="48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（一）技术要求响应偏离表</w:t>
      </w:r>
    </w:p>
    <w:p w14:paraId="0344885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p>
    <w:p w14:paraId="5C8123B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6A1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05E482EA">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2074" w:type="dxa"/>
            <w:noWrap w:val="0"/>
            <w:vAlign w:val="center"/>
          </w:tcPr>
          <w:p w14:paraId="7BCF49CC">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技术要求</w:t>
            </w:r>
          </w:p>
        </w:tc>
        <w:tc>
          <w:tcPr>
            <w:tcW w:w="2074" w:type="dxa"/>
            <w:noWrap w:val="0"/>
            <w:vAlign w:val="center"/>
          </w:tcPr>
          <w:p w14:paraId="4919ED58">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074" w:type="dxa"/>
            <w:noWrap w:val="0"/>
            <w:vAlign w:val="center"/>
          </w:tcPr>
          <w:p w14:paraId="6ED941AD">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差异说明</w:t>
            </w:r>
          </w:p>
        </w:tc>
      </w:tr>
      <w:tr w14:paraId="309E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0DD5989">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5343BB5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DA762FB">
            <w:pPr>
              <w:snapToGrid w:val="0"/>
              <w:spacing w:line="500" w:lineRule="exact"/>
              <w:ind w:firstLine="28" w:firstLineChars="12"/>
              <w:rPr>
                <w:rFonts w:hint="eastAsia" w:ascii="楷体" w:hAnsi="楷体" w:eastAsia="楷体"/>
                <w:color w:val="auto"/>
                <w:sz w:val="24"/>
                <w:szCs w:val="24"/>
                <w:highlight w:val="none"/>
              </w:rPr>
            </w:pPr>
          </w:p>
        </w:tc>
        <w:tc>
          <w:tcPr>
            <w:tcW w:w="2074" w:type="dxa"/>
            <w:noWrap w:val="0"/>
            <w:vAlign w:val="center"/>
          </w:tcPr>
          <w:p w14:paraId="41A95689">
            <w:pPr>
              <w:snapToGrid w:val="0"/>
              <w:spacing w:line="500" w:lineRule="exact"/>
              <w:ind w:firstLine="480"/>
              <w:rPr>
                <w:rFonts w:hint="eastAsia" w:ascii="楷体" w:hAnsi="楷体" w:eastAsia="楷体"/>
                <w:color w:val="auto"/>
                <w:sz w:val="24"/>
                <w:szCs w:val="24"/>
                <w:highlight w:val="none"/>
              </w:rPr>
            </w:pPr>
          </w:p>
        </w:tc>
      </w:tr>
      <w:tr w14:paraId="3A9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C3EF2ED">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CD629D5">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E3405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B43446">
            <w:pPr>
              <w:snapToGrid w:val="0"/>
              <w:spacing w:line="500" w:lineRule="exact"/>
              <w:ind w:firstLine="480"/>
              <w:rPr>
                <w:rFonts w:hint="eastAsia" w:ascii="楷体" w:hAnsi="楷体" w:eastAsia="楷体"/>
                <w:color w:val="auto"/>
                <w:sz w:val="24"/>
                <w:szCs w:val="24"/>
                <w:highlight w:val="none"/>
              </w:rPr>
            </w:pPr>
          </w:p>
        </w:tc>
      </w:tr>
      <w:tr w14:paraId="1B2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1FE4F2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7EABBC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690FE656">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F3902B2">
            <w:pPr>
              <w:snapToGrid w:val="0"/>
              <w:spacing w:line="500" w:lineRule="exact"/>
              <w:ind w:firstLine="480"/>
              <w:rPr>
                <w:rFonts w:hint="eastAsia" w:ascii="楷体" w:hAnsi="楷体" w:eastAsia="楷体"/>
                <w:color w:val="auto"/>
                <w:sz w:val="24"/>
                <w:szCs w:val="24"/>
                <w:highlight w:val="none"/>
              </w:rPr>
            </w:pPr>
          </w:p>
        </w:tc>
      </w:tr>
      <w:tr w14:paraId="2C9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4503D3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5199B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480C10F">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44D3C64A">
            <w:pPr>
              <w:snapToGrid w:val="0"/>
              <w:spacing w:line="500" w:lineRule="exact"/>
              <w:ind w:firstLine="480"/>
              <w:rPr>
                <w:rFonts w:hint="eastAsia" w:ascii="楷体" w:hAnsi="楷体" w:eastAsia="楷体"/>
                <w:color w:val="auto"/>
                <w:sz w:val="24"/>
                <w:szCs w:val="24"/>
                <w:highlight w:val="none"/>
              </w:rPr>
            </w:pPr>
          </w:p>
        </w:tc>
      </w:tr>
      <w:tr w14:paraId="426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62938A2">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F383E14">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ADDB8B">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E8C9F7C">
            <w:pPr>
              <w:snapToGrid w:val="0"/>
              <w:spacing w:line="500" w:lineRule="exact"/>
              <w:ind w:firstLine="480"/>
              <w:rPr>
                <w:rFonts w:hint="eastAsia" w:ascii="楷体" w:hAnsi="楷体" w:eastAsia="楷体"/>
                <w:color w:val="auto"/>
                <w:sz w:val="24"/>
                <w:szCs w:val="24"/>
                <w:highlight w:val="none"/>
              </w:rPr>
            </w:pPr>
          </w:p>
        </w:tc>
      </w:tr>
      <w:tr w14:paraId="61D9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1D10AC4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9767F43">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6C5086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3E18110">
            <w:pPr>
              <w:snapToGrid w:val="0"/>
              <w:spacing w:line="500" w:lineRule="exact"/>
              <w:ind w:firstLine="480"/>
              <w:rPr>
                <w:rFonts w:hint="eastAsia" w:ascii="楷体" w:hAnsi="楷体" w:eastAsia="楷体"/>
                <w:color w:val="auto"/>
                <w:sz w:val="24"/>
                <w:szCs w:val="24"/>
                <w:highlight w:val="none"/>
              </w:rPr>
            </w:pPr>
          </w:p>
        </w:tc>
      </w:tr>
    </w:tbl>
    <w:p w14:paraId="7AE2782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45ED571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                                      法定代表人或授权代表：</w:t>
      </w:r>
    </w:p>
    <w:p w14:paraId="03510A99">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                               （签字）</w:t>
      </w:r>
    </w:p>
    <w:p w14:paraId="36FC0674">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74C15E9D">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28D76C5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1、本表即为对本项目“第二篇  项目技术要求”中所列要求进行比较和响应；</w:t>
      </w:r>
    </w:p>
    <w:p w14:paraId="2FEF25BA">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55BE9255">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40F5126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0ED8E6C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27029598">
      <w:pPr>
        <w:pStyle w:val="3"/>
        <w:ind w:firstLine="482"/>
        <w:rPr>
          <w:rFonts w:hint="eastAsia" w:ascii="楷体" w:hAnsi="楷体"/>
          <w:color w:val="auto"/>
          <w:highlight w:val="none"/>
        </w:rPr>
      </w:pPr>
      <w:r>
        <w:rPr>
          <w:rFonts w:ascii="楷体" w:hAnsi="楷体"/>
          <w:color w:val="auto"/>
          <w:szCs w:val="24"/>
          <w:highlight w:val="none"/>
        </w:rPr>
        <w:br w:type="page"/>
      </w:r>
      <w:bookmarkStart w:id="173" w:name="_Toc530494756"/>
      <w:bookmarkStart w:id="174" w:name="_Toc69397518"/>
      <w:bookmarkStart w:id="175" w:name="_Toc35440429"/>
      <w:bookmarkStart w:id="176" w:name="_Toc178405992"/>
      <w:r>
        <w:rPr>
          <w:rFonts w:hint="eastAsia" w:ascii="楷体" w:hAnsi="楷体"/>
          <w:color w:val="auto"/>
          <w:szCs w:val="24"/>
          <w:highlight w:val="none"/>
        </w:rPr>
        <w:t>二</w:t>
      </w:r>
      <w:r>
        <w:rPr>
          <w:rFonts w:hint="eastAsia" w:ascii="楷体" w:hAnsi="楷体"/>
          <w:color w:val="auto"/>
          <w:highlight w:val="none"/>
        </w:rPr>
        <w:t>、商务部分</w:t>
      </w:r>
      <w:bookmarkEnd w:id="173"/>
      <w:bookmarkEnd w:id="174"/>
      <w:bookmarkEnd w:id="175"/>
      <w:bookmarkEnd w:id="176"/>
    </w:p>
    <w:p w14:paraId="4CB06620">
      <w:pPr>
        <w:snapToGrid w:val="0"/>
        <w:spacing w:line="50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（一）响应函（格式）</w:t>
      </w:r>
    </w:p>
    <w:p w14:paraId="11C24CC3">
      <w:pPr>
        <w:snapToGrid w:val="0"/>
        <w:spacing w:line="500" w:lineRule="exact"/>
        <w:rPr>
          <w:rFonts w:hint="eastAsia" w:ascii="楷体" w:hAnsi="楷体" w:eastAsia="楷体"/>
          <w:color w:val="auto"/>
          <w:sz w:val="24"/>
          <w:szCs w:val="24"/>
          <w:highlight w:val="none"/>
        </w:rPr>
      </w:pPr>
      <w:bookmarkStart w:id="177" w:name="_Toc283382459"/>
      <w:r>
        <w:rPr>
          <w:rFonts w:hint="eastAsia" w:ascii="楷体" w:hAnsi="楷体" w:eastAsia="楷体"/>
          <w:color w:val="auto"/>
          <w:sz w:val="24"/>
          <w:szCs w:val="24"/>
          <w:highlight w:val="none"/>
        </w:rPr>
        <w:t>重庆医科大学附属永川医院：</w:t>
      </w:r>
    </w:p>
    <w:p w14:paraId="323E64F9">
      <w:pPr>
        <w:snapToGrid w:val="0"/>
        <w:spacing w:line="5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我方收到__________________（比选项目名称）的比选文件，经详细研究，决定参加该项目的比选。</w:t>
      </w:r>
    </w:p>
    <w:p w14:paraId="57A9F4F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1、愿意按照比选文件中的一切要求，提供本项目的交货及技术服务、商务要求。</w:t>
      </w:r>
    </w:p>
    <w:p w14:paraId="429830E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2、我方提交的所有响应文件、资料都是准确和真实的，如有虚假或隐瞒，我方愿意承担一切法律责任。</w:t>
      </w:r>
    </w:p>
    <w:p w14:paraId="77F412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3、我方现提交的响应文件为：响应文件正本   份，副本   份。</w:t>
      </w:r>
    </w:p>
    <w:p w14:paraId="36A0117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4、我方承诺：本次比选的有效期为提交响应文件截止时间起90天。</w:t>
      </w:r>
    </w:p>
    <w:p w14:paraId="1BA4DFCF">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5、我方完全理解和接受贵方比选文件的一切规定和要求及评审办法。</w:t>
      </w:r>
    </w:p>
    <w:p w14:paraId="6611966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6、在整个比选过程中，我方若有违规行为，接受按照《中华人民共和国政府采购法》和《比选文件》之规定给予惩罚。</w:t>
      </w:r>
    </w:p>
    <w:p w14:paraId="329E9284">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7、我方若成为成交供应商，将按照最终比选结果签订合同，并且严格履行合同义务。本承诺函将成为合同不可分割的一部分，与合同具有同等的法律效力。</w:t>
      </w:r>
    </w:p>
    <w:p w14:paraId="4459A7DC">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8、我方未为采购项目提供整体设计、规范编制或者项目管理、监理、检测等服务。</w:t>
      </w:r>
    </w:p>
    <w:p w14:paraId="64901D4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442534A9">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地址：  </w:t>
      </w:r>
    </w:p>
    <w:p w14:paraId="63BA37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电话：                                             传真：</w:t>
      </w:r>
    </w:p>
    <w:p w14:paraId="3FBBC24B">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网址：                                             邮编：</w:t>
      </w:r>
    </w:p>
    <w:p w14:paraId="6373BAD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w:t>
      </w:r>
    </w:p>
    <w:p w14:paraId="2FD04988">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57410753">
      <w:pPr>
        <w:snapToGrid w:val="0"/>
        <w:spacing w:line="50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br w:type="page"/>
      </w:r>
      <w:r>
        <w:rPr>
          <w:rFonts w:hint="eastAsia" w:ascii="楷体" w:hAnsi="楷体" w:eastAsia="楷体"/>
          <w:b/>
          <w:color w:val="auto"/>
          <w:sz w:val="24"/>
          <w:szCs w:val="24"/>
          <w:highlight w:val="none"/>
        </w:rPr>
        <w:t>（二）商务响应偏离表</w:t>
      </w:r>
    </w:p>
    <w:p w14:paraId="64F8BECD">
      <w:pPr>
        <w:snapToGrid w:val="0"/>
        <w:spacing w:line="36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66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FB9009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3179" w:type="dxa"/>
            <w:noWrap w:val="0"/>
            <w:vAlign w:val="center"/>
          </w:tcPr>
          <w:p w14:paraId="61554A3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商务要求</w:t>
            </w:r>
          </w:p>
        </w:tc>
        <w:tc>
          <w:tcPr>
            <w:tcW w:w="2434" w:type="dxa"/>
            <w:noWrap w:val="0"/>
            <w:vAlign w:val="center"/>
          </w:tcPr>
          <w:p w14:paraId="1B8DEF9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355" w:type="dxa"/>
            <w:noWrap w:val="0"/>
            <w:vAlign w:val="center"/>
          </w:tcPr>
          <w:p w14:paraId="2B3A5500">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偏离说明</w:t>
            </w:r>
          </w:p>
        </w:tc>
      </w:tr>
      <w:tr w14:paraId="15C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D0EBC31">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643E06E7">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785849D5">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070987A">
            <w:pPr>
              <w:snapToGrid w:val="0"/>
              <w:spacing w:line="500" w:lineRule="exact"/>
              <w:ind w:firstLine="480"/>
              <w:rPr>
                <w:rFonts w:hint="eastAsia" w:ascii="楷体" w:hAnsi="楷体" w:eastAsia="楷体"/>
                <w:color w:val="auto"/>
                <w:sz w:val="24"/>
                <w:szCs w:val="24"/>
                <w:highlight w:val="none"/>
              </w:rPr>
            </w:pPr>
          </w:p>
        </w:tc>
      </w:tr>
      <w:tr w14:paraId="674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137D9C9">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43FFD726">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310FB1D">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75E8C534">
            <w:pPr>
              <w:snapToGrid w:val="0"/>
              <w:spacing w:line="500" w:lineRule="exact"/>
              <w:ind w:firstLine="480"/>
              <w:rPr>
                <w:rFonts w:hint="eastAsia" w:ascii="楷体" w:hAnsi="楷体" w:eastAsia="楷体"/>
                <w:color w:val="auto"/>
                <w:sz w:val="24"/>
                <w:szCs w:val="24"/>
                <w:highlight w:val="none"/>
              </w:rPr>
            </w:pPr>
          </w:p>
        </w:tc>
      </w:tr>
      <w:tr w14:paraId="7F60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1899515">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B14E49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90FB85F">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93481C9">
            <w:pPr>
              <w:snapToGrid w:val="0"/>
              <w:spacing w:line="500" w:lineRule="exact"/>
              <w:ind w:firstLine="480"/>
              <w:rPr>
                <w:rFonts w:hint="eastAsia" w:ascii="楷体" w:hAnsi="楷体" w:eastAsia="楷体"/>
                <w:color w:val="auto"/>
                <w:sz w:val="24"/>
                <w:szCs w:val="24"/>
                <w:highlight w:val="none"/>
              </w:rPr>
            </w:pPr>
          </w:p>
        </w:tc>
      </w:tr>
      <w:tr w14:paraId="18F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E0DEE6E">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0995680D">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3598E61E">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EAEF237">
            <w:pPr>
              <w:snapToGrid w:val="0"/>
              <w:spacing w:line="500" w:lineRule="exact"/>
              <w:ind w:firstLine="480"/>
              <w:rPr>
                <w:rFonts w:hint="eastAsia" w:ascii="楷体" w:hAnsi="楷体" w:eastAsia="楷体"/>
                <w:color w:val="auto"/>
                <w:sz w:val="24"/>
                <w:szCs w:val="24"/>
                <w:highlight w:val="none"/>
              </w:rPr>
            </w:pPr>
          </w:p>
        </w:tc>
      </w:tr>
      <w:tr w14:paraId="4F9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9E84C9B">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567EBAB">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63E55B49">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23BA47C">
            <w:pPr>
              <w:snapToGrid w:val="0"/>
              <w:spacing w:line="500" w:lineRule="exact"/>
              <w:ind w:firstLine="480"/>
              <w:rPr>
                <w:rFonts w:hint="eastAsia" w:ascii="楷体" w:hAnsi="楷体" w:eastAsia="楷体"/>
                <w:color w:val="auto"/>
                <w:sz w:val="24"/>
                <w:szCs w:val="24"/>
                <w:highlight w:val="none"/>
              </w:rPr>
            </w:pPr>
          </w:p>
        </w:tc>
      </w:tr>
      <w:tr w14:paraId="76A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64276D4">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36F7514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137AC05C">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2039821">
            <w:pPr>
              <w:snapToGrid w:val="0"/>
              <w:spacing w:line="500" w:lineRule="exact"/>
              <w:ind w:firstLine="480"/>
              <w:rPr>
                <w:rFonts w:hint="eastAsia" w:ascii="楷体" w:hAnsi="楷体" w:eastAsia="楷体"/>
                <w:color w:val="auto"/>
                <w:sz w:val="24"/>
                <w:szCs w:val="24"/>
                <w:highlight w:val="none"/>
              </w:rPr>
            </w:pPr>
          </w:p>
        </w:tc>
      </w:tr>
    </w:tbl>
    <w:p w14:paraId="24BC0AE8">
      <w:pPr>
        <w:snapToGrid w:val="0"/>
        <w:spacing w:line="500" w:lineRule="exact"/>
        <w:ind w:firstLine="480"/>
        <w:rPr>
          <w:rFonts w:hint="eastAsia" w:ascii="楷体" w:hAnsi="楷体" w:eastAsia="楷体"/>
          <w:color w:val="auto"/>
          <w:sz w:val="24"/>
          <w:szCs w:val="24"/>
          <w:highlight w:val="none"/>
        </w:rPr>
      </w:pPr>
    </w:p>
    <w:p w14:paraId="5CADB6C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供应商（供应商公章）：                  法定代表人或授权代表（签字）：</w:t>
      </w:r>
    </w:p>
    <w:p w14:paraId="1E157EEC">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2F6BD11A">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66565312">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13B19AC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1、本表即为对本项目“第三篇 项目商务需求”中所列服务要求进行比较和响应；</w:t>
      </w:r>
    </w:p>
    <w:p w14:paraId="0AF0ADF6">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111F54C7">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0C5B562F">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42BFFE2F">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62439241">
      <w:pPr>
        <w:pStyle w:val="3"/>
        <w:ind w:firstLine="482"/>
        <w:rPr>
          <w:rFonts w:hint="eastAsia"/>
          <w:color w:val="auto"/>
          <w:highlight w:val="none"/>
        </w:rPr>
      </w:pPr>
      <w:r>
        <w:rPr>
          <w:rFonts w:ascii="楷体" w:hAnsi="楷体"/>
          <w:color w:val="auto"/>
          <w:highlight w:val="none"/>
        </w:rPr>
        <w:br w:type="page"/>
      </w:r>
      <w:bookmarkEnd w:id="177"/>
      <w:bookmarkStart w:id="178" w:name="_Toc25929284"/>
      <w:bookmarkStart w:id="179" w:name="_Toc69397519"/>
      <w:bookmarkStart w:id="180" w:name="_Toc530494757"/>
      <w:bookmarkStart w:id="181" w:name="_Toc178405993"/>
      <w:bookmarkStart w:id="182" w:name="_Toc35440430"/>
      <w:r>
        <w:rPr>
          <w:rFonts w:hint="eastAsia"/>
          <w:color w:val="auto"/>
          <w:highlight w:val="none"/>
        </w:rPr>
        <w:t>三、资格条件及其他</w:t>
      </w:r>
      <w:bookmarkEnd w:id="178"/>
      <w:bookmarkEnd w:id="179"/>
      <w:bookmarkEnd w:id="180"/>
      <w:bookmarkEnd w:id="181"/>
      <w:bookmarkEnd w:id="182"/>
    </w:p>
    <w:p w14:paraId="562B692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08319B8">
      <w:pPr>
        <w:snapToGrid w:val="0"/>
        <w:spacing w:line="560" w:lineRule="exact"/>
        <w:ind w:firstLine="480" w:firstLineChars="200"/>
        <w:rPr>
          <w:rFonts w:hint="eastAsia" w:ascii="楷体" w:hAnsi="楷体" w:eastAsia="楷体"/>
          <w:color w:val="auto"/>
          <w:sz w:val="24"/>
          <w:szCs w:val="24"/>
          <w:highlight w:val="none"/>
        </w:rPr>
      </w:pPr>
    </w:p>
    <w:p w14:paraId="2B6BA23F">
      <w:pPr>
        <w:snapToGrid w:val="0"/>
        <w:spacing w:line="560" w:lineRule="exact"/>
        <w:ind w:firstLine="560" w:firstLineChars="200"/>
        <w:rPr>
          <w:rFonts w:hint="eastAsia" w:ascii="楷体" w:hAnsi="楷体" w:eastAsia="楷体"/>
          <w:color w:val="auto"/>
          <w:szCs w:val="28"/>
          <w:highlight w:val="none"/>
        </w:rPr>
      </w:pPr>
    </w:p>
    <w:p w14:paraId="51F7A9FB">
      <w:pPr>
        <w:widowControl/>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（二）法定代表人身份证明书（格式）</w:t>
      </w:r>
    </w:p>
    <w:p w14:paraId="0BD452EE">
      <w:pPr>
        <w:tabs>
          <w:tab w:val="left" w:pos="6300"/>
        </w:tabs>
        <w:snapToGrid w:val="0"/>
        <w:spacing w:line="500" w:lineRule="exact"/>
        <w:ind w:firstLine="480"/>
        <w:rPr>
          <w:rFonts w:hint="eastAsia" w:ascii="楷体" w:hAnsi="楷体" w:eastAsia="楷体"/>
          <w:color w:val="auto"/>
          <w:sz w:val="24"/>
          <w:szCs w:val="24"/>
          <w:highlight w:val="none"/>
        </w:rPr>
      </w:pPr>
    </w:p>
    <w:p w14:paraId="7D53411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34D37544">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2C3B16B1">
      <w:pPr>
        <w:tabs>
          <w:tab w:val="left" w:pos="6300"/>
        </w:tabs>
        <w:snapToGrid w:val="0"/>
        <w:spacing w:line="500" w:lineRule="exact"/>
        <w:ind w:firstLine="480"/>
        <w:rPr>
          <w:rFonts w:hint="eastAsia" w:ascii="楷体" w:hAnsi="楷体" w:eastAsia="楷体"/>
          <w:color w:val="auto"/>
          <w:sz w:val="24"/>
          <w:szCs w:val="24"/>
          <w:highlight w:val="none"/>
        </w:rPr>
      </w:pPr>
    </w:p>
    <w:p w14:paraId="28778F1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1EB0BE9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（法定代表人姓名）在</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（供应商名称）任</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（职务名称）职务，是（供应商名称）</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的法定代表人。</w:t>
      </w:r>
    </w:p>
    <w:p w14:paraId="2C9C3EC7">
      <w:pPr>
        <w:tabs>
          <w:tab w:val="left" w:pos="6300"/>
        </w:tabs>
        <w:snapToGrid w:val="0"/>
        <w:spacing w:line="500" w:lineRule="exact"/>
        <w:ind w:firstLine="480"/>
        <w:rPr>
          <w:rFonts w:hint="eastAsia" w:ascii="楷体" w:hAnsi="楷体" w:eastAsia="楷体"/>
          <w:color w:val="auto"/>
          <w:sz w:val="24"/>
          <w:szCs w:val="24"/>
          <w:highlight w:val="none"/>
        </w:rPr>
      </w:pPr>
    </w:p>
    <w:p w14:paraId="4D80CB6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特此证明。</w:t>
      </w:r>
    </w:p>
    <w:p w14:paraId="08E86653">
      <w:pPr>
        <w:tabs>
          <w:tab w:val="left" w:pos="6300"/>
        </w:tabs>
        <w:snapToGrid w:val="0"/>
        <w:spacing w:line="500" w:lineRule="exact"/>
        <w:ind w:firstLine="480"/>
        <w:rPr>
          <w:rFonts w:hint="eastAsia" w:ascii="楷体" w:hAnsi="楷体" w:eastAsia="楷体"/>
          <w:color w:val="auto"/>
          <w:sz w:val="24"/>
          <w:szCs w:val="24"/>
          <w:highlight w:val="none"/>
        </w:rPr>
      </w:pPr>
    </w:p>
    <w:p w14:paraId="4668011E">
      <w:pPr>
        <w:tabs>
          <w:tab w:val="left" w:pos="6300"/>
        </w:tabs>
        <w:snapToGrid w:val="0"/>
        <w:spacing w:line="500" w:lineRule="exact"/>
        <w:ind w:firstLine="480"/>
        <w:rPr>
          <w:rFonts w:hint="eastAsia" w:ascii="楷体" w:hAnsi="楷体" w:eastAsia="楷体"/>
          <w:color w:val="auto"/>
          <w:sz w:val="24"/>
          <w:szCs w:val="24"/>
          <w:highlight w:val="none"/>
        </w:rPr>
      </w:pPr>
    </w:p>
    <w:p w14:paraId="7E70B68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w:t>
      </w:r>
    </w:p>
    <w:p w14:paraId="0D769B02">
      <w:pPr>
        <w:tabs>
          <w:tab w:val="left" w:pos="6300"/>
        </w:tabs>
        <w:snapToGrid w:val="0"/>
        <w:spacing w:line="500" w:lineRule="exact"/>
        <w:ind w:firstLine="480"/>
        <w:rPr>
          <w:rFonts w:hint="eastAsia" w:ascii="楷体" w:hAnsi="楷体" w:eastAsia="楷体"/>
          <w:color w:val="auto"/>
          <w:sz w:val="24"/>
          <w:szCs w:val="24"/>
          <w:highlight w:val="none"/>
        </w:rPr>
      </w:pPr>
    </w:p>
    <w:p w14:paraId="42D99A7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026DC210">
      <w:pPr>
        <w:tabs>
          <w:tab w:val="left" w:pos="6300"/>
        </w:tabs>
        <w:snapToGrid w:val="0"/>
        <w:spacing w:line="500" w:lineRule="exact"/>
        <w:ind w:firstLine="480"/>
        <w:rPr>
          <w:rFonts w:hint="eastAsia" w:ascii="楷体" w:hAnsi="楷体" w:eastAsia="楷体"/>
          <w:color w:val="auto"/>
          <w:sz w:val="24"/>
          <w:szCs w:val="24"/>
          <w:highlight w:val="none"/>
        </w:rPr>
      </w:pPr>
    </w:p>
    <w:p w14:paraId="1BDC66CE">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（附：法定代表人身份证正反面复印件）</w:t>
      </w:r>
    </w:p>
    <w:p w14:paraId="46287C8C">
      <w:pPr>
        <w:tabs>
          <w:tab w:val="left" w:pos="6300"/>
        </w:tabs>
        <w:snapToGrid w:val="0"/>
        <w:spacing w:line="500" w:lineRule="exact"/>
        <w:ind w:firstLine="480"/>
        <w:rPr>
          <w:rFonts w:hint="eastAsia" w:ascii="楷体" w:hAnsi="楷体" w:eastAsia="楷体"/>
          <w:color w:val="auto"/>
          <w:sz w:val="24"/>
          <w:szCs w:val="24"/>
          <w:highlight w:val="none"/>
        </w:rPr>
      </w:pPr>
    </w:p>
    <w:p w14:paraId="7C10DEF2">
      <w:pPr>
        <w:snapToGrid w:val="0"/>
        <w:spacing w:line="560" w:lineRule="exact"/>
        <w:rPr>
          <w:rFonts w:hint="eastAsia" w:ascii="楷体" w:hAnsi="楷体" w:eastAsia="楷体"/>
          <w:color w:val="auto"/>
          <w:szCs w:val="28"/>
          <w:highlight w:val="none"/>
        </w:rPr>
      </w:pPr>
    </w:p>
    <w:p w14:paraId="3DA8916C">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（三）法定代表人授权委托书（格式）</w:t>
      </w:r>
    </w:p>
    <w:p w14:paraId="4F263283">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t xml:space="preserve">    </w:t>
      </w:r>
    </w:p>
    <w:p w14:paraId="2B82526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5098C9F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76A9DE4B">
      <w:pPr>
        <w:tabs>
          <w:tab w:val="left" w:pos="6300"/>
        </w:tabs>
        <w:snapToGrid w:val="0"/>
        <w:spacing w:line="500" w:lineRule="exact"/>
        <w:ind w:firstLine="480"/>
        <w:rPr>
          <w:rFonts w:hint="eastAsia" w:ascii="楷体" w:hAnsi="楷体" w:eastAsia="楷体"/>
          <w:color w:val="auto"/>
          <w:sz w:val="24"/>
          <w:szCs w:val="24"/>
          <w:highlight w:val="none"/>
        </w:rPr>
      </w:pPr>
    </w:p>
    <w:p w14:paraId="0EF654B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24C639A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（供应商法定代表人名称）是</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（供应商名称）的法定代表人，特授权</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（被授权人姓名及身份证号码）代表我单位全权办理上述项目的比选、签约等具体工作，并签署全部有关文件、协议及合同。</w:t>
      </w:r>
    </w:p>
    <w:p w14:paraId="0D73BACF">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我单位对被授权人的签字负全部责任。</w:t>
      </w:r>
    </w:p>
    <w:p w14:paraId="67A12E2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在撤消授权的书面通知以前，本授权书一直有效。被授权人在授权书有效期内签署的所有文件不因授权的撤消而失效。</w:t>
      </w:r>
    </w:p>
    <w:p w14:paraId="63CB578E">
      <w:pPr>
        <w:tabs>
          <w:tab w:val="left" w:pos="6300"/>
        </w:tabs>
        <w:snapToGrid w:val="0"/>
        <w:spacing w:line="500" w:lineRule="exact"/>
        <w:ind w:firstLine="480"/>
        <w:rPr>
          <w:rFonts w:hint="eastAsia" w:ascii="楷体" w:hAnsi="楷体" w:eastAsia="楷体"/>
          <w:color w:val="auto"/>
          <w:sz w:val="24"/>
          <w:szCs w:val="24"/>
          <w:highlight w:val="none"/>
        </w:rPr>
      </w:pPr>
    </w:p>
    <w:p w14:paraId="68B97A89">
      <w:pPr>
        <w:tabs>
          <w:tab w:val="left" w:pos="6300"/>
        </w:tabs>
        <w:snapToGrid w:val="0"/>
        <w:spacing w:line="500" w:lineRule="exact"/>
        <w:ind w:firstLine="480"/>
        <w:rPr>
          <w:rFonts w:hint="eastAsia" w:ascii="楷体" w:hAnsi="楷体" w:eastAsia="楷体"/>
          <w:color w:val="auto"/>
          <w:sz w:val="24"/>
          <w:szCs w:val="24"/>
          <w:highlight w:val="none"/>
        </w:rPr>
      </w:pPr>
    </w:p>
    <w:p w14:paraId="1C4979C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被授权人（签字）：                      供应商法定代表人（签字）：</w:t>
      </w:r>
    </w:p>
    <w:p w14:paraId="7D0289C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99A931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（附：被授权人身份证正反面复印件）</w:t>
      </w:r>
    </w:p>
    <w:p w14:paraId="4142C919">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6BE04F5">
      <w:pPr>
        <w:tabs>
          <w:tab w:val="left" w:pos="6300"/>
        </w:tabs>
        <w:snapToGrid w:val="0"/>
        <w:spacing w:line="500" w:lineRule="exact"/>
        <w:ind w:firstLine="480"/>
        <w:rPr>
          <w:rFonts w:hint="eastAsia" w:ascii="楷体" w:hAnsi="楷体" w:eastAsia="楷体"/>
          <w:color w:val="auto"/>
          <w:sz w:val="24"/>
          <w:szCs w:val="24"/>
          <w:highlight w:val="none"/>
        </w:rPr>
      </w:pPr>
    </w:p>
    <w:p w14:paraId="39DC7799">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556FB7CD">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67718560">
      <w:pPr>
        <w:tabs>
          <w:tab w:val="left" w:pos="6300"/>
        </w:tabs>
        <w:snapToGrid w:val="0"/>
        <w:spacing w:line="500" w:lineRule="exact"/>
        <w:ind w:firstLine="480"/>
        <w:rPr>
          <w:rFonts w:hint="eastAsia" w:ascii="楷体" w:hAnsi="楷体" w:eastAsia="楷体"/>
          <w:color w:val="auto"/>
          <w:highlight w:val="none"/>
        </w:rPr>
      </w:pPr>
      <w:r>
        <w:rPr>
          <w:rFonts w:ascii="楷体" w:hAnsi="楷体" w:eastAsia="楷体"/>
          <w:color w:val="auto"/>
          <w:sz w:val="24"/>
          <w:szCs w:val="24"/>
          <w:highlight w:val="none"/>
        </w:rPr>
        <w:br w:type="column"/>
      </w:r>
      <w:r>
        <w:rPr>
          <w:rFonts w:hint="eastAsia" w:ascii="楷体" w:hAnsi="楷体" w:eastAsia="楷体"/>
          <w:color w:val="auto"/>
          <w:highlight w:val="none"/>
        </w:rPr>
        <w:t>（四）书面声明</w:t>
      </w:r>
    </w:p>
    <w:p w14:paraId="314F62B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1BCF4F41">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6BB018C0">
      <w:pPr>
        <w:tabs>
          <w:tab w:val="left" w:pos="6300"/>
        </w:tabs>
        <w:snapToGrid w:val="0"/>
        <w:spacing w:line="500" w:lineRule="exact"/>
        <w:ind w:firstLine="480"/>
        <w:rPr>
          <w:rFonts w:hint="eastAsia" w:ascii="楷体" w:hAnsi="楷体" w:eastAsia="楷体"/>
          <w:color w:val="auto"/>
          <w:sz w:val="24"/>
          <w:szCs w:val="24"/>
          <w:highlight w:val="none"/>
        </w:rPr>
      </w:pPr>
    </w:p>
    <w:p w14:paraId="658FF802">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重庆医科大学附属永川医院</w:t>
      </w:r>
      <w:r>
        <w:rPr>
          <w:rFonts w:hint="eastAsia" w:ascii="楷体" w:hAnsi="楷体" w:eastAsia="楷体"/>
          <w:color w:val="auto"/>
          <w:sz w:val="24"/>
          <w:szCs w:val="24"/>
          <w:highlight w:val="none"/>
        </w:rPr>
        <w:t>：</w:t>
      </w:r>
    </w:p>
    <w:p w14:paraId="2C567750">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7C93C5D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特此声明。</w:t>
      </w:r>
    </w:p>
    <w:p w14:paraId="51EA4B97">
      <w:pPr>
        <w:tabs>
          <w:tab w:val="left" w:pos="6300"/>
        </w:tabs>
        <w:snapToGrid w:val="0"/>
        <w:spacing w:line="500" w:lineRule="exact"/>
        <w:ind w:firstLine="480"/>
        <w:rPr>
          <w:rFonts w:hint="eastAsia" w:ascii="楷体" w:hAnsi="楷体" w:eastAsia="楷体"/>
          <w:color w:val="auto"/>
          <w:sz w:val="24"/>
          <w:szCs w:val="24"/>
          <w:highlight w:val="none"/>
        </w:rPr>
      </w:pPr>
    </w:p>
    <w:p w14:paraId="574FCCDB">
      <w:pPr>
        <w:tabs>
          <w:tab w:val="left" w:pos="6300"/>
        </w:tabs>
        <w:snapToGrid w:val="0"/>
        <w:spacing w:line="500" w:lineRule="exact"/>
        <w:ind w:right="424" w:firstLine="480"/>
        <w:jc w:val="right"/>
        <w:rPr>
          <w:rFonts w:hint="eastAsia" w:ascii="楷体" w:hAnsi="楷体" w:eastAsia="楷体"/>
          <w:color w:val="auto"/>
          <w:sz w:val="24"/>
          <w:szCs w:val="24"/>
          <w:highlight w:val="none"/>
        </w:rPr>
      </w:pPr>
    </w:p>
    <w:p w14:paraId="543DC42E">
      <w:pPr>
        <w:tabs>
          <w:tab w:val="left" w:pos="6300"/>
        </w:tabs>
        <w:snapToGrid w:val="0"/>
        <w:spacing w:line="500" w:lineRule="exact"/>
        <w:ind w:right="424"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0EEFF7B2">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32A61404">
      <w:pPr>
        <w:pStyle w:val="3"/>
        <w:ind w:firstLine="482"/>
        <w:rPr>
          <w:rFonts w:hint="eastAsia"/>
          <w:color w:val="auto"/>
          <w:highlight w:val="none"/>
        </w:rPr>
      </w:pPr>
      <w:r>
        <w:rPr>
          <w:color w:val="auto"/>
          <w:szCs w:val="24"/>
          <w:highlight w:val="none"/>
        </w:rPr>
        <w:br w:type="page"/>
      </w:r>
      <w:bookmarkStart w:id="183" w:name="_Toc65660383"/>
      <w:bookmarkStart w:id="184" w:name="_Toc178405994"/>
      <w:bookmarkStart w:id="185" w:name="_Toc106034812"/>
      <w:bookmarkStart w:id="186" w:name="_Toc2080"/>
      <w:bookmarkStart w:id="187" w:name="_Toc15815"/>
      <w:bookmarkStart w:id="188" w:name="_Toc17010"/>
      <w:r>
        <w:rPr>
          <w:rFonts w:hint="eastAsia"/>
          <w:color w:val="auto"/>
          <w:highlight w:val="none"/>
        </w:rPr>
        <w:t>四、其他资料</w:t>
      </w:r>
      <w:bookmarkEnd w:id="183"/>
      <w:bookmarkEnd w:id="184"/>
      <w:bookmarkEnd w:id="185"/>
      <w:bookmarkEnd w:id="186"/>
      <w:bookmarkEnd w:id="187"/>
      <w:bookmarkEnd w:id="188"/>
    </w:p>
    <w:p w14:paraId="43D69C46">
      <w:pPr>
        <w:widowControl/>
        <w:spacing w:line="400" w:lineRule="exact"/>
        <w:ind w:firstLine="562" w:firstLineChars="200"/>
        <w:rPr>
          <w:rFonts w:hint="eastAsia" w:ascii="楷体" w:hAnsi="楷体" w:eastAsia="楷体"/>
          <w:b/>
          <w:bCs/>
          <w:color w:val="auto"/>
          <w:highlight w:val="none"/>
        </w:rPr>
      </w:pPr>
      <w:r>
        <w:rPr>
          <w:rFonts w:hint="eastAsia" w:ascii="楷体" w:hAnsi="楷体" w:eastAsia="楷体"/>
          <w:b/>
          <w:bCs/>
          <w:color w:val="auto"/>
          <w:highlight w:val="none"/>
        </w:rPr>
        <w:t>（一）中小企业声明函、监狱企业证明文件、残疾人福利性单位声明函</w:t>
      </w:r>
    </w:p>
    <w:p w14:paraId="40C91801">
      <w:pPr>
        <w:tabs>
          <w:tab w:val="left" w:pos="6300"/>
        </w:tabs>
        <w:snapToGrid w:val="0"/>
        <w:spacing w:line="5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中小企业声明函</w:t>
      </w:r>
    </w:p>
    <w:p w14:paraId="45523E5C">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本公司郑重声明，根据《政府采购促进中小企业发展管理办法》（财库〔2020〕46号）的规定，本公司参加</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（单位名称）</w:t>
      </w:r>
      <w:r>
        <w:rPr>
          <w:rFonts w:hint="eastAsia" w:ascii="楷体" w:hAnsi="楷体" w:eastAsia="楷体" w:cs="宋体"/>
          <w:color w:val="auto"/>
          <w:sz w:val="24"/>
          <w:szCs w:val="24"/>
          <w:highlight w:val="none"/>
        </w:rPr>
        <w:t>的</w:t>
      </w:r>
      <w:r>
        <w:rPr>
          <w:rFonts w:hint="eastAsia" w:ascii="楷体" w:hAnsi="楷体" w:eastAsia="楷体" w:cs="宋体"/>
          <w:i/>
          <w:color w:val="auto"/>
          <w:sz w:val="24"/>
          <w:szCs w:val="24"/>
          <w:highlight w:val="none"/>
          <w:u w:val="single"/>
        </w:rPr>
        <w:t>（项目名称）</w:t>
      </w:r>
      <w:r>
        <w:rPr>
          <w:rFonts w:hint="eastAsia" w:ascii="楷体" w:hAnsi="楷体" w:eastAsia="楷体" w:cs="宋体"/>
          <w:color w:val="auto"/>
          <w:sz w:val="24"/>
          <w:szCs w:val="24"/>
          <w:highlight w:val="none"/>
        </w:rPr>
        <w:t>采购活动，服务全部由符合政策要求的中小企业承接。相关企业的具体情况如下：</w:t>
      </w:r>
    </w:p>
    <w:p w14:paraId="29E22EF7">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rPr>
        <w:t xml:space="preserve">，属于（工业 ）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 xml:space="preserve">；承接企业为  </w:t>
      </w:r>
      <w:r>
        <w:rPr>
          <w:rFonts w:hint="eastAsia" w:ascii="楷体" w:hAnsi="楷体" w:eastAsia="楷体" w:cs="宋体"/>
          <w:color w:val="auto"/>
          <w:sz w:val="24"/>
          <w:szCs w:val="24"/>
          <w:highlight w:val="none"/>
          <w:u w:val="single"/>
        </w:rPr>
        <w:t xml:space="preserve">                       </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    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 xml:space="preserve"> </w:t>
      </w:r>
      <w:r>
        <w:rPr>
          <w:rFonts w:hint="eastAsia" w:ascii="楷体" w:hAnsi="楷体" w:eastAsia="楷体" w:cs="宋体"/>
          <w:i/>
          <w:color w:val="auto"/>
          <w:sz w:val="24"/>
          <w:szCs w:val="24"/>
          <w:highlight w:val="none"/>
        </w:rPr>
        <w:t>（中型企业、小型企业、微型企业）</w:t>
      </w:r>
      <w:r>
        <w:rPr>
          <w:rFonts w:hint="eastAsia" w:ascii="楷体" w:hAnsi="楷体" w:eastAsia="楷体" w:cs="宋体"/>
          <w:color w:val="auto"/>
          <w:sz w:val="24"/>
          <w:szCs w:val="24"/>
          <w:highlight w:val="none"/>
        </w:rPr>
        <w:t>；</w:t>
      </w:r>
    </w:p>
    <w:p w14:paraId="565FA2F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0115BDD3">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r>
        <w:rPr>
          <w:rFonts w:hint="eastAsia" w:ascii="楷体" w:hAnsi="楷体" w:eastAsia="楷体" w:cs="宋体"/>
          <w:i/>
          <w:color w:val="auto"/>
          <w:sz w:val="24"/>
          <w:szCs w:val="24"/>
          <w:highlight w:val="none"/>
          <w:u w:val="single"/>
        </w:rPr>
        <w:t xml:space="preserve"> （</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color w:val="auto"/>
          <w:sz w:val="24"/>
          <w:szCs w:val="24"/>
          <w:highlight w:val="none"/>
        </w:rPr>
        <w:t>，属于（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；承接企业为</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      ）</w:t>
      </w:r>
      <w:r>
        <w:rPr>
          <w:rFonts w:hint="eastAsia" w:ascii="楷体" w:hAnsi="楷体" w:eastAsia="楷体" w:cs="宋体"/>
          <w:i/>
          <w:color w:val="auto"/>
          <w:sz w:val="24"/>
          <w:szCs w:val="24"/>
          <w:highlight w:val="none"/>
          <w:u w:val="single"/>
        </w:rPr>
        <w:t>（中型企业、小型企业、微型企业）</w:t>
      </w:r>
      <w:r>
        <w:rPr>
          <w:rFonts w:hint="eastAsia" w:ascii="楷体" w:hAnsi="楷体" w:eastAsia="楷体" w:cs="宋体"/>
          <w:color w:val="auto"/>
          <w:sz w:val="24"/>
          <w:szCs w:val="24"/>
          <w:highlight w:val="none"/>
        </w:rPr>
        <w:t>；</w:t>
      </w:r>
    </w:p>
    <w:p w14:paraId="300AEC11">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123C14E6">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p w14:paraId="4EA39FAA">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以上企业，不属于大企业的分支机构，不存在控股股东为大企业的情形，也不存在与大企业的负责人为同一人的情形。</w:t>
      </w:r>
    </w:p>
    <w:p w14:paraId="539A407E">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本企业对上述声明内容的真实性负责。如有虚假，将依法承担相应责任。</w:t>
      </w:r>
    </w:p>
    <w:p w14:paraId="347A3FB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                                                    </w:t>
      </w:r>
    </w:p>
    <w:p w14:paraId="6C25BB88">
      <w:pPr>
        <w:tabs>
          <w:tab w:val="left" w:pos="6300"/>
        </w:tabs>
        <w:snapToGrid w:val="0"/>
        <w:spacing w:line="500" w:lineRule="exact"/>
        <w:ind w:firstLine="3120" w:firstLineChars="13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企业名称（盖章）： </w:t>
      </w:r>
    </w:p>
    <w:p w14:paraId="007C6429">
      <w:pPr>
        <w:tabs>
          <w:tab w:val="left" w:pos="6300"/>
        </w:tabs>
        <w:snapToGrid w:val="0"/>
        <w:spacing w:line="500" w:lineRule="exact"/>
        <w:ind w:firstLine="3600" w:firstLineChars="15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日期：</w:t>
      </w:r>
    </w:p>
    <w:p w14:paraId="73953E7F">
      <w:pPr>
        <w:tabs>
          <w:tab w:val="left" w:pos="6300"/>
        </w:tabs>
        <w:snapToGrid w:val="0"/>
        <w:spacing w:line="420" w:lineRule="exact"/>
        <w:rPr>
          <w:rFonts w:hint="eastAsia" w:ascii="楷体" w:hAnsi="楷体" w:eastAsia="楷体" w:cs="宋体"/>
          <w:color w:val="auto"/>
          <w:kern w:val="0"/>
          <w:sz w:val="24"/>
          <w:szCs w:val="24"/>
          <w:highlight w:val="none"/>
        </w:rPr>
      </w:pPr>
    </w:p>
    <w:p w14:paraId="21736D81">
      <w:pPr>
        <w:tabs>
          <w:tab w:val="left" w:pos="6300"/>
        </w:tabs>
        <w:snapToGrid w:val="0"/>
        <w:spacing w:line="420" w:lineRule="exact"/>
        <w:rPr>
          <w:rFonts w:hint="eastAsia" w:ascii="楷体" w:hAnsi="楷体" w:eastAsia="楷体" w:cs="宋体"/>
          <w:color w:val="auto"/>
          <w:kern w:val="0"/>
          <w:sz w:val="24"/>
          <w:szCs w:val="24"/>
          <w:highlight w:val="none"/>
        </w:rPr>
      </w:pPr>
    </w:p>
    <w:p w14:paraId="2D8B52C4">
      <w:pPr>
        <w:tabs>
          <w:tab w:val="left" w:pos="6300"/>
        </w:tabs>
        <w:snapToGrid w:val="0"/>
        <w:spacing w:line="420" w:lineRule="exact"/>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填写时应注意以下事项：</w:t>
      </w:r>
    </w:p>
    <w:p w14:paraId="44BA17F6">
      <w:pPr>
        <w:tabs>
          <w:tab w:val="left" w:pos="6300"/>
        </w:tabs>
        <w:snapToGrid w:val="0"/>
        <w:spacing w:line="42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1.从业人员、营业收入、资产总额填报上一年度数据，无上一年度数据的新成立企业可不填报。</w:t>
      </w:r>
    </w:p>
    <w:p w14:paraId="27A1477B">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2.中小企业应当按照《中小企业划型标准规定》（工信部联企业〔2011〕300号），如实填写并提交《中小企业声明函》。</w:t>
      </w:r>
    </w:p>
    <w:p w14:paraId="3A137746">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3.投标人填写《中小企业声明函》中所属行业时，应与采购文件第一篇 “采购标的对应的中小企业划分标准所属行业”中填写的所属行业一致。</w:t>
      </w:r>
    </w:p>
    <w:p w14:paraId="2CCB4185">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4.本声明函“企业名称（盖章）”处为投标人盖章。</w:t>
      </w:r>
    </w:p>
    <w:p w14:paraId="198DB92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注：各行业划型标准：</w:t>
      </w:r>
    </w:p>
    <w:p w14:paraId="78E872CC">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AAF8B2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06F80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C158D0">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4DC50B">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AFF97D">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84EC8F">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737C1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04C5AE">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7448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77D1D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C77777">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FAC94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281187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FB8B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B96C32">
      <w:pPr>
        <w:tabs>
          <w:tab w:val="left" w:pos="6300"/>
        </w:tabs>
        <w:snapToGrid w:val="0"/>
        <w:spacing w:line="500" w:lineRule="exact"/>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3A816359">
      <w:pPr>
        <w:widowControl/>
        <w:spacing w:line="400" w:lineRule="exact"/>
        <w:jc w:val="center"/>
        <w:rPr>
          <w:rFonts w:ascii="楷体" w:hAnsi="楷体" w:eastAsia="楷体"/>
          <w:b/>
          <w:bCs/>
          <w:color w:val="auto"/>
          <w:highlight w:val="none"/>
        </w:rPr>
      </w:pPr>
      <w:r>
        <w:rPr>
          <w:rFonts w:hint="eastAsia" w:ascii="楷体" w:hAnsi="楷体" w:eastAsia="楷体"/>
          <w:color w:val="auto"/>
          <w:highlight w:val="none"/>
        </w:rPr>
        <w:br w:type="page"/>
      </w:r>
      <w:r>
        <w:rPr>
          <w:rFonts w:hint="eastAsia" w:ascii="楷体" w:hAnsi="楷体" w:eastAsia="楷体"/>
          <w:b/>
          <w:bCs/>
          <w:color w:val="auto"/>
          <w:highlight w:val="none"/>
        </w:rPr>
        <w:t>（二）质量及售后承诺</w:t>
      </w:r>
    </w:p>
    <w:p w14:paraId="4DD58B3F">
      <w:pPr>
        <w:widowControl/>
        <w:spacing w:line="400" w:lineRule="exact"/>
        <w:ind w:firstLine="562" w:firstLineChars="200"/>
        <w:rPr>
          <w:rFonts w:ascii="楷体" w:hAnsi="楷体" w:eastAsia="楷体"/>
          <w:b/>
          <w:bCs/>
          <w:color w:val="auto"/>
          <w:highlight w:val="none"/>
        </w:rPr>
      </w:pPr>
    </w:p>
    <w:p w14:paraId="1387E9DA">
      <w:pPr>
        <w:widowControl/>
        <w:spacing w:line="400" w:lineRule="exact"/>
        <w:ind w:firstLine="562" w:firstLineChars="200"/>
        <w:rPr>
          <w:rFonts w:ascii="楷体" w:hAnsi="楷体" w:eastAsia="楷体"/>
          <w:b/>
          <w:bCs/>
          <w:color w:val="auto"/>
          <w:highlight w:val="none"/>
        </w:rPr>
      </w:pPr>
    </w:p>
    <w:p w14:paraId="6D4C4A5D">
      <w:pPr>
        <w:widowControl/>
        <w:spacing w:line="400" w:lineRule="exact"/>
        <w:ind w:firstLine="562" w:firstLineChars="200"/>
        <w:rPr>
          <w:rFonts w:ascii="楷体" w:hAnsi="楷体" w:eastAsia="楷体"/>
          <w:b/>
          <w:bCs/>
          <w:color w:val="auto"/>
          <w:highlight w:val="none"/>
        </w:rPr>
      </w:pPr>
    </w:p>
    <w:p w14:paraId="4BEB63A7">
      <w:pPr>
        <w:widowControl/>
        <w:spacing w:line="400" w:lineRule="exact"/>
        <w:ind w:firstLine="562" w:firstLineChars="200"/>
        <w:rPr>
          <w:rFonts w:ascii="楷体" w:hAnsi="楷体" w:eastAsia="楷体"/>
          <w:b/>
          <w:bCs/>
          <w:color w:val="auto"/>
          <w:highlight w:val="none"/>
        </w:rPr>
      </w:pPr>
    </w:p>
    <w:p w14:paraId="2E0F3449">
      <w:pPr>
        <w:widowControl/>
        <w:spacing w:line="400" w:lineRule="exact"/>
        <w:ind w:firstLine="562" w:firstLineChars="200"/>
        <w:rPr>
          <w:rFonts w:ascii="楷体" w:hAnsi="楷体" w:eastAsia="楷体"/>
          <w:b/>
          <w:bCs/>
          <w:color w:val="auto"/>
          <w:highlight w:val="none"/>
        </w:rPr>
      </w:pPr>
    </w:p>
    <w:p w14:paraId="5E69AC92">
      <w:pPr>
        <w:widowControl/>
        <w:spacing w:line="400" w:lineRule="exact"/>
        <w:ind w:firstLine="562" w:firstLineChars="200"/>
        <w:rPr>
          <w:rFonts w:ascii="楷体" w:hAnsi="楷体" w:eastAsia="楷体"/>
          <w:b/>
          <w:bCs/>
          <w:color w:val="auto"/>
          <w:highlight w:val="none"/>
        </w:rPr>
      </w:pPr>
    </w:p>
    <w:p w14:paraId="66CD1C89">
      <w:pPr>
        <w:widowControl/>
        <w:spacing w:line="400" w:lineRule="exact"/>
        <w:ind w:firstLine="562" w:firstLineChars="200"/>
        <w:rPr>
          <w:rFonts w:ascii="楷体" w:hAnsi="楷体" w:eastAsia="楷体"/>
          <w:b/>
          <w:bCs/>
          <w:color w:val="auto"/>
          <w:highlight w:val="none"/>
        </w:rPr>
      </w:pPr>
    </w:p>
    <w:p w14:paraId="79E96567">
      <w:pPr>
        <w:widowControl/>
        <w:spacing w:line="400" w:lineRule="exact"/>
        <w:ind w:firstLine="562" w:firstLineChars="200"/>
        <w:rPr>
          <w:rFonts w:hint="eastAsia" w:ascii="楷体" w:hAnsi="楷体" w:eastAsia="楷体"/>
          <w:b/>
          <w:bCs/>
          <w:color w:val="auto"/>
          <w:highlight w:val="none"/>
        </w:rPr>
      </w:pPr>
    </w:p>
    <w:p w14:paraId="1AA0FCCE">
      <w:pPr>
        <w:widowControl/>
        <w:spacing w:line="4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（三）相关业绩证明（发票或者合同）</w:t>
      </w:r>
    </w:p>
    <w:p w14:paraId="4EA89288">
      <w:pPr>
        <w:rPr>
          <w:rFonts w:hint="eastAsia" w:ascii="楷体" w:hAnsi="楷体" w:eastAsia="楷体"/>
          <w:color w:val="auto"/>
          <w:sz w:val="24"/>
          <w:szCs w:val="24"/>
          <w:highlight w:val="none"/>
        </w:rPr>
      </w:pPr>
      <w:r>
        <w:rPr>
          <w:rFonts w:hint="eastAsia" w:ascii="楷体" w:hAnsi="楷体" w:eastAsia="楷体"/>
          <w:color w:val="auto"/>
          <w:highlight w:val="none"/>
        </w:rPr>
        <w:br w:type="page"/>
      </w:r>
      <w:r>
        <w:rPr>
          <w:rFonts w:hint="eastAsia" w:ascii="楷体" w:hAnsi="楷体" w:eastAsia="楷体"/>
          <w:color w:val="auto"/>
          <w:sz w:val="24"/>
          <w:szCs w:val="24"/>
          <w:highlight w:val="none"/>
        </w:rPr>
        <w:t>信用中国--信用服务--严重失信主体名单查询</w:t>
      </w:r>
    </w:p>
    <w:p w14:paraId="320B170D">
      <w:pPr>
        <w:rPr>
          <w:rFonts w:hint="eastAsia"/>
          <w:color w:val="auto"/>
          <w:highlight w:val="none"/>
        </w:rPr>
      </w:pPr>
    </w:p>
    <w:p w14:paraId="76458B77">
      <w:pPr>
        <w:rPr>
          <w:color w:val="auto"/>
          <w:highlight w:val="none"/>
        </w:rPr>
      </w:pPr>
    </w:p>
    <w:p w14:paraId="410E6D9C">
      <w:pPr>
        <w:rPr>
          <w:color w:val="auto"/>
          <w:highlight w:val="none"/>
        </w:rPr>
      </w:pPr>
      <w:r>
        <w:rPr>
          <w:color w:val="auto"/>
          <w:highlight w:val="none"/>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5E5749EF">
      <w:pPr>
        <w:rPr>
          <w:color w:val="auto"/>
          <w:highlight w:val="none"/>
        </w:rPr>
      </w:pPr>
    </w:p>
    <w:p w14:paraId="34F58638">
      <w:pPr>
        <w:rPr>
          <w:color w:val="auto"/>
          <w:highlight w:val="none"/>
        </w:rPr>
      </w:pPr>
    </w:p>
    <w:p w14:paraId="097E205B">
      <w:pPr>
        <w:rPr>
          <w:rFonts w:hint="eastAsia" w:ascii="方正仿宋_GBK" w:hAnsi="宋体" w:eastAsia="方正仿宋_GBK"/>
          <w:color w:val="auto"/>
          <w:sz w:val="24"/>
          <w:szCs w:val="24"/>
          <w:highlight w:val="none"/>
        </w:rPr>
      </w:pPr>
    </w:p>
    <w:p w14:paraId="2A960113">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信用中国--信用服务--政府采购严重违法失信行为记录名单</w:t>
      </w:r>
    </w:p>
    <w:p w14:paraId="589FAF74">
      <w:pPr>
        <w:rPr>
          <w:color w:val="auto"/>
          <w:highlight w:val="none"/>
        </w:rPr>
      </w:pPr>
    </w:p>
    <w:p w14:paraId="66E63C62">
      <w:pPr>
        <w:rPr>
          <w:color w:val="auto"/>
          <w:highlight w:val="none"/>
        </w:rPr>
      </w:pPr>
    </w:p>
    <w:p w14:paraId="777263D7">
      <w:pPr>
        <w:rPr>
          <w:color w:val="auto"/>
          <w:highlight w:val="none"/>
        </w:rPr>
      </w:pPr>
      <w:r>
        <w:rPr>
          <w:color w:val="auto"/>
          <w:highlight w:val="none"/>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5DCF918E">
      <w:pPr>
        <w:rPr>
          <w:color w:val="auto"/>
          <w:highlight w:val="none"/>
        </w:rPr>
      </w:pPr>
    </w:p>
    <w:p w14:paraId="08EEF217">
      <w:pPr>
        <w:rPr>
          <w:rFonts w:ascii="楷体" w:hAnsi="楷体" w:eastAsia="楷体"/>
          <w:color w:val="auto"/>
          <w:sz w:val="24"/>
          <w:szCs w:val="24"/>
          <w:highlight w:val="none"/>
        </w:rPr>
      </w:pPr>
      <w:r>
        <w:rPr>
          <w:color w:val="auto"/>
          <w:highlight w:val="none"/>
        </w:rPr>
        <w:br w:type="page"/>
      </w:r>
      <w:r>
        <w:rPr>
          <w:rFonts w:hint="eastAsia" w:ascii="楷体" w:hAnsi="楷体" w:eastAsia="楷体"/>
          <w:color w:val="auto"/>
          <w:sz w:val="24"/>
          <w:szCs w:val="24"/>
          <w:highlight w:val="none"/>
        </w:rPr>
        <w:t>信用中国--信用服务--税收违法黑名单</w:t>
      </w:r>
    </w:p>
    <w:p w14:paraId="47B0D927">
      <w:pPr>
        <w:rPr>
          <w:color w:val="auto"/>
          <w:highlight w:val="none"/>
        </w:rPr>
      </w:pPr>
    </w:p>
    <w:p w14:paraId="5848FECA">
      <w:pPr>
        <w:rPr>
          <w:color w:val="auto"/>
          <w:highlight w:val="none"/>
        </w:rPr>
      </w:pPr>
    </w:p>
    <w:p w14:paraId="3A125ECB">
      <w:pPr>
        <w:rPr>
          <w:color w:val="auto"/>
          <w:highlight w:val="none"/>
        </w:rPr>
      </w:pPr>
      <w:r>
        <w:rPr>
          <w:color w:val="auto"/>
          <w:highlight w:val="none"/>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F033F35">
      <w:pPr>
        <w:rPr>
          <w:color w:val="auto"/>
          <w:highlight w:val="none"/>
        </w:rPr>
      </w:pPr>
    </w:p>
    <w:p w14:paraId="7FAD6349">
      <w:pPr>
        <w:rPr>
          <w:color w:val="auto"/>
          <w:highlight w:val="none"/>
        </w:rPr>
      </w:pPr>
    </w:p>
    <w:p w14:paraId="0A84462E">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信用中国--信用服务--失信被执行人</w:t>
      </w:r>
    </w:p>
    <w:p w14:paraId="37A56658">
      <w:pPr>
        <w:rPr>
          <w:color w:val="auto"/>
          <w:highlight w:val="none"/>
        </w:rPr>
      </w:pPr>
    </w:p>
    <w:p w14:paraId="6DC22CE5">
      <w:pPr>
        <w:rPr>
          <w:color w:val="auto"/>
          <w:highlight w:val="none"/>
        </w:rPr>
      </w:pPr>
    </w:p>
    <w:p w14:paraId="5995D77B">
      <w:pPr>
        <w:rPr>
          <w:color w:val="auto"/>
          <w:highlight w:val="none"/>
        </w:rPr>
      </w:pPr>
      <w:r>
        <w:rPr>
          <w:color w:val="auto"/>
          <w:highlight w:val="none"/>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2E9FDFCE">
      <w:pPr>
        <w:spacing w:line="460" w:lineRule="exact"/>
        <w:jc w:val="both"/>
        <w:rPr>
          <w:rFonts w:hint="eastAsia" w:ascii="楷体" w:hAnsi="楷体" w:eastAsia="楷体"/>
          <w:color w:val="auto"/>
          <w:sz w:val="24"/>
          <w:szCs w:val="24"/>
          <w:highlight w:val="none"/>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FEFA">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600AEED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11CF">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BEB235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EB4D">
    <w:pPr>
      <w:pStyle w:val="35"/>
      <w:framePr w:wrap="around" w:vAnchor="text" w:hAnchor="margin" w:xAlign="center" w:y="1"/>
      <w:rPr>
        <w:rStyle w:val="61"/>
      </w:rPr>
    </w:pPr>
  </w:p>
  <w:p w14:paraId="0AA81817">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70FD">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358FC79A">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FEA7">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6A7138AC">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A780">
    <w:pPr>
      <w:pStyle w:val="35"/>
      <w:framePr w:wrap="around" w:vAnchor="text" w:hAnchor="margin" w:xAlign="center" w:y="1"/>
      <w:rPr>
        <w:rStyle w:val="61"/>
      </w:rPr>
    </w:pPr>
  </w:p>
  <w:p w14:paraId="31FE96B7">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0289">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790C">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EA7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29C60">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2AE6">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BCB">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4"/>
  </w:num>
  <w:num w:numId="4">
    <w:abstractNumId w:val="10"/>
  </w:num>
  <w:num w:numId="5">
    <w:abstractNumId w:val="7"/>
  </w:num>
  <w:num w:numId="6">
    <w:abstractNumId w:val="2"/>
  </w:num>
  <w:num w:numId="7">
    <w:abstractNumId w:val="12"/>
  </w:num>
  <w:num w:numId="8">
    <w:abstractNumId w:val="1"/>
  </w:num>
  <w:num w:numId="9">
    <w:abstractNumId w:val="11"/>
  </w:num>
  <w:num w:numId="10">
    <w:abstractNumId w:val="5"/>
  </w:num>
  <w:num w:numId="11">
    <w:abstractNumId w:val="3"/>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A2E"/>
    <w:rsid w:val="00016B79"/>
    <w:rsid w:val="00020266"/>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C31"/>
    <w:rsid w:val="00047EDB"/>
    <w:rsid w:val="00050D19"/>
    <w:rsid w:val="00051032"/>
    <w:rsid w:val="00051D6C"/>
    <w:rsid w:val="0005298B"/>
    <w:rsid w:val="000540E2"/>
    <w:rsid w:val="00054308"/>
    <w:rsid w:val="0005456D"/>
    <w:rsid w:val="000549FF"/>
    <w:rsid w:val="00055A22"/>
    <w:rsid w:val="000576E1"/>
    <w:rsid w:val="0006012C"/>
    <w:rsid w:val="00061233"/>
    <w:rsid w:val="0006208E"/>
    <w:rsid w:val="00063981"/>
    <w:rsid w:val="00064FA3"/>
    <w:rsid w:val="000674B0"/>
    <w:rsid w:val="0007030B"/>
    <w:rsid w:val="00073A22"/>
    <w:rsid w:val="000751EC"/>
    <w:rsid w:val="000760A9"/>
    <w:rsid w:val="00083902"/>
    <w:rsid w:val="00085208"/>
    <w:rsid w:val="00091B1C"/>
    <w:rsid w:val="00092CF5"/>
    <w:rsid w:val="000938CD"/>
    <w:rsid w:val="00093DAF"/>
    <w:rsid w:val="00094375"/>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23F5"/>
    <w:rsid w:val="000D40BA"/>
    <w:rsid w:val="000E0AF0"/>
    <w:rsid w:val="000E0B28"/>
    <w:rsid w:val="000E2694"/>
    <w:rsid w:val="000E3259"/>
    <w:rsid w:val="000E4A5E"/>
    <w:rsid w:val="000E5A88"/>
    <w:rsid w:val="000F0CE5"/>
    <w:rsid w:val="000F24D4"/>
    <w:rsid w:val="000F3752"/>
    <w:rsid w:val="000F48FD"/>
    <w:rsid w:val="000F5ACE"/>
    <w:rsid w:val="000F5D3C"/>
    <w:rsid w:val="000F6652"/>
    <w:rsid w:val="000F693C"/>
    <w:rsid w:val="000F6C90"/>
    <w:rsid w:val="000F7DBF"/>
    <w:rsid w:val="00100639"/>
    <w:rsid w:val="00103DA9"/>
    <w:rsid w:val="00103DDC"/>
    <w:rsid w:val="0010540F"/>
    <w:rsid w:val="00105F51"/>
    <w:rsid w:val="00106B18"/>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3436"/>
    <w:rsid w:val="00133D16"/>
    <w:rsid w:val="0013496A"/>
    <w:rsid w:val="001363B2"/>
    <w:rsid w:val="001376CB"/>
    <w:rsid w:val="001378A9"/>
    <w:rsid w:val="001401FF"/>
    <w:rsid w:val="00140244"/>
    <w:rsid w:val="00140C83"/>
    <w:rsid w:val="00140E25"/>
    <w:rsid w:val="001419B6"/>
    <w:rsid w:val="001422F3"/>
    <w:rsid w:val="00146DD7"/>
    <w:rsid w:val="00147FB4"/>
    <w:rsid w:val="0015011C"/>
    <w:rsid w:val="00150429"/>
    <w:rsid w:val="00150D3B"/>
    <w:rsid w:val="001518B3"/>
    <w:rsid w:val="0015351E"/>
    <w:rsid w:val="00156F57"/>
    <w:rsid w:val="00157F4C"/>
    <w:rsid w:val="0016035A"/>
    <w:rsid w:val="00160AF3"/>
    <w:rsid w:val="00162780"/>
    <w:rsid w:val="0016303B"/>
    <w:rsid w:val="00163515"/>
    <w:rsid w:val="0016419C"/>
    <w:rsid w:val="001644B0"/>
    <w:rsid w:val="001645B7"/>
    <w:rsid w:val="00170BDC"/>
    <w:rsid w:val="00172D56"/>
    <w:rsid w:val="001748ED"/>
    <w:rsid w:val="0017578B"/>
    <w:rsid w:val="00175AD4"/>
    <w:rsid w:val="00177DD5"/>
    <w:rsid w:val="00180319"/>
    <w:rsid w:val="00180ACB"/>
    <w:rsid w:val="001817FF"/>
    <w:rsid w:val="00181A7F"/>
    <w:rsid w:val="00182830"/>
    <w:rsid w:val="0018347E"/>
    <w:rsid w:val="001838DB"/>
    <w:rsid w:val="0018465A"/>
    <w:rsid w:val="00184BDE"/>
    <w:rsid w:val="00186623"/>
    <w:rsid w:val="0018677F"/>
    <w:rsid w:val="0018699A"/>
    <w:rsid w:val="00190C55"/>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3DBD"/>
    <w:rsid w:val="001B4377"/>
    <w:rsid w:val="001B5215"/>
    <w:rsid w:val="001B55BE"/>
    <w:rsid w:val="001B6655"/>
    <w:rsid w:val="001B7547"/>
    <w:rsid w:val="001C6573"/>
    <w:rsid w:val="001C72C0"/>
    <w:rsid w:val="001D1C3B"/>
    <w:rsid w:val="001D2321"/>
    <w:rsid w:val="001D2A80"/>
    <w:rsid w:val="001D2DCD"/>
    <w:rsid w:val="001D5055"/>
    <w:rsid w:val="001D534A"/>
    <w:rsid w:val="001E07FE"/>
    <w:rsid w:val="001E1BE1"/>
    <w:rsid w:val="001E2014"/>
    <w:rsid w:val="001E48E6"/>
    <w:rsid w:val="001E5596"/>
    <w:rsid w:val="001E5CAC"/>
    <w:rsid w:val="001E5EB4"/>
    <w:rsid w:val="001E725F"/>
    <w:rsid w:val="001E75B9"/>
    <w:rsid w:val="001E7FE7"/>
    <w:rsid w:val="001F0D8F"/>
    <w:rsid w:val="001F1AF7"/>
    <w:rsid w:val="001F1CA8"/>
    <w:rsid w:val="001F48D9"/>
    <w:rsid w:val="001F4964"/>
    <w:rsid w:val="001F7063"/>
    <w:rsid w:val="00200186"/>
    <w:rsid w:val="00202B04"/>
    <w:rsid w:val="00204936"/>
    <w:rsid w:val="00206E5F"/>
    <w:rsid w:val="00207395"/>
    <w:rsid w:val="002100EE"/>
    <w:rsid w:val="00211874"/>
    <w:rsid w:val="00211A92"/>
    <w:rsid w:val="00211E87"/>
    <w:rsid w:val="00214D52"/>
    <w:rsid w:val="00216342"/>
    <w:rsid w:val="00216A9F"/>
    <w:rsid w:val="00216D77"/>
    <w:rsid w:val="00217C30"/>
    <w:rsid w:val="0022065B"/>
    <w:rsid w:val="002213AC"/>
    <w:rsid w:val="00221E37"/>
    <w:rsid w:val="00222097"/>
    <w:rsid w:val="00222629"/>
    <w:rsid w:val="0022517B"/>
    <w:rsid w:val="002252CB"/>
    <w:rsid w:val="00225B78"/>
    <w:rsid w:val="00227BA9"/>
    <w:rsid w:val="00232580"/>
    <w:rsid w:val="0023280B"/>
    <w:rsid w:val="00232BB6"/>
    <w:rsid w:val="00235F8F"/>
    <w:rsid w:val="00237759"/>
    <w:rsid w:val="002410AC"/>
    <w:rsid w:val="00241FE7"/>
    <w:rsid w:val="00244212"/>
    <w:rsid w:val="00244E68"/>
    <w:rsid w:val="002472DE"/>
    <w:rsid w:val="0024764F"/>
    <w:rsid w:val="00251F67"/>
    <w:rsid w:val="00253C5F"/>
    <w:rsid w:val="0025584F"/>
    <w:rsid w:val="00263251"/>
    <w:rsid w:val="00263F49"/>
    <w:rsid w:val="002643C1"/>
    <w:rsid w:val="002672B4"/>
    <w:rsid w:val="00267DDF"/>
    <w:rsid w:val="00267F94"/>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D78"/>
    <w:rsid w:val="002876ED"/>
    <w:rsid w:val="0028777C"/>
    <w:rsid w:val="00287E83"/>
    <w:rsid w:val="0029143E"/>
    <w:rsid w:val="00291F99"/>
    <w:rsid w:val="00295381"/>
    <w:rsid w:val="002978DC"/>
    <w:rsid w:val="00297937"/>
    <w:rsid w:val="002A01D2"/>
    <w:rsid w:val="002A4956"/>
    <w:rsid w:val="002A53E6"/>
    <w:rsid w:val="002A5652"/>
    <w:rsid w:val="002A6710"/>
    <w:rsid w:val="002A67FE"/>
    <w:rsid w:val="002A6D62"/>
    <w:rsid w:val="002A7622"/>
    <w:rsid w:val="002B0579"/>
    <w:rsid w:val="002B232D"/>
    <w:rsid w:val="002B2336"/>
    <w:rsid w:val="002B277F"/>
    <w:rsid w:val="002B3C24"/>
    <w:rsid w:val="002B47A4"/>
    <w:rsid w:val="002B4E66"/>
    <w:rsid w:val="002B5636"/>
    <w:rsid w:val="002B7904"/>
    <w:rsid w:val="002B7F8F"/>
    <w:rsid w:val="002C1D85"/>
    <w:rsid w:val="002C22AA"/>
    <w:rsid w:val="002C2507"/>
    <w:rsid w:val="002C2E6E"/>
    <w:rsid w:val="002C46BF"/>
    <w:rsid w:val="002C74C2"/>
    <w:rsid w:val="002D2F10"/>
    <w:rsid w:val="002D3177"/>
    <w:rsid w:val="002D3507"/>
    <w:rsid w:val="002D4E4B"/>
    <w:rsid w:val="002D60D3"/>
    <w:rsid w:val="002E0468"/>
    <w:rsid w:val="002E0E79"/>
    <w:rsid w:val="002E29BA"/>
    <w:rsid w:val="002E34EA"/>
    <w:rsid w:val="002E3F25"/>
    <w:rsid w:val="002E51CF"/>
    <w:rsid w:val="002E632A"/>
    <w:rsid w:val="002F0886"/>
    <w:rsid w:val="002F1B06"/>
    <w:rsid w:val="002F26FF"/>
    <w:rsid w:val="002F3DE3"/>
    <w:rsid w:val="002F632E"/>
    <w:rsid w:val="002F7C54"/>
    <w:rsid w:val="00301B97"/>
    <w:rsid w:val="00303742"/>
    <w:rsid w:val="00304FD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27BA6"/>
    <w:rsid w:val="0033083A"/>
    <w:rsid w:val="00333F2E"/>
    <w:rsid w:val="00335BDB"/>
    <w:rsid w:val="003360A8"/>
    <w:rsid w:val="00341DEB"/>
    <w:rsid w:val="0034203B"/>
    <w:rsid w:val="00343C3E"/>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67D3F"/>
    <w:rsid w:val="00371328"/>
    <w:rsid w:val="00371D2F"/>
    <w:rsid w:val="00372D5B"/>
    <w:rsid w:val="00373018"/>
    <w:rsid w:val="003748D5"/>
    <w:rsid w:val="00375E03"/>
    <w:rsid w:val="00376683"/>
    <w:rsid w:val="00376CE7"/>
    <w:rsid w:val="00377F8F"/>
    <w:rsid w:val="00380B17"/>
    <w:rsid w:val="00381BD5"/>
    <w:rsid w:val="0038344F"/>
    <w:rsid w:val="0038386B"/>
    <w:rsid w:val="00383BAA"/>
    <w:rsid w:val="00384161"/>
    <w:rsid w:val="0038461B"/>
    <w:rsid w:val="003859BA"/>
    <w:rsid w:val="00387610"/>
    <w:rsid w:val="0038787E"/>
    <w:rsid w:val="003938E2"/>
    <w:rsid w:val="00394678"/>
    <w:rsid w:val="00394C8D"/>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5AE2"/>
    <w:rsid w:val="003B6709"/>
    <w:rsid w:val="003B781C"/>
    <w:rsid w:val="003B7B71"/>
    <w:rsid w:val="003C0A38"/>
    <w:rsid w:val="003C3A20"/>
    <w:rsid w:val="003C4D66"/>
    <w:rsid w:val="003D0E0A"/>
    <w:rsid w:val="003D1569"/>
    <w:rsid w:val="003D199E"/>
    <w:rsid w:val="003D54DD"/>
    <w:rsid w:val="003D69C4"/>
    <w:rsid w:val="003E1F8A"/>
    <w:rsid w:val="003E534F"/>
    <w:rsid w:val="003E5E67"/>
    <w:rsid w:val="003E5FD2"/>
    <w:rsid w:val="003E6F55"/>
    <w:rsid w:val="003F62D1"/>
    <w:rsid w:val="003F7459"/>
    <w:rsid w:val="0040145D"/>
    <w:rsid w:val="00401C48"/>
    <w:rsid w:val="00402B32"/>
    <w:rsid w:val="00403819"/>
    <w:rsid w:val="004038CD"/>
    <w:rsid w:val="00403B69"/>
    <w:rsid w:val="00410C93"/>
    <w:rsid w:val="00411B4A"/>
    <w:rsid w:val="00412680"/>
    <w:rsid w:val="00415082"/>
    <w:rsid w:val="004167CD"/>
    <w:rsid w:val="004211A7"/>
    <w:rsid w:val="004233C2"/>
    <w:rsid w:val="00424376"/>
    <w:rsid w:val="00425EDA"/>
    <w:rsid w:val="0042776C"/>
    <w:rsid w:val="0043290D"/>
    <w:rsid w:val="00433E94"/>
    <w:rsid w:val="00433EA8"/>
    <w:rsid w:val="004353BF"/>
    <w:rsid w:val="00435C2D"/>
    <w:rsid w:val="004400CA"/>
    <w:rsid w:val="00441B3C"/>
    <w:rsid w:val="00443FB8"/>
    <w:rsid w:val="004442EA"/>
    <w:rsid w:val="00444627"/>
    <w:rsid w:val="004474F3"/>
    <w:rsid w:val="00450932"/>
    <w:rsid w:val="004515DA"/>
    <w:rsid w:val="00451915"/>
    <w:rsid w:val="00451F22"/>
    <w:rsid w:val="00452505"/>
    <w:rsid w:val="00453B6F"/>
    <w:rsid w:val="004543A5"/>
    <w:rsid w:val="004550F6"/>
    <w:rsid w:val="00455457"/>
    <w:rsid w:val="00462878"/>
    <w:rsid w:val="00462B5A"/>
    <w:rsid w:val="004637F6"/>
    <w:rsid w:val="0046417B"/>
    <w:rsid w:val="00464B21"/>
    <w:rsid w:val="004657EA"/>
    <w:rsid w:val="00467A3D"/>
    <w:rsid w:val="004717FD"/>
    <w:rsid w:val="0047372F"/>
    <w:rsid w:val="004749C7"/>
    <w:rsid w:val="004756A0"/>
    <w:rsid w:val="00475BB6"/>
    <w:rsid w:val="004764AA"/>
    <w:rsid w:val="004811CB"/>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21A7"/>
    <w:rsid w:val="004A2410"/>
    <w:rsid w:val="004A27AC"/>
    <w:rsid w:val="004A2B68"/>
    <w:rsid w:val="004A4687"/>
    <w:rsid w:val="004A5091"/>
    <w:rsid w:val="004A6279"/>
    <w:rsid w:val="004B061A"/>
    <w:rsid w:val="004B0B41"/>
    <w:rsid w:val="004B1914"/>
    <w:rsid w:val="004B2166"/>
    <w:rsid w:val="004B3444"/>
    <w:rsid w:val="004B3EB6"/>
    <w:rsid w:val="004B6210"/>
    <w:rsid w:val="004B6ECB"/>
    <w:rsid w:val="004B7D9F"/>
    <w:rsid w:val="004C0266"/>
    <w:rsid w:val="004C12BF"/>
    <w:rsid w:val="004C1DD0"/>
    <w:rsid w:val="004C26D7"/>
    <w:rsid w:val="004C598A"/>
    <w:rsid w:val="004C64E4"/>
    <w:rsid w:val="004D25AF"/>
    <w:rsid w:val="004D7CD8"/>
    <w:rsid w:val="004E0650"/>
    <w:rsid w:val="004E1416"/>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3EC1"/>
    <w:rsid w:val="00504EB7"/>
    <w:rsid w:val="00505F40"/>
    <w:rsid w:val="005070E3"/>
    <w:rsid w:val="00507723"/>
    <w:rsid w:val="0050798D"/>
    <w:rsid w:val="00507DCC"/>
    <w:rsid w:val="00512D00"/>
    <w:rsid w:val="00513044"/>
    <w:rsid w:val="00514179"/>
    <w:rsid w:val="005146B7"/>
    <w:rsid w:val="00515D01"/>
    <w:rsid w:val="005170E4"/>
    <w:rsid w:val="00517BBD"/>
    <w:rsid w:val="0052086B"/>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2454"/>
    <w:rsid w:val="00543783"/>
    <w:rsid w:val="00543814"/>
    <w:rsid w:val="00545D85"/>
    <w:rsid w:val="005460D5"/>
    <w:rsid w:val="00546DEA"/>
    <w:rsid w:val="00547B91"/>
    <w:rsid w:val="005512BF"/>
    <w:rsid w:val="005545BC"/>
    <w:rsid w:val="0055560E"/>
    <w:rsid w:val="00556AA7"/>
    <w:rsid w:val="005573AE"/>
    <w:rsid w:val="0056050C"/>
    <w:rsid w:val="00560DA7"/>
    <w:rsid w:val="00562860"/>
    <w:rsid w:val="0056298A"/>
    <w:rsid w:val="00564439"/>
    <w:rsid w:val="00566A85"/>
    <w:rsid w:val="00567E3D"/>
    <w:rsid w:val="00571368"/>
    <w:rsid w:val="00571B94"/>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49"/>
    <w:rsid w:val="005B22D9"/>
    <w:rsid w:val="005B366D"/>
    <w:rsid w:val="005B7775"/>
    <w:rsid w:val="005C0014"/>
    <w:rsid w:val="005C088A"/>
    <w:rsid w:val="005C09F1"/>
    <w:rsid w:val="005C119A"/>
    <w:rsid w:val="005C19FD"/>
    <w:rsid w:val="005C42AC"/>
    <w:rsid w:val="005C4F84"/>
    <w:rsid w:val="005C5383"/>
    <w:rsid w:val="005C7A77"/>
    <w:rsid w:val="005D0EC1"/>
    <w:rsid w:val="005D12E2"/>
    <w:rsid w:val="005D178C"/>
    <w:rsid w:val="005D1948"/>
    <w:rsid w:val="005D196C"/>
    <w:rsid w:val="005D1D7C"/>
    <w:rsid w:val="005D1EB6"/>
    <w:rsid w:val="005D3BE8"/>
    <w:rsid w:val="005D483F"/>
    <w:rsid w:val="005D5796"/>
    <w:rsid w:val="005D703E"/>
    <w:rsid w:val="005E0919"/>
    <w:rsid w:val="005E370D"/>
    <w:rsid w:val="005E3C3A"/>
    <w:rsid w:val="005E41D7"/>
    <w:rsid w:val="005E4C0B"/>
    <w:rsid w:val="005E620C"/>
    <w:rsid w:val="005E7E9D"/>
    <w:rsid w:val="005E7FA7"/>
    <w:rsid w:val="005F1510"/>
    <w:rsid w:val="005F3401"/>
    <w:rsid w:val="005F7F2B"/>
    <w:rsid w:val="00601328"/>
    <w:rsid w:val="00603842"/>
    <w:rsid w:val="006042FF"/>
    <w:rsid w:val="0060543A"/>
    <w:rsid w:val="0060785C"/>
    <w:rsid w:val="00607F77"/>
    <w:rsid w:val="00610C5F"/>
    <w:rsid w:val="00612319"/>
    <w:rsid w:val="00613410"/>
    <w:rsid w:val="00614A1E"/>
    <w:rsid w:val="00615434"/>
    <w:rsid w:val="0061717E"/>
    <w:rsid w:val="00617986"/>
    <w:rsid w:val="00617D2D"/>
    <w:rsid w:val="0062026F"/>
    <w:rsid w:val="00622FC1"/>
    <w:rsid w:val="0062337C"/>
    <w:rsid w:val="00626FA8"/>
    <w:rsid w:val="00627297"/>
    <w:rsid w:val="00627DD2"/>
    <w:rsid w:val="00627ED6"/>
    <w:rsid w:val="00634744"/>
    <w:rsid w:val="00634CFF"/>
    <w:rsid w:val="00635491"/>
    <w:rsid w:val="00636067"/>
    <w:rsid w:val="00636F99"/>
    <w:rsid w:val="0063752A"/>
    <w:rsid w:val="00641383"/>
    <w:rsid w:val="00642E8A"/>
    <w:rsid w:val="00644658"/>
    <w:rsid w:val="00644DA7"/>
    <w:rsid w:val="006454B2"/>
    <w:rsid w:val="00646820"/>
    <w:rsid w:val="006471CC"/>
    <w:rsid w:val="00650C92"/>
    <w:rsid w:val="00653683"/>
    <w:rsid w:val="00654A48"/>
    <w:rsid w:val="006552FD"/>
    <w:rsid w:val="00655ABA"/>
    <w:rsid w:val="00656502"/>
    <w:rsid w:val="0065651B"/>
    <w:rsid w:val="006570E8"/>
    <w:rsid w:val="006600B4"/>
    <w:rsid w:val="00660FC4"/>
    <w:rsid w:val="00664607"/>
    <w:rsid w:val="00664BB5"/>
    <w:rsid w:val="00664CB7"/>
    <w:rsid w:val="00664CFB"/>
    <w:rsid w:val="00664E29"/>
    <w:rsid w:val="0066723E"/>
    <w:rsid w:val="00670089"/>
    <w:rsid w:val="00672CC9"/>
    <w:rsid w:val="00674CDD"/>
    <w:rsid w:val="00677A4C"/>
    <w:rsid w:val="00680AE4"/>
    <w:rsid w:val="00680EB9"/>
    <w:rsid w:val="006825FA"/>
    <w:rsid w:val="0068273B"/>
    <w:rsid w:val="00684E51"/>
    <w:rsid w:val="0069086A"/>
    <w:rsid w:val="00694697"/>
    <w:rsid w:val="006952E3"/>
    <w:rsid w:val="00697534"/>
    <w:rsid w:val="00697B6D"/>
    <w:rsid w:val="006A02EE"/>
    <w:rsid w:val="006A100B"/>
    <w:rsid w:val="006A124D"/>
    <w:rsid w:val="006A143A"/>
    <w:rsid w:val="006A1BE6"/>
    <w:rsid w:val="006A24DC"/>
    <w:rsid w:val="006A278D"/>
    <w:rsid w:val="006A3285"/>
    <w:rsid w:val="006A4743"/>
    <w:rsid w:val="006A4EB1"/>
    <w:rsid w:val="006A50B9"/>
    <w:rsid w:val="006A55C3"/>
    <w:rsid w:val="006A58DF"/>
    <w:rsid w:val="006B0048"/>
    <w:rsid w:val="006B0994"/>
    <w:rsid w:val="006B0D87"/>
    <w:rsid w:val="006B17C8"/>
    <w:rsid w:val="006B278F"/>
    <w:rsid w:val="006B561F"/>
    <w:rsid w:val="006B5E7E"/>
    <w:rsid w:val="006B5FDE"/>
    <w:rsid w:val="006B72DE"/>
    <w:rsid w:val="006B7CCF"/>
    <w:rsid w:val="006C0CE4"/>
    <w:rsid w:val="006C1349"/>
    <w:rsid w:val="006C1B20"/>
    <w:rsid w:val="006C5B00"/>
    <w:rsid w:val="006C5FC1"/>
    <w:rsid w:val="006C71D8"/>
    <w:rsid w:val="006C7F96"/>
    <w:rsid w:val="006D1442"/>
    <w:rsid w:val="006D2DBF"/>
    <w:rsid w:val="006D44E1"/>
    <w:rsid w:val="006D50EC"/>
    <w:rsid w:val="006D552C"/>
    <w:rsid w:val="006D710E"/>
    <w:rsid w:val="006E21FA"/>
    <w:rsid w:val="006E7E8B"/>
    <w:rsid w:val="006F03F0"/>
    <w:rsid w:val="006F055C"/>
    <w:rsid w:val="006F0DEB"/>
    <w:rsid w:val="006F0FB7"/>
    <w:rsid w:val="006F14E2"/>
    <w:rsid w:val="006F1962"/>
    <w:rsid w:val="006F1FD3"/>
    <w:rsid w:val="006F354D"/>
    <w:rsid w:val="006F4C07"/>
    <w:rsid w:val="006F511B"/>
    <w:rsid w:val="006F7C11"/>
    <w:rsid w:val="006F7D30"/>
    <w:rsid w:val="00701184"/>
    <w:rsid w:val="00701AB9"/>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81A"/>
    <w:rsid w:val="00757541"/>
    <w:rsid w:val="00757782"/>
    <w:rsid w:val="007600C1"/>
    <w:rsid w:val="00762C15"/>
    <w:rsid w:val="00763B70"/>
    <w:rsid w:val="0076486C"/>
    <w:rsid w:val="00764C68"/>
    <w:rsid w:val="007678FF"/>
    <w:rsid w:val="00770494"/>
    <w:rsid w:val="00771617"/>
    <w:rsid w:val="00773F72"/>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360"/>
    <w:rsid w:val="00796FFD"/>
    <w:rsid w:val="007A20E0"/>
    <w:rsid w:val="007A2D82"/>
    <w:rsid w:val="007A6149"/>
    <w:rsid w:val="007A659F"/>
    <w:rsid w:val="007A7A18"/>
    <w:rsid w:val="007B0333"/>
    <w:rsid w:val="007B078A"/>
    <w:rsid w:val="007B0AD5"/>
    <w:rsid w:val="007B2204"/>
    <w:rsid w:val="007B4B60"/>
    <w:rsid w:val="007B58EB"/>
    <w:rsid w:val="007B73D3"/>
    <w:rsid w:val="007C075F"/>
    <w:rsid w:val="007C1F62"/>
    <w:rsid w:val="007C2636"/>
    <w:rsid w:val="007C3496"/>
    <w:rsid w:val="007C4A0F"/>
    <w:rsid w:val="007C4F9F"/>
    <w:rsid w:val="007C661C"/>
    <w:rsid w:val="007C6C6B"/>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2BE4"/>
    <w:rsid w:val="008041D4"/>
    <w:rsid w:val="00806C6C"/>
    <w:rsid w:val="00807EE7"/>
    <w:rsid w:val="008109A2"/>
    <w:rsid w:val="0081156A"/>
    <w:rsid w:val="00817BA4"/>
    <w:rsid w:val="00820AE2"/>
    <w:rsid w:val="008223CA"/>
    <w:rsid w:val="008257F9"/>
    <w:rsid w:val="00827398"/>
    <w:rsid w:val="00827EBF"/>
    <w:rsid w:val="0083092C"/>
    <w:rsid w:val="00832559"/>
    <w:rsid w:val="00832C66"/>
    <w:rsid w:val="00837C77"/>
    <w:rsid w:val="00842974"/>
    <w:rsid w:val="00842BAA"/>
    <w:rsid w:val="00842BB9"/>
    <w:rsid w:val="0084353E"/>
    <w:rsid w:val="0084471E"/>
    <w:rsid w:val="00851805"/>
    <w:rsid w:val="00853FE4"/>
    <w:rsid w:val="00854BF8"/>
    <w:rsid w:val="0085550A"/>
    <w:rsid w:val="00855F60"/>
    <w:rsid w:val="00857027"/>
    <w:rsid w:val="00860BFA"/>
    <w:rsid w:val="00860E3F"/>
    <w:rsid w:val="008616EF"/>
    <w:rsid w:val="00863C25"/>
    <w:rsid w:val="00864E25"/>
    <w:rsid w:val="00865AAD"/>
    <w:rsid w:val="00865BD0"/>
    <w:rsid w:val="008666A0"/>
    <w:rsid w:val="008705BC"/>
    <w:rsid w:val="008756EC"/>
    <w:rsid w:val="00875A42"/>
    <w:rsid w:val="00875DDD"/>
    <w:rsid w:val="00876B51"/>
    <w:rsid w:val="00880D20"/>
    <w:rsid w:val="00883537"/>
    <w:rsid w:val="00883BD5"/>
    <w:rsid w:val="008871A2"/>
    <w:rsid w:val="00887FF1"/>
    <w:rsid w:val="008904A8"/>
    <w:rsid w:val="00890692"/>
    <w:rsid w:val="00891344"/>
    <w:rsid w:val="00893464"/>
    <w:rsid w:val="0089481D"/>
    <w:rsid w:val="0089494E"/>
    <w:rsid w:val="00895DF9"/>
    <w:rsid w:val="008964E2"/>
    <w:rsid w:val="00896D0C"/>
    <w:rsid w:val="008A0338"/>
    <w:rsid w:val="008A05B6"/>
    <w:rsid w:val="008A0A0D"/>
    <w:rsid w:val="008A2EFF"/>
    <w:rsid w:val="008A48FC"/>
    <w:rsid w:val="008B12E9"/>
    <w:rsid w:val="008B3452"/>
    <w:rsid w:val="008B63A1"/>
    <w:rsid w:val="008B6BB2"/>
    <w:rsid w:val="008C2196"/>
    <w:rsid w:val="008C242E"/>
    <w:rsid w:val="008C28C6"/>
    <w:rsid w:val="008C3034"/>
    <w:rsid w:val="008C3708"/>
    <w:rsid w:val="008C4A97"/>
    <w:rsid w:val="008C510F"/>
    <w:rsid w:val="008D1C4C"/>
    <w:rsid w:val="008D4DD3"/>
    <w:rsid w:val="008D77B4"/>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CA7"/>
    <w:rsid w:val="008F2D73"/>
    <w:rsid w:val="008F3F40"/>
    <w:rsid w:val="008F5C89"/>
    <w:rsid w:val="008F6252"/>
    <w:rsid w:val="008F62C8"/>
    <w:rsid w:val="008F770B"/>
    <w:rsid w:val="00900F79"/>
    <w:rsid w:val="0090208D"/>
    <w:rsid w:val="009023F3"/>
    <w:rsid w:val="00903287"/>
    <w:rsid w:val="009032E0"/>
    <w:rsid w:val="0090383C"/>
    <w:rsid w:val="00903BD0"/>
    <w:rsid w:val="00905382"/>
    <w:rsid w:val="00905D25"/>
    <w:rsid w:val="009072EC"/>
    <w:rsid w:val="009075BA"/>
    <w:rsid w:val="009079C1"/>
    <w:rsid w:val="00907FFD"/>
    <w:rsid w:val="0091136E"/>
    <w:rsid w:val="00911ACF"/>
    <w:rsid w:val="00911AE9"/>
    <w:rsid w:val="00911DE8"/>
    <w:rsid w:val="00912132"/>
    <w:rsid w:val="00912A05"/>
    <w:rsid w:val="00916B03"/>
    <w:rsid w:val="00920B26"/>
    <w:rsid w:val="00922C5C"/>
    <w:rsid w:val="00922FAD"/>
    <w:rsid w:val="0092493D"/>
    <w:rsid w:val="00924F0A"/>
    <w:rsid w:val="00926010"/>
    <w:rsid w:val="00926E03"/>
    <w:rsid w:val="0092708B"/>
    <w:rsid w:val="009301C1"/>
    <w:rsid w:val="00930FE8"/>
    <w:rsid w:val="009313BB"/>
    <w:rsid w:val="00931A77"/>
    <w:rsid w:val="00931CF8"/>
    <w:rsid w:val="00934CBF"/>
    <w:rsid w:val="009350E9"/>
    <w:rsid w:val="009352B6"/>
    <w:rsid w:val="0093578C"/>
    <w:rsid w:val="00937713"/>
    <w:rsid w:val="00941A95"/>
    <w:rsid w:val="00942749"/>
    <w:rsid w:val="00943FB2"/>
    <w:rsid w:val="00947A75"/>
    <w:rsid w:val="009500EA"/>
    <w:rsid w:val="009521AD"/>
    <w:rsid w:val="0095363A"/>
    <w:rsid w:val="00954464"/>
    <w:rsid w:val="009545BA"/>
    <w:rsid w:val="00954C4F"/>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91378"/>
    <w:rsid w:val="009933E5"/>
    <w:rsid w:val="009935C9"/>
    <w:rsid w:val="009956FA"/>
    <w:rsid w:val="00996D2C"/>
    <w:rsid w:val="009A048A"/>
    <w:rsid w:val="009A070C"/>
    <w:rsid w:val="009A4301"/>
    <w:rsid w:val="009A4FB9"/>
    <w:rsid w:val="009B0622"/>
    <w:rsid w:val="009B14A2"/>
    <w:rsid w:val="009B31A2"/>
    <w:rsid w:val="009B5FDA"/>
    <w:rsid w:val="009B659B"/>
    <w:rsid w:val="009C032D"/>
    <w:rsid w:val="009C03E8"/>
    <w:rsid w:val="009C1514"/>
    <w:rsid w:val="009C1DE2"/>
    <w:rsid w:val="009C3034"/>
    <w:rsid w:val="009C3091"/>
    <w:rsid w:val="009C40F0"/>
    <w:rsid w:val="009C4958"/>
    <w:rsid w:val="009C6C39"/>
    <w:rsid w:val="009C79A8"/>
    <w:rsid w:val="009D01D6"/>
    <w:rsid w:val="009D1D24"/>
    <w:rsid w:val="009D2934"/>
    <w:rsid w:val="009D2A07"/>
    <w:rsid w:val="009D556E"/>
    <w:rsid w:val="009D55A3"/>
    <w:rsid w:val="009D6931"/>
    <w:rsid w:val="009D749E"/>
    <w:rsid w:val="009E21C2"/>
    <w:rsid w:val="009E70BB"/>
    <w:rsid w:val="009E737D"/>
    <w:rsid w:val="009E749B"/>
    <w:rsid w:val="009E77BC"/>
    <w:rsid w:val="009F3163"/>
    <w:rsid w:val="009F4390"/>
    <w:rsid w:val="009F5335"/>
    <w:rsid w:val="00A0372F"/>
    <w:rsid w:val="00A03977"/>
    <w:rsid w:val="00A03B5E"/>
    <w:rsid w:val="00A050D4"/>
    <w:rsid w:val="00A0593C"/>
    <w:rsid w:val="00A06D3E"/>
    <w:rsid w:val="00A104B5"/>
    <w:rsid w:val="00A13095"/>
    <w:rsid w:val="00A16C2A"/>
    <w:rsid w:val="00A1719E"/>
    <w:rsid w:val="00A25C44"/>
    <w:rsid w:val="00A26FF7"/>
    <w:rsid w:val="00A30285"/>
    <w:rsid w:val="00A30B50"/>
    <w:rsid w:val="00A30C0A"/>
    <w:rsid w:val="00A3107D"/>
    <w:rsid w:val="00A311E2"/>
    <w:rsid w:val="00A330D4"/>
    <w:rsid w:val="00A340C1"/>
    <w:rsid w:val="00A35338"/>
    <w:rsid w:val="00A35792"/>
    <w:rsid w:val="00A370A9"/>
    <w:rsid w:val="00A410A1"/>
    <w:rsid w:val="00A445DC"/>
    <w:rsid w:val="00A44BEA"/>
    <w:rsid w:val="00A45D99"/>
    <w:rsid w:val="00A4609B"/>
    <w:rsid w:val="00A474F3"/>
    <w:rsid w:val="00A52666"/>
    <w:rsid w:val="00A541FA"/>
    <w:rsid w:val="00A5528E"/>
    <w:rsid w:val="00A553F3"/>
    <w:rsid w:val="00A56D79"/>
    <w:rsid w:val="00A575D9"/>
    <w:rsid w:val="00A57A7E"/>
    <w:rsid w:val="00A60040"/>
    <w:rsid w:val="00A60C8A"/>
    <w:rsid w:val="00A63165"/>
    <w:rsid w:val="00A63326"/>
    <w:rsid w:val="00A66DEB"/>
    <w:rsid w:val="00A675DF"/>
    <w:rsid w:val="00A67DFB"/>
    <w:rsid w:val="00A7104A"/>
    <w:rsid w:val="00A711C6"/>
    <w:rsid w:val="00A7358D"/>
    <w:rsid w:val="00A7364F"/>
    <w:rsid w:val="00A75ABC"/>
    <w:rsid w:val="00A76516"/>
    <w:rsid w:val="00A81BD3"/>
    <w:rsid w:val="00A82E41"/>
    <w:rsid w:val="00A82EDC"/>
    <w:rsid w:val="00A831CA"/>
    <w:rsid w:val="00A837D7"/>
    <w:rsid w:val="00A84863"/>
    <w:rsid w:val="00A84934"/>
    <w:rsid w:val="00A84AAF"/>
    <w:rsid w:val="00A8648E"/>
    <w:rsid w:val="00A875DB"/>
    <w:rsid w:val="00A90345"/>
    <w:rsid w:val="00A9034D"/>
    <w:rsid w:val="00A930D0"/>
    <w:rsid w:val="00A9430E"/>
    <w:rsid w:val="00A9479B"/>
    <w:rsid w:val="00A94C39"/>
    <w:rsid w:val="00A955EB"/>
    <w:rsid w:val="00A95D95"/>
    <w:rsid w:val="00A9661A"/>
    <w:rsid w:val="00A96C7B"/>
    <w:rsid w:val="00A96F38"/>
    <w:rsid w:val="00A977EC"/>
    <w:rsid w:val="00AA03EE"/>
    <w:rsid w:val="00AA3FD1"/>
    <w:rsid w:val="00AA69EB"/>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0E00"/>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1160"/>
    <w:rsid w:val="00AF2A54"/>
    <w:rsid w:val="00AF65E5"/>
    <w:rsid w:val="00AF7992"/>
    <w:rsid w:val="00B00AB3"/>
    <w:rsid w:val="00B00B4D"/>
    <w:rsid w:val="00B04833"/>
    <w:rsid w:val="00B0498C"/>
    <w:rsid w:val="00B04AB7"/>
    <w:rsid w:val="00B073C8"/>
    <w:rsid w:val="00B10034"/>
    <w:rsid w:val="00B12D90"/>
    <w:rsid w:val="00B14969"/>
    <w:rsid w:val="00B14C52"/>
    <w:rsid w:val="00B14E7A"/>
    <w:rsid w:val="00B200AA"/>
    <w:rsid w:val="00B21225"/>
    <w:rsid w:val="00B21731"/>
    <w:rsid w:val="00B22339"/>
    <w:rsid w:val="00B225F1"/>
    <w:rsid w:val="00B22A7A"/>
    <w:rsid w:val="00B3027E"/>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51ED"/>
    <w:rsid w:val="00B66C20"/>
    <w:rsid w:val="00B67114"/>
    <w:rsid w:val="00B67B08"/>
    <w:rsid w:val="00B701E9"/>
    <w:rsid w:val="00B702D7"/>
    <w:rsid w:val="00B708C6"/>
    <w:rsid w:val="00B71A18"/>
    <w:rsid w:val="00B71C3A"/>
    <w:rsid w:val="00B75449"/>
    <w:rsid w:val="00B755CA"/>
    <w:rsid w:val="00B7610A"/>
    <w:rsid w:val="00B76FB4"/>
    <w:rsid w:val="00B823F6"/>
    <w:rsid w:val="00B8272F"/>
    <w:rsid w:val="00B827B1"/>
    <w:rsid w:val="00B82B35"/>
    <w:rsid w:val="00B8475F"/>
    <w:rsid w:val="00B87926"/>
    <w:rsid w:val="00B87B9A"/>
    <w:rsid w:val="00B901FF"/>
    <w:rsid w:val="00B90210"/>
    <w:rsid w:val="00B90340"/>
    <w:rsid w:val="00B9118E"/>
    <w:rsid w:val="00B93463"/>
    <w:rsid w:val="00B94CCB"/>
    <w:rsid w:val="00B97781"/>
    <w:rsid w:val="00BA128E"/>
    <w:rsid w:val="00BA26B3"/>
    <w:rsid w:val="00BA3FFF"/>
    <w:rsid w:val="00BA4003"/>
    <w:rsid w:val="00BA527C"/>
    <w:rsid w:val="00BA67B7"/>
    <w:rsid w:val="00BA67CA"/>
    <w:rsid w:val="00BA6E0E"/>
    <w:rsid w:val="00BA6F7B"/>
    <w:rsid w:val="00BB02CB"/>
    <w:rsid w:val="00BB1FB6"/>
    <w:rsid w:val="00BB5D6B"/>
    <w:rsid w:val="00BB7494"/>
    <w:rsid w:val="00BB778C"/>
    <w:rsid w:val="00BC131B"/>
    <w:rsid w:val="00BC477C"/>
    <w:rsid w:val="00BC762F"/>
    <w:rsid w:val="00BD0A55"/>
    <w:rsid w:val="00BD0FBA"/>
    <w:rsid w:val="00BD3DC2"/>
    <w:rsid w:val="00BD6D7A"/>
    <w:rsid w:val="00BE07A9"/>
    <w:rsid w:val="00BE0A4E"/>
    <w:rsid w:val="00BE1FCF"/>
    <w:rsid w:val="00BE269C"/>
    <w:rsid w:val="00BE2B67"/>
    <w:rsid w:val="00BE33D1"/>
    <w:rsid w:val="00BE47CE"/>
    <w:rsid w:val="00BE6A6A"/>
    <w:rsid w:val="00BF079B"/>
    <w:rsid w:val="00BF0A7F"/>
    <w:rsid w:val="00BF130C"/>
    <w:rsid w:val="00BF1B02"/>
    <w:rsid w:val="00BF3B9E"/>
    <w:rsid w:val="00BF3EC1"/>
    <w:rsid w:val="00BF4085"/>
    <w:rsid w:val="00BF4FCD"/>
    <w:rsid w:val="00BF5230"/>
    <w:rsid w:val="00BF5297"/>
    <w:rsid w:val="00BF62F7"/>
    <w:rsid w:val="00BF6355"/>
    <w:rsid w:val="00BF7EE4"/>
    <w:rsid w:val="00C00D4A"/>
    <w:rsid w:val="00C0119C"/>
    <w:rsid w:val="00C0322A"/>
    <w:rsid w:val="00C0393A"/>
    <w:rsid w:val="00C048FD"/>
    <w:rsid w:val="00C04EE2"/>
    <w:rsid w:val="00C078C8"/>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394"/>
    <w:rsid w:val="00C37F72"/>
    <w:rsid w:val="00C40B38"/>
    <w:rsid w:val="00C4140C"/>
    <w:rsid w:val="00C420C1"/>
    <w:rsid w:val="00C4525F"/>
    <w:rsid w:val="00C45963"/>
    <w:rsid w:val="00C472B8"/>
    <w:rsid w:val="00C477E6"/>
    <w:rsid w:val="00C5024C"/>
    <w:rsid w:val="00C53124"/>
    <w:rsid w:val="00C53B2E"/>
    <w:rsid w:val="00C53FFD"/>
    <w:rsid w:val="00C54B61"/>
    <w:rsid w:val="00C55080"/>
    <w:rsid w:val="00C5793F"/>
    <w:rsid w:val="00C57D5A"/>
    <w:rsid w:val="00C6029A"/>
    <w:rsid w:val="00C60C51"/>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236"/>
    <w:rsid w:val="00C85AD9"/>
    <w:rsid w:val="00C8665C"/>
    <w:rsid w:val="00C8791A"/>
    <w:rsid w:val="00C87FAF"/>
    <w:rsid w:val="00C901A0"/>
    <w:rsid w:val="00C907BA"/>
    <w:rsid w:val="00C908CF"/>
    <w:rsid w:val="00C909AA"/>
    <w:rsid w:val="00C910BE"/>
    <w:rsid w:val="00C91D77"/>
    <w:rsid w:val="00C922BE"/>
    <w:rsid w:val="00C92EF7"/>
    <w:rsid w:val="00C92F76"/>
    <w:rsid w:val="00C951AE"/>
    <w:rsid w:val="00C967A6"/>
    <w:rsid w:val="00C978F5"/>
    <w:rsid w:val="00C97AA5"/>
    <w:rsid w:val="00CA1464"/>
    <w:rsid w:val="00CA1A61"/>
    <w:rsid w:val="00CA2F4B"/>
    <w:rsid w:val="00CA5844"/>
    <w:rsid w:val="00CA59C7"/>
    <w:rsid w:val="00CA59E6"/>
    <w:rsid w:val="00CA7415"/>
    <w:rsid w:val="00CB265C"/>
    <w:rsid w:val="00CB27D8"/>
    <w:rsid w:val="00CB364E"/>
    <w:rsid w:val="00CB48BF"/>
    <w:rsid w:val="00CB675E"/>
    <w:rsid w:val="00CB7A07"/>
    <w:rsid w:val="00CC296F"/>
    <w:rsid w:val="00CC457C"/>
    <w:rsid w:val="00CC56A7"/>
    <w:rsid w:val="00CC59BB"/>
    <w:rsid w:val="00CC5F7D"/>
    <w:rsid w:val="00CD09A9"/>
    <w:rsid w:val="00CD2B06"/>
    <w:rsid w:val="00CD3200"/>
    <w:rsid w:val="00CD484A"/>
    <w:rsid w:val="00CD635D"/>
    <w:rsid w:val="00CD70A7"/>
    <w:rsid w:val="00CD7ADF"/>
    <w:rsid w:val="00CD7CED"/>
    <w:rsid w:val="00CD7F31"/>
    <w:rsid w:val="00CE0456"/>
    <w:rsid w:val="00CE04C7"/>
    <w:rsid w:val="00CE17E3"/>
    <w:rsid w:val="00CE3A2E"/>
    <w:rsid w:val="00CE5A97"/>
    <w:rsid w:val="00CE6146"/>
    <w:rsid w:val="00CF156B"/>
    <w:rsid w:val="00CF1895"/>
    <w:rsid w:val="00CF1E02"/>
    <w:rsid w:val="00CF2D68"/>
    <w:rsid w:val="00CF329B"/>
    <w:rsid w:val="00CF3549"/>
    <w:rsid w:val="00CF3D2B"/>
    <w:rsid w:val="00CF597A"/>
    <w:rsid w:val="00D009B0"/>
    <w:rsid w:val="00D02EEF"/>
    <w:rsid w:val="00D032D5"/>
    <w:rsid w:val="00D03DFA"/>
    <w:rsid w:val="00D04CBA"/>
    <w:rsid w:val="00D05BAA"/>
    <w:rsid w:val="00D07FB9"/>
    <w:rsid w:val="00D10CCF"/>
    <w:rsid w:val="00D121B8"/>
    <w:rsid w:val="00D13B65"/>
    <w:rsid w:val="00D13B7A"/>
    <w:rsid w:val="00D200DB"/>
    <w:rsid w:val="00D22C4B"/>
    <w:rsid w:val="00D230C7"/>
    <w:rsid w:val="00D23E7D"/>
    <w:rsid w:val="00D2405F"/>
    <w:rsid w:val="00D26FD3"/>
    <w:rsid w:val="00D27312"/>
    <w:rsid w:val="00D30C7F"/>
    <w:rsid w:val="00D34605"/>
    <w:rsid w:val="00D35359"/>
    <w:rsid w:val="00D35D2A"/>
    <w:rsid w:val="00D36917"/>
    <w:rsid w:val="00D36B56"/>
    <w:rsid w:val="00D4102C"/>
    <w:rsid w:val="00D41BA9"/>
    <w:rsid w:val="00D428D2"/>
    <w:rsid w:val="00D42FBC"/>
    <w:rsid w:val="00D456F3"/>
    <w:rsid w:val="00D46F1E"/>
    <w:rsid w:val="00D50932"/>
    <w:rsid w:val="00D50D82"/>
    <w:rsid w:val="00D52376"/>
    <w:rsid w:val="00D52ED3"/>
    <w:rsid w:val="00D5633E"/>
    <w:rsid w:val="00D56EB3"/>
    <w:rsid w:val="00D57B39"/>
    <w:rsid w:val="00D57B9E"/>
    <w:rsid w:val="00D57F08"/>
    <w:rsid w:val="00D60234"/>
    <w:rsid w:val="00D612C2"/>
    <w:rsid w:val="00D64080"/>
    <w:rsid w:val="00D6477E"/>
    <w:rsid w:val="00D64AEA"/>
    <w:rsid w:val="00D66A2D"/>
    <w:rsid w:val="00D67C34"/>
    <w:rsid w:val="00D67F56"/>
    <w:rsid w:val="00D736B0"/>
    <w:rsid w:val="00D745E0"/>
    <w:rsid w:val="00D74CF9"/>
    <w:rsid w:val="00D74FEF"/>
    <w:rsid w:val="00D76941"/>
    <w:rsid w:val="00D76AA3"/>
    <w:rsid w:val="00D770EA"/>
    <w:rsid w:val="00D80604"/>
    <w:rsid w:val="00D81748"/>
    <w:rsid w:val="00D829D2"/>
    <w:rsid w:val="00D83764"/>
    <w:rsid w:val="00D83A00"/>
    <w:rsid w:val="00D858F8"/>
    <w:rsid w:val="00D85DF4"/>
    <w:rsid w:val="00D86212"/>
    <w:rsid w:val="00D862AD"/>
    <w:rsid w:val="00D8728B"/>
    <w:rsid w:val="00D90D70"/>
    <w:rsid w:val="00D90D8D"/>
    <w:rsid w:val="00D938F1"/>
    <w:rsid w:val="00D9460E"/>
    <w:rsid w:val="00D95411"/>
    <w:rsid w:val="00DA086B"/>
    <w:rsid w:val="00DA0B92"/>
    <w:rsid w:val="00DA2F0F"/>
    <w:rsid w:val="00DA2F14"/>
    <w:rsid w:val="00DA565F"/>
    <w:rsid w:val="00DA5E46"/>
    <w:rsid w:val="00DA7097"/>
    <w:rsid w:val="00DA7E05"/>
    <w:rsid w:val="00DB006F"/>
    <w:rsid w:val="00DB1007"/>
    <w:rsid w:val="00DB1C4B"/>
    <w:rsid w:val="00DB2A0B"/>
    <w:rsid w:val="00DB2B1A"/>
    <w:rsid w:val="00DB39E5"/>
    <w:rsid w:val="00DB4794"/>
    <w:rsid w:val="00DB4BDE"/>
    <w:rsid w:val="00DB58FD"/>
    <w:rsid w:val="00DB5C3E"/>
    <w:rsid w:val="00DB628E"/>
    <w:rsid w:val="00DC0C67"/>
    <w:rsid w:val="00DC1BA0"/>
    <w:rsid w:val="00DC26AB"/>
    <w:rsid w:val="00DC4EFC"/>
    <w:rsid w:val="00DC52E9"/>
    <w:rsid w:val="00DC5D79"/>
    <w:rsid w:val="00DD1761"/>
    <w:rsid w:val="00DD1844"/>
    <w:rsid w:val="00DD578B"/>
    <w:rsid w:val="00DD638D"/>
    <w:rsid w:val="00DD7326"/>
    <w:rsid w:val="00DD7E15"/>
    <w:rsid w:val="00DE009B"/>
    <w:rsid w:val="00DE038E"/>
    <w:rsid w:val="00DE1E3E"/>
    <w:rsid w:val="00DE2791"/>
    <w:rsid w:val="00DE7ABF"/>
    <w:rsid w:val="00DF1838"/>
    <w:rsid w:val="00DF25E0"/>
    <w:rsid w:val="00DF3046"/>
    <w:rsid w:val="00DF348B"/>
    <w:rsid w:val="00DF5B11"/>
    <w:rsid w:val="00DF6046"/>
    <w:rsid w:val="00DF782C"/>
    <w:rsid w:val="00E008CF"/>
    <w:rsid w:val="00E00A17"/>
    <w:rsid w:val="00E0128F"/>
    <w:rsid w:val="00E023D0"/>
    <w:rsid w:val="00E02BE3"/>
    <w:rsid w:val="00E030A0"/>
    <w:rsid w:val="00E03635"/>
    <w:rsid w:val="00E04539"/>
    <w:rsid w:val="00E1118D"/>
    <w:rsid w:val="00E124E3"/>
    <w:rsid w:val="00E12907"/>
    <w:rsid w:val="00E14812"/>
    <w:rsid w:val="00E14F74"/>
    <w:rsid w:val="00E15DDE"/>
    <w:rsid w:val="00E173C1"/>
    <w:rsid w:val="00E17DCF"/>
    <w:rsid w:val="00E201A7"/>
    <w:rsid w:val="00E20D28"/>
    <w:rsid w:val="00E210BB"/>
    <w:rsid w:val="00E22AF4"/>
    <w:rsid w:val="00E2339E"/>
    <w:rsid w:val="00E2418B"/>
    <w:rsid w:val="00E24362"/>
    <w:rsid w:val="00E301C4"/>
    <w:rsid w:val="00E308E8"/>
    <w:rsid w:val="00E31A2F"/>
    <w:rsid w:val="00E3245B"/>
    <w:rsid w:val="00E35C2F"/>
    <w:rsid w:val="00E3707B"/>
    <w:rsid w:val="00E3779A"/>
    <w:rsid w:val="00E37B2C"/>
    <w:rsid w:val="00E4024B"/>
    <w:rsid w:val="00E4089E"/>
    <w:rsid w:val="00E44858"/>
    <w:rsid w:val="00E4710C"/>
    <w:rsid w:val="00E47632"/>
    <w:rsid w:val="00E50685"/>
    <w:rsid w:val="00E541FD"/>
    <w:rsid w:val="00E563CD"/>
    <w:rsid w:val="00E570D9"/>
    <w:rsid w:val="00E57F6B"/>
    <w:rsid w:val="00E60047"/>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4434"/>
    <w:rsid w:val="00E84C59"/>
    <w:rsid w:val="00E85165"/>
    <w:rsid w:val="00E86507"/>
    <w:rsid w:val="00E92040"/>
    <w:rsid w:val="00E9258B"/>
    <w:rsid w:val="00E974BB"/>
    <w:rsid w:val="00EA010E"/>
    <w:rsid w:val="00EA06F0"/>
    <w:rsid w:val="00EA1F11"/>
    <w:rsid w:val="00EA39B9"/>
    <w:rsid w:val="00EA485E"/>
    <w:rsid w:val="00EA507B"/>
    <w:rsid w:val="00EA719F"/>
    <w:rsid w:val="00EB0E2D"/>
    <w:rsid w:val="00EB1E33"/>
    <w:rsid w:val="00EB2750"/>
    <w:rsid w:val="00EB2F99"/>
    <w:rsid w:val="00EB4F2B"/>
    <w:rsid w:val="00EB706C"/>
    <w:rsid w:val="00EC0215"/>
    <w:rsid w:val="00EC0881"/>
    <w:rsid w:val="00EC0D7F"/>
    <w:rsid w:val="00EC3223"/>
    <w:rsid w:val="00EC3AB1"/>
    <w:rsid w:val="00EC44C7"/>
    <w:rsid w:val="00EC488B"/>
    <w:rsid w:val="00EC48B5"/>
    <w:rsid w:val="00EC553C"/>
    <w:rsid w:val="00EC6D39"/>
    <w:rsid w:val="00ED044D"/>
    <w:rsid w:val="00ED05B8"/>
    <w:rsid w:val="00ED0742"/>
    <w:rsid w:val="00ED17FF"/>
    <w:rsid w:val="00ED441E"/>
    <w:rsid w:val="00ED4927"/>
    <w:rsid w:val="00ED579F"/>
    <w:rsid w:val="00ED67B9"/>
    <w:rsid w:val="00ED7E10"/>
    <w:rsid w:val="00EE061A"/>
    <w:rsid w:val="00EE0ED2"/>
    <w:rsid w:val="00EE1A36"/>
    <w:rsid w:val="00EE2031"/>
    <w:rsid w:val="00EE23CB"/>
    <w:rsid w:val="00EE30AF"/>
    <w:rsid w:val="00EE39B4"/>
    <w:rsid w:val="00EE3DD4"/>
    <w:rsid w:val="00EE67BB"/>
    <w:rsid w:val="00EE68E4"/>
    <w:rsid w:val="00EF1632"/>
    <w:rsid w:val="00F00B06"/>
    <w:rsid w:val="00F01D9A"/>
    <w:rsid w:val="00F039D8"/>
    <w:rsid w:val="00F04A7F"/>
    <w:rsid w:val="00F054DB"/>
    <w:rsid w:val="00F059BB"/>
    <w:rsid w:val="00F06D97"/>
    <w:rsid w:val="00F07749"/>
    <w:rsid w:val="00F1022F"/>
    <w:rsid w:val="00F11A47"/>
    <w:rsid w:val="00F134B1"/>
    <w:rsid w:val="00F13738"/>
    <w:rsid w:val="00F1385B"/>
    <w:rsid w:val="00F169C3"/>
    <w:rsid w:val="00F178BA"/>
    <w:rsid w:val="00F20FF1"/>
    <w:rsid w:val="00F24078"/>
    <w:rsid w:val="00F25205"/>
    <w:rsid w:val="00F25B2E"/>
    <w:rsid w:val="00F27410"/>
    <w:rsid w:val="00F278F3"/>
    <w:rsid w:val="00F300E7"/>
    <w:rsid w:val="00F3106C"/>
    <w:rsid w:val="00F31987"/>
    <w:rsid w:val="00F352CD"/>
    <w:rsid w:val="00F35457"/>
    <w:rsid w:val="00F3595B"/>
    <w:rsid w:val="00F36398"/>
    <w:rsid w:val="00F36B54"/>
    <w:rsid w:val="00F374B9"/>
    <w:rsid w:val="00F4097C"/>
    <w:rsid w:val="00F40EEF"/>
    <w:rsid w:val="00F426A6"/>
    <w:rsid w:val="00F429FD"/>
    <w:rsid w:val="00F44833"/>
    <w:rsid w:val="00F449C4"/>
    <w:rsid w:val="00F44E00"/>
    <w:rsid w:val="00F52469"/>
    <w:rsid w:val="00F52A80"/>
    <w:rsid w:val="00F5351B"/>
    <w:rsid w:val="00F538D9"/>
    <w:rsid w:val="00F549E5"/>
    <w:rsid w:val="00F5531F"/>
    <w:rsid w:val="00F55A88"/>
    <w:rsid w:val="00F56399"/>
    <w:rsid w:val="00F56B3E"/>
    <w:rsid w:val="00F601F7"/>
    <w:rsid w:val="00F644A8"/>
    <w:rsid w:val="00F64B7A"/>
    <w:rsid w:val="00F6510D"/>
    <w:rsid w:val="00F66A4A"/>
    <w:rsid w:val="00F676BB"/>
    <w:rsid w:val="00F7213B"/>
    <w:rsid w:val="00F725B2"/>
    <w:rsid w:val="00F7298D"/>
    <w:rsid w:val="00F746D3"/>
    <w:rsid w:val="00F7750A"/>
    <w:rsid w:val="00F80006"/>
    <w:rsid w:val="00F80084"/>
    <w:rsid w:val="00F80652"/>
    <w:rsid w:val="00F82372"/>
    <w:rsid w:val="00F856A5"/>
    <w:rsid w:val="00F8730D"/>
    <w:rsid w:val="00F87961"/>
    <w:rsid w:val="00F90B42"/>
    <w:rsid w:val="00F912EC"/>
    <w:rsid w:val="00F92045"/>
    <w:rsid w:val="00F95676"/>
    <w:rsid w:val="00F96507"/>
    <w:rsid w:val="00FA0979"/>
    <w:rsid w:val="00FA1F9A"/>
    <w:rsid w:val="00FA59E0"/>
    <w:rsid w:val="00FB0717"/>
    <w:rsid w:val="00FB0E92"/>
    <w:rsid w:val="00FB1021"/>
    <w:rsid w:val="00FB1553"/>
    <w:rsid w:val="00FB55DC"/>
    <w:rsid w:val="00FB6F6A"/>
    <w:rsid w:val="00FC0C9B"/>
    <w:rsid w:val="00FC19A0"/>
    <w:rsid w:val="00FC3EBE"/>
    <w:rsid w:val="00FC66C2"/>
    <w:rsid w:val="00FC6EF2"/>
    <w:rsid w:val="00FC6FA8"/>
    <w:rsid w:val="00FC716D"/>
    <w:rsid w:val="00FC761B"/>
    <w:rsid w:val="00FD172A"/>
    <w:rsid w:val="00FD2470"/>
    <w:rsid w:val="00FD26B5"/>
    <w:rsid w:val="00FD2965"/>
    <w:rsid w:val="00FD32DB"/>
    <w:rsid w:val="00FD51B4"/>
    <w:rsid w:val="00FD5823"/>
    <w:rsid w:val="00FD622B"/>
    <w:rsid w:val="00FD6B72"/>
    <w:rsid w:val="00FE0F3B"/>
    <w:rsid w:val="00FE102B"/>
    <w:rsid w:val="00FE1267"/>
    <w:rsid w:val="00FE1685"/>
    <w:rsid w:val="00FE1C27"/>
    <w:rsid w:val="00FE215B"/>
    <w:rsid w:val="00FE271F"/>
    <w:rsid w:val="00FE58C4"/>
    <w:rsid w:val="00FE5C31"/>
    <w:rsid w:val="00FE68B1"/>
    <w:rsid w:val="00FE79A2"/>
    <w:rsid w:val="00FF0830"/>
    <w:rsid w:val="00FF25BA"/>
    <w:rsid w:val="00FF2C67"/>
    <w:rsid w:val="00FF40E1"/>
    <w:rsid w:val="00FF552A"/>
    <w:rsid w:val="00FF66E0"/>
    <w:rsid w:val="00FF6E94"/>
    <w:rsid w:val="00FF748B"/>
    <w:rsid w:val="00FF7623"/>
    <w:rsid w:val="00FF77A4"/>
    <w:rsid w:val="02A1111E"/>
    <w:rsid w:val="02E64D83"/>
    <w:rsid w:val="03607E4F"/>
    <w:rsid w:val="03870B8F"/>
    <w:rsid w:val="043E5D62"/>
    <w:rsid w:val="04D46D43"/>
    <w:rsid w:val="050415D9"/>
    <w:rsid w:val="0511784E"/>
    <w:rsid w:val="05472462"/>
    <w:rsid w:val="05DB018D"/>
    <w:rsid w:val="066E52ED"/>
    <w:rsid w:val="08B03543"/>
    <w:rsid w:val="08EE4992"/>
    <w:rsid w:val="090D4519"/>
    <w:rsid w:val="09970B85"/>
    <w:rsid w:val="09B41737"/>
    <w:rsid w:val="0A4B35D9"/>
    <w:rsid w:val="0A6F565E"/>
    <w:rsid w:val="0AA66232"/>
    <w:rsid w:val="0B837613"/>
    <w:rsid w:val="0BA44CA8"/>
    <w:rsid w:val="0C801DA5"/>
    <w:rsid w:val="0CCF0636"/>
    <w:rsid w:val="0DB925C0"/>
    <w:rsid w:val="0DDE4FD5"/>
    <w:rsid w:val="0E982143"/>
    <w:rsid w:val="0F2E0181"/>
    <w:rsid w:val="0F474C5B"/>
    <w:rsid w:val="0F60173A"/>
    <w:rsid w:val="0F657030"/>
    <w:rsid w:val="0FB51D65"/>
    <w:rsid w:val="10AB3168"/>
    <w:rsid w:val="112847B9"/>
    <w:rsid w:val="11345C9D"/>
    <w:rsid w:val="11F930CD"/>
    <w:rsid w:val="127F665A"/>
    <w:rsid w:val="12D62551"/>
    <w:rsid w:val="131D4CF2"/>
    <w:rsid w:val="13EE2638"/>
    <w:rsid w:val="140D3EAB"/>
    <w:rsid w:val="14B404CB"/>
    <w:rsid w:val="14BA1240"/>
    <w:rsid w:val="14FC201D"/>
    <w:rsid w:val="150D43F1"/>
    <w:rsid w:val="1519577B"/>
    <w:rsid w:val="15724FF7"/>
    <w:rsid w:val="16060F52"/>
    <w:rsid w:val="17F51899"/>
    <w:rsid w:val="180715CC"/>
    <w:rsid w:val="18E2296E"/>
    <w:rsid w:val="18F96470"/>
    <w:rsid w:val="19697F31"/>
    <w:rsid w:val="1B164374"/>
    <w:rsid w:val="1C3D31D9"/>
    <w:rsid w:val="1C3D6D64"/>
    <w:rsid w:val="1C9E45E2"/>
    <w:rsid w:val="1D0E6058"/>
    <w:rsid w:val="1DF1193F"/>
    <w:rsid w:val="1E1E0B2A"/>
    <w:rsid w:val="1E261C06"/>
    <w:rsid w:val="1E2B32E4"/>
    <w:rsid w:val="1E5324FF"/>
    <w:rsid w:val="1E8F40C9"/>
    <w:rsid w:val="1ED02718"/>
    <w:rsid w:val="1F135C75"/>
    <w:rsid w:val="1F2E743E"/>
    <w:rsid w:val="1F62533A"/>
    <w:rsid w:val="1F986E32"/>
    <w:rsid w:val="1F9D6372"/>
    <w:rsid w:val="1F9F033C"/>
    <w:rsid w:val="201605FE"/>
    <w:rsid w:val="21041FB8"/>
    <w:rsid w:val="2158564A"/>
    <w:rsid w:val="21893052"/>
    <w:rsid w:val="226A270D"/>
    <w:rsid w:val="22990DAD"/>
    <w:rsid w:val="233F00E2"/>
    <w:rsid w:val="23B8294B"/>
    <w:rsid w:val="23D05BC5"/>
    <w:rsid w:val="241906BD"/>
    <w:rsid w:val="243279D1"/>
    <w:rsid w:val="245B32B8"/>
    <w:rsid w:val="246F76AB"/>
    <w:rsid w:val="248875F1"/>
    <w:rsid w:val="24CA5E5B"/>
    <w:rsid w:val="25C00201"/>
    <w:rsid w:val="26C2328E"/>
    <w:rsid w:val="27201D62"/>
    <w:rsid w:val="27644345"/>
    <w:rsid w:val="277A5916"/>
    <w:rsid w:val="27893DAB"/>
    <w:rsid w:val="278A0526"/>
    <w:rsid w:val="283106A2"/>
    <w:rsid w:val="2925076E"/>
    <w:rsid w:val="29540CA8"/>
    <w:rsid w:val="295F594B"/>
    <w:rsid w:val="29A71810"/>
    <w:rsid w:val="2A7F5292"/>
    <w:rsid w:val="2B286BC5"/>
    <w:rsid w:val="2BD018E6"/>
    <w:rsid w:val="2BE540A2"/>
    <w:rsid w:val="2C1520B2"/>
    <w:rsid w:val="2C2D2523"/>
    <w:rsid w:val="2C4B597B"/>
    <w:rsid w:val="2C7B0D11"/>
    <w:rsid w:val="2DA800CA"/>
    <w:rsid w:val="2DBA5C97"/>
    <w:rsid w:val="2EA4771D"/>
    <w:rsid w:val="2ED84BF3"/>
    <w:rsid w:val="2EEF2EAE"/>
    <w:rsid w:val="2F237C74"/>
    <w:rsid w:val="2F57706B"/>
    <w:rsid w:val="304C1E1A"/>
    <w:rsid w:val="307D7684"/>
    <w:rsid w:val="30F92DEC"/>
    <w:rsid w:val="313D65EE"/>
    <w:rsid w:val="31503DFE"/>
    <w:rsid w:val="33181F24"/>
    <w:rsid w:val="337F76E3"/>
    <w:rsid w:val="33941B0E"/>
    <w:rsid w:val="33AD347F"/>
    <w:rsid w:val="34027414"/>
    <w:rsid w:val="34390907"/>
    <w:rsid w:val="3615084C"/>
    <w:rsid w:val="365A2E21"/>
    <w:rsid w:val="367D7240"/>
    <w:rsid w:val="369E2DCB"/>
    <w:rsid w:val="36EA2EF3"/>
    <w:rsid w:val="36ED7BA0"/>
    <w:rsid w:val="378C1CD2"/>
    <w:rsid w:val="37D25FDD"/>
    <w:rsid w:val="38806F44"/>
    <w:rsid w:val="38A738A4"/>
    <w:rsid w:val="39A8260E"/>
    <w:rsid w:val="3A116069"/>
    <w:rsid w:val="3A26548A"/>
    <w:rsid w:val="3A287454"/>
    <w:rsid w:val="3B0D2CD2"/>
    <w:rsid w:val="3B2E0A9A"/>
    <w:rsid w:val="3B5316CB"/>
    <w:rsid w:val="3C795D45"/>
    <w:rsid w:val="3D2008B6"/>
    <w:rsid w:val="3D2F1C5E"/>
    <w:rsid w:val="3D396C7C"/>
    <w:rsid w:val="3EF7594A"/>
    <w:rsid w:val="3F0C10F2"/>
    <w:rsid w:val="3F197B22"/>
    <w:rsid w:val="3F5356B7"/>
    <w:rsid w:val="3F830C89"/>
    <w:rsid w:val="401F4E55"/>
    <w:rsid w:val="403D6894"/>
    <w:rsid w:val="40892B23"/>
    <w:rsid w:val="408F4FF3"/>
    <w:rsid w:val="414C48A8"/>
    <w:rsid w:val="41C20B0E"/>
    <w:rsid w:val="41EE3158"/>
    <w:rsid w:val="42876CE2"/>
    <w:rsid w:val="4311195E"/>
    <w:rsid w:val="443B71C8"/>
    <w:rsid w:val="45034D45"/>
    <w:rsid w:val="45C30B36"/>
    <w:rsid w:val="46560C42"/>
    <w:rsid w:val="46AF3DFB"/>
    <w:rsid w:val="46BF2520"/>
    <w:rsid w:val="471C5C4A"/>
    <w:rsid w:val="47C11835"/>
    <w:rsid w:val="47D12ED9"/>
    <w:rsid w:val="47F646ED"/>
    <w:rsid w:val="489F1C53"/>
    <w:rsid w:val="48CA7928"/>
    <w:rsid w:val="49290AF3"/>
    <w:rsid w:val="494E5765"/>
    <w:rsid w:val="495356DE"/>
    <w:rsid w:val="4964439B"/>
    <w:rsid w:val="4A5B700A"/>
    <w:rsid w:val="4B7A5635"/>
    <w:rsid w:val="4B8C6DAB"/>
    <w:rsid w:val="4BFB6776"/>
    <w:rsid w:val="4C147838"/>
    <w:rsid w:val="4CBA28D5"/>
    <w:rsid w:val="4D317F76"/>
    <w:rsid w:val="4D996326"/>
    <w:rsid w:val="4DFA3255"/>
    <w:rsid w:val="4E3F2D9E"/>
    <w:rsid w:val="4E8C5DAC"/>
    <w:rsid w:val="4F082BE9"/>
    <w:rsid w:val="4F1D4B3B"/>
    <w:rsid w:val="4FBA64DF"/>
    <w:rsid w:val="4FC03A74"/>
    <w:rsid w:val="4FF260E2"/>
    <w:rsid w:val="4FF26FAA"/>
    <w:rsid w:val="506858AC"/>
    <w:rsid w:val="5083613E"/>
    <w:rsid w:val="50A05B3E"/>
    <w:rsid w:val="50B952B6"/>
    <w:rsid w:val="51A46F68"/>
    <w:rsid w:val="51BB25F2"/>
    <w:rsid w:val="51BF3CBB"/>
    <w:rsid w:val="51C13FBE"/>
    <w:rsid w:val="52021EE1"/>
    <w:rsid w:val="52D63A99"/>
    <w:rsid w:val="531A70F7"/>
    <w:rsid w:val="53C658BC"/>
    <w:rsid w:val="545C6AF1"/>
    <w:rsid w:val="54832DDE"/>
    <w:rsid w:val="5486329D"/>
    <w:rsid w:val="54D75CEE"/>
    <w:rsid w:val="54F23E92"/>
    <w:rsid w:val="55853555"/>
    <w:rsid w:val="55C7591B"/>
    <w:rsid w:val="56187F25"/>
    <w:rsid w:val="56AA7244"/>
    <w:rsid w:val="56FE7A3C"/>
    <w:rsid w:val="574A6804"/>
    <w:rsid w:val="579B7B89"/>
    <w:rsid w:val="57B8690A"/>
    <w:rsid w:val="58675193"/>
    <w:rsid w:val="58AB43D1"/>
    <w:rsid w:val="596B73F9"/>
    <w:rsid w:val="599D5FA9"/>
    <w:rsid w:val="59CE6BED"/>
    <w:rsid w:val="59D9651C"/>
    <w:rsid w:val="5A8D1BDF"/>
    <w:rsid w:val="5A8E052B"/>
    <w:rsid w:val="5B24111A"/>
    <w:rsid w:val="5B9400AD"/>
    <w:rsid w:val="5D1B313B"/>
    <w:rsid w:val="5D3F223B"/>
    <w:rsid w:val="5E770480"/>
    <w:rsid w:val="5E910B3F"/>
    <w:rsid w:val="5EC96260"/>
    <w:rsid w:val="60163727"/>
    <w:rsid w:val="6062071A"/>
    <w:rsid w:val="60724647"/>
    <w:rsid w:val="61175BDA"/>
    <w:rsid w:val="613B0E5A"/>
    <w:rsid w:val="61E5574C"/>
    <w:rsid w:val="622C5484"/>
    <w:rsid w:val="62A728FC"/>
    <w:rsid w:val="638F0D25"/>
    <w:rsid w:val="647B7FFD"/>
    <w:rsid w:val="64C318E9"/>
    <w:rsid w:val="64CF7FB7"/>
    <w:rsid w:val="65905D2A"/>
    <w:rsid w:val="65CE1295"/>
    <w:rsid w:val="66FC2F4B"/>
    <w:rsid w:val="670047E9"/>
    <w:rsid w:val="67024A05"/>
    <w:rsid w:val="671234B1"/>
    <w:rsid w:val="67B83316"/>
    <w:rsid w:val="67F00384"/>
    <w:rsid w:val="680B5B3B"/>
    <w:rsid w:val="683B180A"/>
    <w:rsid w:val="685F3791"/>
    <w:rsid w:val="68BA0FB7"/>
    <w:rsid w:val="693E3CEF"/>
    <w:rsid w:val="694503FF"/>
    <w:rsid w:val="69C67F6C"/>
    <w:rsid w:val="6A2922A9"/>
    <w:rsid w:val="6A646982"/>
    <w:rsid w:val="6A681023"/>
    <w:rsid w:val="6A817E5C"/>
    <w:rsid w:val="6AFD7C7B"/>
    <w:rsid w:val="6B4E7D77"/>
    <w:rsid w:val="6CBC5656"/>
    <w:rsid w:val="6E7078D1"/>
    <w:rsid w:val="6E8A697A"/>
    <w:rsid w:val="6E97278C"/>
    <w:rsid w:val="6F0B2243"/>
    <w:rsid w:val="6F215100"/>
    <w:rsid w:val="6FA061ED"/>
    <w:rsid w:val="6FAA3E8C"/>
    <w:rsid w:val="6FC5169B"/>
    <w:rsid w:val="6FEC1DAE"/>
    <w:rsid w:val="70DA60AB"/>
    <w:rsid w:val="71066C3B"/>
    <w:rsid w:val="711461F7"/>
    <w:rsid w:val="711E68DF"/>
    <w:rsid w:val="71880AA7"/>
    <w:rsid w:val="71946BA2"/>
    <w:rsid w:val="721C3F61"/>
    <w:rsid w:val="725B146D"/>
    <w:rsid w:val="72EB0A43"/>
    <w:rsid w:val="731563CB"/>
    <w:rsid w:val="733A0E3C"/>
    <w:rsid w:val="736D3D5D"/>
    <w:rsid w:val="73966A72"/>
    <w:rsid w:val="745D5E3A"/>
    <w:rsid w:val="74BE4295"/>
    <w:rsid w:val="750B2811"/>
    <w:rsid w:val="75D73DE6"/>
    <w:rsid w:val="76B65008"/>
    <w:rsid w:val="777A6916"/>
    <w:rsid w:val="77C81353"/>
    <w:rsid w:val="77DD092F"/>
    <w:rsid w:val="78034456"/>
    <w:rsid w:val="785B7DC6"/>
    <w:rsid w:val="789D458E"/>
    <w:rsid w:val="789E5CA1"/>
    <w:rsid w:val="78B33E27"/>
    <w:rsid w:val="78D45B2D"/>
    <w:rsid w:val="79330A4E"/>
    <w:rsid w:val="794A5D98"/>
    <w:rsid w:val="79DA536E"/>
    <w:rsid w:val="7A8F2B07"/>
    <w:rsid w:val="7B210814"/>
    <w:rsid w:val="7B547F02"/>
    <w:rsid w:val="7B982787"/>
    <w:rsid w:val="7BD95FFD"/>
    <w:rsid w:val="7C6E1693"/>
    <w:rsid w:val="7C8B6DF3"/>
    <w:rsid w:val="7C970C05"/>
    <w:rsid w:val="7D7D673C"/>
    <w:rsid w:val="7D7E4262"/>
    <w:rsid w:val="7E4159BB"/>
    <w:rsid w:val="7E754ADF"/>
    <w:rsid w:val="7EA06B86"/>
    <w:rsid w:val="7EFB0260"/>
    <w:rsid w:val="7F1D65BA"/>
    <w:rsid w:val="7F392F70"/>
    <w:rsid w:val="7FDF00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eastAsia="楷体"/>
      <w:b/>
      <w:sz w:val="36"/>
    </w:rPr>
  </w:style>
  <w:style w:type="paragraph" w:styleId="3">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楷体"/>
      <w:b/>
      <w:kern w:val="2"/>
      <w:sz w:val="24"/>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3"/>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5"/>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5"/>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4"/>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5">
    <w:name w:val="_Style 254"/>
    <w:basedOn w:val="2"/>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Manager>罗成</Manager>
  <Company>重庆市政府采购中心</Company>
  <Pages>41</Pages>
  <Words>14205</Words>
  <Characters>14667</Characters>
  <Lines>193</Lines>
  <Paragraphs>54</Paragraphs>
  <TotalTime>0</TotalTime>
  <ScaleCrop>false</ScaleCrop>
  <LinksUpToDate>false</LinksUpToDate>
  <CharactersWithSpaces>14933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2019-10-10T14:25:00Z</dcterms:created>
  <dc:creator>罗成</dc:creator>
  <cp:lastModifiedBy>Lee</cp:lastModifiedBy>
  <cp:lastPrinted>2025-01-22T10:18:00Z</cp:lastPrinted>
  <dcterms:modified xsi:type="dcterms:W3CDTF">2025-02-07T09:40:25Z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42EAACDC15D541EEB17B1BA3792EEB55_13</vt:lpwstr>
  </property>
  <property fmtid="{D5CDD505-2E9C-101B-9397-08002B2CF9AE}" pid="4" name="KSOTemplateDocerSaveRecord">
    <vt:lpwstr>eyJoZGlkIjoiMDY2MWFhMThkMjljNTE4NWExYjZkNTYxNDgxNzZjNTYiLCJ1c2VySWQiOiIyNzY2MzA5OTgifQ==</vt:lpwstr>
  </property>
</Properties>
</file>