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2025FW008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有害生物防治服务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一月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615A596">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485108766"/>
      <w:bookmarkStart w:id="2" w:name="_Toc25875"/>
      <w:bookmarkStart w:id="3"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有害生物防治服务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485108767"/>
      <w:bookmarkStart w:id="8" w:name="_Toc317775175"/>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有害生物防治服务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服务期：三年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项目预算：4.4万元/年，3年共计13.2万元。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718176"/>
      <w:bookmarkStart w:id="23" w:name="_Toc54171062"/>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05DA2FDC">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adjustRightInd w:val="0"/>
        <w:spacing w:line="5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1.报价为包干价，投标报价为包干价，包含但不限于服务费、保险费、药剂费等所有费用。供应商按照报价表进行报价</w:t>
      </w:r>
      <w:r>
        <w:rPr>
          <w:rFonts w:hint="eastAsia" w:ascii="宋体" w:hAnsi="宋体" w:eastAsia="宋体" w:cs="宋体"/>
          <w:color w:val="FF0000"/>
          <w:sz w:val="24"/>
          <w:szCs w:val="24"/>
          <w:shd w:val="clear" w:color="auto" w:fill="auto"/>
          <w:lang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9"/>
      <w:bookmarkStart w:id="35"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79714298"/>
      <w:bookmarkStart w:id="37" w:name="_Toc342913393"/>
      <w:bookmarkStart w:id="38" w:name="_Toc18122"/>
      <w:bookmarkStart w:id="39" w:name="_Toc19143"/>
      <w:bookmarkStart w:id="40" w:name="_Toc403569780"/>
      <w:bookmarkStart w:id="41"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36ED61A">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1F5411F">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1.服务区域：萱花院区、大安院区、红河院区、兴龙湖院区教学部、护理学院、保健所、兴龙湖社区卫生服务中心。</w:t>
      </w:r>
    </w:p>
    <w:p w14:paraId="39FC6342">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2.服务内容：灭鼠、灭蚂蚁、灭蟑螂、灭蚊蝇.</w:t>
      </w:r>
    </w:p>
    <w:p w14:paraId="40732754">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.按照国家相关要求，进行老鼠、蟑螂、蚂蚁、白蚁、蚊子、苍蝇等有害生物的防治。</w:t>
      </w:r>
    </w:p>
    <w:p w14:paraId="1605C6B8">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服务方提供药剂生产商出具证明，保证药品为正规厂家生产。投标人所选用药品的有效成分、含量和剂型必须符合各类场所的用药要求。杜绝使用来源不明无“三证”或质量不稳定的卫生杀虫剂，确保灭效和人畜等各项安全，符合环保的有关要求。投标人必须提供主要药品厂商的有效“三证”（即：农药登记证、农药生产许可证书、技术监督部门备案的企业标准）复印件（加盖生产企业鲜章）和厂家出具的药物质量保证书，未提供或提供不全的其投标无效。</w:t>
      </w:r>
    </w:p>
    <w:p w14:paraId="5B9752E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.制定相应的操作规程和应急预案。在服务过程中，严格执行操作规程，不能造成采购方物品及设备的腐蚀和损坏。如有损坏照价赔偿。若造成伤人或中毒事故，由服务方承担法律责任及全额赔偿。</w:t>
      </w:r>
    </w:p>
    <w:p w14:paraId="34F8DFE6">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.在合同期内防治效果未达到爱国卫生规定标准由服务方负责，增加的杀虫、灭鼠等费用由乙方承担，直至达到规定标准。</w:t>
      </w:r>
    </w:p>
    <w:p w14:paraId="3EEF798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服务方工作人员必须严格遵守采购方的规章制度，做到安全操作、文明施工。在履行本合同过程中发生的包括但不限于服务方人员工伤或人身损害，造成采购方或第三人身损害或财产损失等事故均由服务方自行解决，并由服务方自行承担所有的经济责任和法律责任。</w:t>
      </w:r>
    </w:p>
    <w:p w14:paraId="058B2CC1">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rPr>
        <w:t>.服务方须指派专业人员开展相关工作，各项工作须严格按照相关操作规程开展，做好工作记录；每季度提供虫、鼠密度监测报告给采购方。</w:t>
      </w:r>
    </w:p>
    <w:p w14:paraId="3D3D5708">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9</w:t>
      </w:r>
      <w:r>
        <w:rPr>
          <w:rFonts w:hint="eastAsia" w:ascii="宋体" w:hAnsi="宋体" w:eastAsia="宋体" w:cs="宋体"/>
          <w:color w:val="FF0000"/>
          <w:sz w:val="24"/>
          <w:szCs w:val="24"/>
          <w:shd w:val="clear" w:color="auto" w:fill="auto"/>
        </w:rPr>
        <w:t>.服务方在接到服务需求时，须在2小时内作出反应（含节假日），积极有效地解决问题。</w:t>
      </w:r>
    </w:p>
    <w:p w14:paraId="4497AE11">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10</w:t>
      </w:r>
      <w:r>
        <w:rPr>
          <w:rFonts w:hint="eastAsia" w:ascii="宋体" w:hAnsi="宋体" w:eastAsia="宋体" w:cs="宋体"/>
          <w:color w:val="FF0000"/>
          <w:sz w:val="24"/>
          <w:szCs w:val="24"/>
          <w:shd w:val="clear" w:color="auto" w:fill="auto"/>
        </w:rPr>
        <w:t>.按照病媒生物繁殖规律制定年防治计划，服务方须每月定期至少开展两次全院巡查防治工作，每次完成相关工作后由采购方签字确认，防治过程中如发现问题应立即进行处置。</w:t>
      </w:r>
    </w:p>
    <w:p w14:paraId="2BE0E3BF">
      <w:pPr>
        <w:snapToGrid w:val="0"/>
        <w:spacing w:line="400" w:lineRule="exact"/>
        <w:ind w:firstLine="540"/>
        <w:rPr>
          <w:rFonts w:hint="eastAsia"/>
        </w:rPr>
      </w:pPr>
      <w:r>
        <w:rPr>
          <w:rFonts w:hint="eastAsia" w:ascii="宋体" w:hAnsi="宋体" w:eastAsia="宋体" w:cs="宋体"/>
          <w:color w:val="FF0000"/>
          <w:sz w:val="24"/>
          <w:szCs w:val="24"/>
          <w:shd w:val="clear" w:color="auto" w:fill="auto"/>
          <w:lang w:val="en-US" w:eastAsia="zh-CN"/>
        </w:rPr>
        <w:t>11</w:t>
      </w:r>
      <w:r>
        <w:rPr>
          <w:rFonts w:hint="eastAsia" w:ascii="宋体" w:hAnsi="宋体" w:eastAsia="宋体" w:cs="宋体"/>
          <w:color w:val="FF0000"/>
          <w:sz w:val="24"/>
          <w:szCs w:val="24"/>
          <w:shd w:val="clear" w:color="auto" w:fill="auto"/>
        </w:rPr>
        <w:t>.采购方有临时需要或其它特殊情况时，服务方须在接到采购方电话通知后1小时内上门处置，每次完成处置后由采购方相关部门签字确认。</w:t>
      </w:r>
      <w:r>
        <w:rPr>
          <w:rFonts w:hint="eastAsia"/>
        </w:rPr>
        <w:t xml:space="preserve"> </w:t>
      </w:r>
    </w:p>
    <w:p w14:paraId="073CC02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12、</w:t>
      </w:r>
      <w:r>
        <w:rPr>
          <w:rFonts w:hint="eastAsia" w:ascii="宋体" w:hAnsi="宋体" w:eastAsia="宋体" w:cs="宋体"/>
          <w:color w:val="FF0000"/>
          <w:sz w:val="24"/>
          <w:szCs w:val="24"/>
          <w:shd w:val="clear" w:color="auto" w:fill="auto"/>
        </w:rPr>
        <w:t>常规药剂要求</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 xml:space="preserve">（1）灭鼠：溴敌隆，有效成份：≥0.005%溴敌隆，剂型：毒饵。 </w:t>
      </w:r>
    </w:p>
    <w:p w14:paraId="07B59F6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（2）灭蚊、蝇：氯菊烯丙菊，有效成份：≥15%氯菊酯•S-生物烯丙菊酯，剂型：水乳剂。 </w:t>
      </w:r>
    </w:p>
    <w:p w14:paraId="0EFC4762">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（3）灭蟑螂：顺式氯氰菊酯，有效成分：≥8%顺式氯氰菊酯（含复配制剂），剂型：可湿性粉剂。 </w:t>
      </w:r>
    </w:p>
    <w:p w14:paraId="312C42C9">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13.</w:t>
      </w:r>
      <w:r>
        <w:rPr>
          <w:rFonts w:hint="eastAsia" w:ascii="宋体" w:hAnsi="宋体" w:eastAsia="宋体" w:cs="宋体"/>
          <w:color w:val="FF0000"/>
          <w:sz w:val="24"/>
          <w:szCs w:val="24"/>
          <w:shd w:val="clear" w:color="auto" w:fill="auto"/>
        </w:rPr>
        <w:t>隐翅虫、红火蚁的防治，并分别进行单次分院区、单次单点位灭杀报价</w:t>
      </w:r>
      <w:r>
        <w:rPr>
          <w:rFonts w:hint="eastAsia" w:ascii="宋体" w:hAnsi="宋体" w:eastAsia="宋体" w:cs="宋体"/>
          <w:color w:val="FF0000"/>
          <w:sz w:val="24"/>
          <w:szCs w:val="24"/>
          <w:shd w:val="clear" w:color="auto" w:fill="auto"/>
          <w:lang w:val="en-US" w:eastAsia="zh-CN"/>
        </w:rPr>
        <w:t>(报价表见第六章，此项报价为包干价，包含但不限于服务费、保险费、药剂费等所有费用)</w:t>
      </w:r>
      <w:r>
        <w:rPr>
          <w:rFonts w:hint="eastAsia" w:ascii="宋体" w:hAnsi="宋体" w:eastAsia="宋体" w:cs="宋体"/>
          <w:color w:val="FF0000"/>
          <w:sz w:val="24"/>
          <w:szCs w:val="24"/>
          <w:shd w:val="clear" w:color="auto" w:fill="auto"/>
        </w:rPr>
        <w:t>，根据采购方需求提供相应服务。</w:t>
      </w:r>
    </w:p>
    <w:p w14:paraId="7F69ED2A">
      <w:pPr>
        <w:snapToGrid w:val="0"/>
        <w:spacing w:line="400" w:lineRule="exact"/>
        <w:ind w:firstLine="540"/>
        <w:rPr>
          <w:rFonts w:hint="default" w:ascii="宋体" w:hAnsi="宋体" w:eastAsia="宋体" w:cs="宋体"/>
          <w:color w:val="FF0000"/>
          <w:sz w:val="24"/>
          <w:szCs w:val="24"/>
          <w:shd w:val="clear" w:color="auto" w:fill="auto"/>
          <w:lang w:val="en-US" w:eastAsia="zh-CN"/>
        </w:rPr>
      </w:pPr>
    </w:p>
    <w:p w14:paraId="25C6A66A">
      <w:pPr>
        <w:snapToGrid w:val="0"/>
        <w:spacing w:line="400" w:lineRule="exact"/>
        <w:ind w:firstLine="540"/>
        <w:rPr>
          <w:rFonts w:hint="default" w:eastAsiaTheme="minorEastAsia"/>
          <w:lang w:val="en-US" w:eastAsia="zh-CN"/>
        </w:rPr>
      </w:pPr>
    </w:p>
    <w:p w14:paraId="63D7A70A">
      <w:pPr>
        <w:spacing w:line="520" w:lineRule="exact"/>
        <w:ind w:firstLine="480" w:firstLineChars="200"/>
        <w:rPr>
          <w:rFonts w:hint="eastAsia" w:ascii="宋体" w:hAnsi="宋体"/>
          <w:kern w:val="0"/>
          <w:sz w:val="24"/>
        </w:rPr>
      </w:pPr>
    </w:p>
    <w:p w14:paraId="67BDEB5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479907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0749EB0">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56E410C">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4494FBC">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994561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F2DE93C">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52299A1">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7FE52A0">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DBE45A6">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E36BEF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EE34BE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229BFE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D0C3E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2E8290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D52C86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F1630FC">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75EAB5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FB98723">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A13268C">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72278E3">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36B0E3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D23323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6F19403">
      <w:pPr>
        <w:pStyle w:val="52"/>
        <w:tabs>
          <w:tab w:val="left" w:pos="1259"/>
        </w:tabs>
        <w:spacing w:before="0" w:beforeAutospacing="0" w:after="0" w:afterAutospacing="0" w:line="46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1.服务周期：三年。</w:t>
      </w:r>
    </w:p>
    <w:p w14:paraId="56EBCC5E">
      <w:pPr>
        <w:pStyle w:val="52"/>
        <w:tabs>
          <w:tab w:val="left" w:pos="1259"/>
        </w:tabs>
        <w:spacing w:before="0" w:beforeAutospacing="0" w:after="0" w:afterAutospacing="0" w:line="46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2.付款方式：合同签订后，在服务方按时完成各项防治工作及无其它违约情况下，每半年向服务方转账支付一次服务费用，服务费根据服务区域据实结算。服务方提供的合法发票经采购方审核无误后60日内付款。</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5C326BB1">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4E0824F7">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27B3061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7BCB000E">
      <w:pPr>
        <w:jc w:val="center"/>
        <w:rPr>
          <w:rFonts w:hint="eastAsia"/>
          <w:sz w:val="24"/>
        </w:rPr>
      </w:pPr>
      <w:bookmarkStart w:id="143" w:name="_Toc485108797"/>
      <w:bookmarkStart w:id="144" w:name="_Toc313888361"/>
      <w:bookmarkStart w:id="145" w:name="_Toc480979019"/>
      <w:bookmarkStart w:id="146" w:name="_Toc342913420"/>
      <w:bookmarkStart w:id="147" w:name="_Toc313008357"/>
      <w:r>
        <w:rPr>
          <w:rFonts w:hint="eastAsia"/>
          <w:sz w:val="24"/>
        </w:rPr>
        <w:t>报价表</w:t>
      </w:r>
    </w:p>
    <w:p w14:paraId="63BEE397">
      <w:pPr>
        <w:jc w:val="center"/>
        <w:rPr>
          <w:rFonts w:hint="eastAsia"/>
          <w:sz w:val="24"/>
        </w:rPr>
      </w:pPr>
    </w:p>
    <w:tbl>
      <w:tblPr>
        <w:tblStyle w:val="59"/>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017"/>
        <w:gridCol w:w="1843"/>
        <w:gridCol w:w="3234"/>
      </w:tblGrid>
      <w:tr w14:paraId="3C1C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0" w:type="dxa"/>
            <w:shd w:val="clear" w:color="auto" w:fill="auto"/>
            <w:noWrap w:val="0"/>
            <w:vAlign w:val="center"/>
          </w:tcPr>
          <w:p w14:paraId="5A56C924">
            <w:pPr>
              <w:jc w:val="center"/>
              <w:rPr>
                <w:rFonts w:hint="eastAsia"/>
                <w:b/>
                <w:sz w:val="24"/>
              </w:rPr>
            </w:pPr>
            <w:r>
              <w:rPr>
                <w:rFonts w:hint="eastAsia"/>
                <w:b/>
                <w:sz w:val="24"/>
              </w:rPr>
              <w:t>序号</w:t>
            </w:r>
          </w:p>
        </w:tc>
        <w:tc>
          <w:tcPr>
            <w:tcW w:w="3017" w:type="dxa"/>
            <w:shd w:val="clear" w:color="auto" w:fill="auto"/>
            <w:noWrap w:val="0"/>
            <w:vAlign w:val="center"/>
          </w:tcPr>
          <w:p w14:paraId="5D34EC62">
            <w:pPr>
              <w:jc w:val="center"/>
              <w:rPr>
                <w:rFonts w:hint="eastAsia"/>
                <w:b/>
                <w:sz w:val="24"/>
              </w:rPr>
            </w:pPr>
            <w:r>
              <w:rPr>
                <w:rFonts w:hint="eastAsia"/>
                <w:b/>
                <w:sz w:val="24"/>
              </w:rPr>
              <w:t>服务区域</w:t>
            </w:r>
          </w:p>
        </w:tc>
        <w:tc>
          <w:tcPr>
            <w:tcW w:w="1843" w:type="dxa"/>
            <w:shd w:val="clear" w:color="auto" w:fill="auto"/>
            <w:noWrap w:val="0"/>
            <w:vAlign w:val="center"/>
          </w:tcPr>
          <w:p w14:paraId="50E2BE02">
            <w:pPr>
              <w:jc w:val="center"/>
              <w:rPr>
                <w:rFonts w:hint="eastAsia"/>
                <w:b/>
                <w:sz w:val="24"/>
              </w:rPr>
            </w:pPr>
            <w:r>
              <w:rPr>
                <w:rFonts w:hint="eastAsia"/>
                <w:b/>
                <w:sz w:val="24"/>
              </w:rPr>
              <w:t>价格（元/月）</w:t>
            </w:r>
          </w:p>
        </w:tc>
        <w:tc>
          <w:tcPr>
            <w:tcW w:w="3234" w:type="dxa"/>
            <w:shd w:val="clear" w:color="auto" w:fill="auto"/>
            <w:noWrap w:val="0"/>
            <w:vAlign w:val="center"/>
          </w:tcPr>
          <w:p w14:paraId="26017727">
            <w:pPr>
              <w:jc w:val="center"/>
              <w:rPr>
                <w:rFonts w:hint="eastAsia"/>
                <w:b/>
                <w:sz w:val="24"/>
              </w:rPr>
            </w:pPr>
            <w:r>
              <w:rPr>
                <w:rFonts w:hint="eastAsia"/>
                <w:b/>
                <w:sz w:val="24"/>
              </w:rPr>
              <w:t>备注</w:t>
            </w:r>
          </w:p>
        </w:tc>
      </w:tr>
      <w:tr w14:paraId="3421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0" w:type="dxa"/>
            <w:shd w:val="clear" w:color="auto" w:fill="auto"/>
            <w:noWrap w:val="0"/>
            <w:vAlign w:val="center"/>
          </w:tcPr>
          <w:p w14:paraId="2187E306">
            <w:pPr>
              <w:jc w:val="center"/>
              <w:rPr>
                <w:rFonts w:hint="eastAsia"/>
                <w:sz w:val="24"/>
              </w:rPr>
            </w:pPr>
            <w:r>
              <w:rPr>
                <w:rFonts w:hint="eastAsia"/>
                <w:sz w:val="24"/>
              </w:rPr>
              <w:t>1</w:t>
            </w:r>
          </w:p>
        </w:tc>
        <w:tc>
          <w:tcPr>
            <w:tcW w:w="3017" w:type="dxa"/>
            <w:shd w:val="clear" w:color="auto" w:fill="auto"/>
            <w:noWrap w:val="0"/>
            <w:vAlign w:val="center"/>
          </w:tcPr>
          <w:p w14:paraId="34F41F4E">
            <w:pPr>
              <w:jc w:val="center"/>
              <w:rPr>
                <w:rFonts w:hint="eastAsia"/>
                <w:sz w:val="24"/>
              </w:rPr>
            </w:pPr>
            <w:r>
              <w:rPr>
                <w:rFonts w:hint="eastAsia"/>
                <w:sz w:val="24"/>
              </w:rPr>
              <w:t>萱花院区</w:t>
            </w:r>
          </w:p>
        </w:tc>
        <w:tc>
          <w:tcPr>
            <w:tcW w:w="1843" w:type="dxa"/>
            <w:shd w:val="clear" w:color="auto" w:fill="auto"/>
            <w:noWrap w:val="0"/>
            <w:vAlign w:val="center"/>
          </w:tcPr>
          <w:p w14:paraId="31DA2F53">
            <w:pPr>
              <w:jc w:val="center"/>
              <w:rPr>
                <w:rFonts w:hint="eastAsia"/>
                <w:sz w:val="24"/>
              </w:rPr>
            </w:pPr>
          </w:p>
        </w:tc>
        <w:tc>
          <w:tcPr>
            <w:tcW w:w="3234" w:type="dxa"/>
            <w:shd w:val="clear" w:color="auto" w:fill="auto"/>
            <w:noWrap w:val="0"/>
            <w:vAlign w:val="center"/>
          </w:tcPr>
          <w:p w14:paraId="7FFBE677">
            <w:pPr>
              <w:rPr>
                <w:rFonts w:hint="eastAsia"/>
                <w:sz w:val="24"/>
              </w:rPr>
            </w:pPr>
            <w:r>
              <w:rPr>
                <w:rFonts w:hint="eastAsia"/>
                <w:sz w:val="24"/>
              </w:rPr>
              <w:t>面积约110000平方米</w:t>
            </w:r>
          </w:p>
        </w:tc>
      </w:tr>
      <w:tr w14:paraId="2BF1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0" w:type="dxa"/>
            <w:shd w:val="clear" w:color="auto" w:fill="auto"/>
            <w:noWrap w:val="0"/>
            <w:vAlign w:val="center"/>
          </w:tcPr>
          <w:p w14:paraId="084E3C16">
            <w:pPr>
              <w:jc w:val="center"/>
              <w:rPr>
                <w:rFonts w:hint="eastAsia"/>
                <w:sz w:val="24"/>
              </w:rPr>
            </w:pPr>
            <w:r>
              <w:rPr>
                <w:rFonts w:hint="eastAsia"/>
                <w:sz w:val="24"/>
              </w:rPr>
              <w:t>2</w:t>
            </w:r>
          </w:p>
        </w:tc>
        <w:tc>
          <w:tcPr>
            <w:tcW w:w="3017" w:type="dxa"/>
            <w:shd w:val="clear" w:color="auto" w:fill="auto"/>
            <w:noWrap w:val="0"/>
            <w:vAlign w:val="center"/>
          </w:tcPr>
          <w:p w14:paraId="463B895C">
            <w:pPr>
              <w:jc w:val="center"/>
              <w:rPr>
                <w:rFonts w:hint="eastAsia"/>
                <w:sz w:val="24"/>
              </w:rPr>
            </w:pPr>
            <w:r>
              <w:rPr>
                <w:rFonts w:hint="eastAsia"/>
                <w:sz w:val="24"/>
              </w:rPr>
              <w:t>大安院区</w:t>
            </w:r>
          </w:p>
        </w:tc>
        <w:tc>
          <w:tcPr>
            <w:tcW w:w="1843" w:type="dxa"/>
            <w:shd w:val="clear" w:color="auto" w:fill="auto"/>
            <w:noWrap w:val="0"/>
            <w:vAlign w:val="center"/>
          </w:tcPr>
          <w:p w14:paraId="1876759F">
            <w:pPr>
              <w:jc w:val="center"/>
              <w:rPr>
                <w:rFonts w:hint="eastAsia"/>
                <w:sz w:val="24"/>
              </w:rPr>
            </w:pPr>
          </w:p>
        </w:tc>
        <w:tc>
          <w:tcPr>
            <w:tcW w:w="3234" w:type="dxa"/>
            <w:shd w:val="clear" w:color="auto" w:fill="auto"/>
            <w:noWrap w:val="0"/>
            <w:vAlign w:val="center"/>
          </w:tcPr>
          <w:p w14:paraId="5A541F46">
            <w:pPr>
              <w:rPr>
                <w:rFonts w:hint="eastAsia"/>
                <w:sz w:val="24"/>
              </w:rPr>
            </w:pPr>
            <w:r>
              <w:rPr>
                <w:rFonts w:hint="eastAsia"/>
                <w:sz w:val="24"/>
              </w:rPr>
              <w:t>面积约52300平方米</w:t>
            </w:r>
          </w:p>
        </w:tc>
      </w:tr>
      <w:tr w14:paraId="1AD8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0" w:type="dxa"/>
            <w:shd w:val="clear" w:color="auto" w:fill="auto"/>
            <w:noWrap w:val="0"/>
            <w:vAlign w:val="center"/>
          </w:tcPr>
          <w:p w14:paraId="06948210">
            <w:pPr>
              <w:jc w:val="center"/>
              <w:rPr>
                <w:rFonts w:hint="eastAsia"/>
                <w:sz w:val="24"/>
              </w:rPr>
            </w:pPr>
            <w:r>
              <w:rPr>
                <w:rFonts w:hint="eastAsia"/>
                <w:sz w:val="24"/>
              </w:rPr>
              <w:t>3</w:t>
            </w:r>
          </w:p>
        </w:tc>
        <w:tc>
          <w:tcPr>
            <w:tcW w:w="3017" w:type="dxa"/>
            <w:shd w:val="clear" w:color="auto" w:fill="auto"/>
            <w:noWrap w:val="0"/>
            <w:vAlign w:val="center"/>
          </w:tcPr>
          <w:p w14:paraId="22967F96">
            <w:pPr>
              <w:jc w:val="center"/>
              <w:rPr>
                <w:rFonts w:hint="eastAsia"/>
                <w:sz w:val="24"/>
              </w:rPr>
            </w:pPr>
            <w:r>
              <w:rPr>
                <w:rFonts w:hint="eastAsia"/>
                <w:sz w:val="24"/>
              </w:rPr>
              <w:t>红河院区</w:t>
            </w:r>
          </w:p>
        </w:tc>
        <w:tc>
          <w:tcPr>
            <w:tcW w:w="1843" w:type="dxa"/>
            <w:shd w:val="clear" w:color="auto" w:fill="auto"/>
            <w:noWrap w:val="0"/>
            <w:vAlign w:val="center"/>
          </w:tcPr>
          <w:p w14:paraId="113D34BA">
            <w:pPr>
              <w:jc w:val="center"/>
              <w:rPr>
                <w:rFonts w:hint="eastAsia"/>
                <w:sz w:val="24"/>
              </w:rPr>
            </w:pPr>
          </w:p>
        </w:tc>
        <w:tc>
          <w:tcPr>
            <w:tcW w:w="3234" w:type="dxa"/>
            <w:shd w:val="clear" w:color="auto" w:fill="auto"/>
            <w:noWrap w:val="0"/>
            <w:vAlign w:val="center"/>
          </w:tcPr>
          <w:p w14:paraId="52F99348">
            <w:pPr>
              <w:rPr>
                <w:rFonts w:hint="eastAsia"/>
                <w:sz w:val="24"/>
              </w:rPr>
            </w:pPr>
            <w:r>
              <w:rPr>
                <w:rFonts w:hint="eastAsia"/>
                <w:sz w:val="24"/>
              </w:rPr>
              <w:t>面积约5000平方米</w:t>
            </w:r>
          </w:p>
        </w:tc>
      </w:tr>
      <w:tr w14:paraId="50D4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10" w:type="dxa"/>
            <w:shd w:val="clear" w:color="auto" w:fill="auto"/>
            <w:noWrap w:val="0"/>
            <w:vAlign w:val="center"/>
          </w:tcPr>
          <w:p w14:paraId="3B37FC7D">
            <w:pPr>
              <w:jc w:val="center"/>
              <w:rPr>
                <w:rFonts w:hint="eastAsia"/>
                <w:sz w:val="24"/>
              </w:rPr>
            </w:pPr>
            <w:r>
              <w:rPr>
                <w:rFonts w:hint="eastAsia"/>
                <w:sz w:val="24"/>
              </w:rPr>
              <w:t>4</w:t>
            </w:r>
          </w:p>
        </w:tc>
        <w:tc>
          <w:tcPr>
            <w:tcW w:w="3017" w:type="dxa"/>
            <w:shd w:val="clear" w:color="auto" w:fill="auto"/>
            <w:noWrap w:val="0"/>
            <w:vAlign w:val="center"/>
          </w:tcPr>
          <w:p w14:paraId="2070FBA4">
            <w:pPr>
              <w:jc w:val="center"/>
              <w:rPr>
                <w:rFonts w:hint="eastAsia"/>
                <w:sz w:val="24"/>
              </w:rPr>
            </w:pPr>
            <w:r>
              <w:rPr>
                <w:rFonts w:hint="eastAsia"/>
                <w:sz w:val="24"/>
              </w:rPr>
              <w:t>兴龙湖院区教学部</w:t>
            </w:r>
          </w:p>
        </w:tc>
        <w:tc>
          <w:tcPr>
            <w:tcW w:w="1843" w:type="dxa"/>
            <w:shd w:val="clear" w:color="auto" w:fill="auto"/>
            <w:noWrap w:val="0"/>
            <w:vAlign w:val="center"/>
          </w:tcPr>
          <w:p w14:paraId="4758A77C">
            <w:pPr>
              <w:jc w:val="center"/>
              <w:rPr>
                <w:rFonts w:hint="eastAsia"/>
                <w:sz w:val="24"/>
              </w:rPr>
            </w:pPr>
          </w:p>
        </w:tc>
        <w:tc>
          <w:tcPr>
            <w:tcW w:w="3234" w:type="dxa"/>
            <w:shd w:val="clear" w:color="auto" w:fill="auto"/>
            <w:noWrap w:val="0"/>
            <w:vAlign w:val="center"/>
          </w:tcPr>
          <w:p w14:paraId="08A662F8">
            <w:pPr>
              <w:rPr>
                <w:rFonts w:hint="eastAsia"/>
                <w:sz w:val="24"/>
              </w:rPr>
            </w:pPr>
            <w:r>
              <w:rPr>
                <w:rFonts w:hint="eastAsia"/>
                <w:sz w:val="24"/>
              </w:rPr>
              <w:t>面积约15000平方米</w:t>
            </w:r>
          </w:p>
        </w:tc>
      </w:tr>
      <w:tr w14:paraId="5187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10" w:type="dxa"/>
            <w:shd w:val="clear" w:color="auto" w:fill="auto"/>
            <w:noWrap w:val="0"/>
            <w:vAlign w:val="center"/>
          </w:tcPr>
          <w:p w14:paraId="36708CD6">
            <w:pPr>
              <w:jc w:val="center"/>
              <w:rPr>
                <w:rFonts w:hint="eastAsia"/>
                <w:sz w:val="24"/>
              </w:rPr>
            </w:pPr>
            <w:r>
              <w:rPr>
                <w:rFonts w:hint="eastAsia"/>
                <w:sz w:val="24"/>
              </w:rPr>
              <w:t>5</w:t>
            </w:r>
          </w:p>
        </w:tc>
        <w:tc>
          <w:tcPr>
            <w:tcW w:w="3017" w:type="dxa"/>
            <w:shd w:val="clear" w:color="auto" w:fill="auto"/>
            <w:noWrap w:val="0"/>
            <w:vAlign w:val="center"/>
          </w:tcPr>
          <w:p w14:paraId="6D95083A">
            <w:pPr>
              <w:jc w:val="center"/>
              <w:rPr>
                <w:rFonts w:hint="eastAsia"/>
                <w:sz w:val="24"/>
              </w:rPr>
            </w:pPr>
            <w:r>
              <w:rPr>
                <w:rFonts w:hint="eastAsia"/>
                <w:sz w:val="24"/>
              </w:rPr>
              <w:t>兴龙湖社区卫生服务中心</w:t>
            </w:r>
          </w:p>
        </w:tc>
        <w:tc>
          <w:tcPr>
            <w:tcW w:w="1843" w:type="dxa"/>
            <w:shd w:val="clear" w:color="auto" w:fill="auto"/>
            <w:noWrap w:val="0"/>
            <w:vAlign w:val="center"/>
          </w:tcPr>
          <w:p w14:paraId="2391B077">
            <w:pPr>
              <w:jc w:val="center"/>
              <w:rPr>
                <w:rFonts w:hint="eastAsia"/>
                <w:sz w:val="24"/>
              </w:rPr>
            </w:pPr>
          </w:p>
        </w:tc>
        <w:tc>
          <w:tcPr>
            <w:tcW w:w="3234" w:type="dxa"/>
            <w:shd w:val="clear" w:color="auto" w:fill="auto"/>
            <w:noWrap w:val="0"/>
            <w:vAlign w:val="center"/>
          </w:tcPr>
          <w:p w14:paraId="16287A44">
            <w:pPr>
              <w:rPr>
                <w:rFonts w:hint="eastAsia"/>
                <w:sz w:val="24"/>
              </w:rPr>
            </w:pPr>
            <w:r>
              <w:rPr>
                <w:rFonts w:hint="eastAsia"/>
                <w:sz w:val="24"/>
              </w:rPr>
              <w:t>面积约1600平方米</w:t>
            </w:r>
          </w:p>
        </w:tc>
      </w:tr>
      <w:tr w14:paraId="2AC3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0" w:type="dxa"/>
            <w:shd w:val="clear" w:color="auto" w:fill="auto"/>
            <w:noWrap w:val="0"/>
            <w:vAlign w:val="center"/>
          </w:tcPr>
          <w:p w14:paraId="1BCECA1F">
            <w:pPr>
              <w:jc w:val="center"/>
              <w:rPr>
                <w:rFonts w:hint="eastAsia"/>
                <w:sz w:val="24"/>
              </w:rPr>
            </w:pPr>
            <w:r>
              <w:rPr>
                <w:rFonts w:hint="eastAsia"/>
                <w:sz w:val="24"/>
              </w:rPr>
              <w:t>6</w:t>
            </w:r>
          </w:p>
        </w:tc>
        <w:tc>
          <w:tcPr>
            <w:tcW w:w="3017" w:type="dxa"/>
            <w:shd w:val="clear" w:color="auto" w:fill="auto"/>
            <w:noWrap w:val="0"/>
            <w:vAlign w:val="center"/>
          </w:tcPr>
          <w:p w14:paraId="78F07AF7">
            <w:pPr>
              <w:jc w:val="center"/>
              <w:rPr>
                <w:rFonts w:hint="eastAsia"/>
                <w:sz w:val="24"/>
              </w:rPr>
            </w:pPr>
            <w:r>
              <w:rPr>
                <w:rFonts w:hint="eastAsia"/>
                <w:sz w:val="24"/>
              </w:rPr>
              <w:t>保健所</w:t>
            </w:r>
          </w:p>
        </w:tc>
        <w:tc>
          <w:tcPr>
            <w:tcW w:w="1843" w:type="dxa"/>
            <w:shd w:val="clear" w:color="auto" w:fill="auto"/>
            <w:noWrap w:val="0"/>
            <w:vAlign w:val="center"/>
          </w:tcPr>
          <w:p w14:paraId="2320EF40">
            <w:pPr>
              <w:jc w:val="center"/>
              <w:rPr>
                <w:rFonts w:hint="eastAsia"/>
                <w:sz w:val="24"/>
              </w:rPr>
            </w:pPr>
          </w:p>
        </w:tc>
        <w:tc>
          <w:tcPr>
            <w:tcW w:w="3234" w:type="dxa"/>
            <w:shd w:val="clear" w:color="auto" w:fill="auto"/>
            <w:noWrap w:val="0"/>
            <w:vAlign w:val="center"/>
          </w:tcPr>
          <w:p w14:paraId="47A48A06">
            <w:pPr>
              <w:rPr>
                <w:rFonts w:hint="eastAsia"/>
                <w:sz w:val="24"/>
              </w:rPr>
            </w:pPr>
            <w:r>
              <w:rPr>
                <w:rFonts w:hint="eastAsia"/>
                <w:sz w:val="24"/>
              </w:rPr>
              <w:t>面积约1500平方米</w:t>
            </w:r>
          </w:p>
        </w:tc>
      </w:tr>
      <w:tr w14:paraId="6897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10" w:type="dxa"/>
            <w:shd w:val="clear" w:color="auto" w:fill="auto"/>
            <w:noWrap w:val="0"/>
            <w:vAlign w:val="center"/>
          </w:tcPr>
          <w:p w14:paraId="53B6BCB7">
            <w:pPr>
              <w:jc w:val="center"/>
              <w:rPr>
                <w:rFonts w:hint="eastAsia"/>
                <w:sz w:val="24"/>
              </w:rPr>
            </w:pPr>
            <w:r>
              <w:rPr>
                <w:rFonts w:hint="eastAsia"/>
                <w:sz w:val="24"/>
              </w:rPr>
              <w:t>7</w:t>
            </w:r>
          </w:p>
        </w:tc>
        <w:tc>
          <w:tcPr>
            <w:tcW w:w="3017" w:type="dxa"/>
            <w:shd w:val="clear" w:color="auto" w:fill="auto"/>
            <w:noWrap w:val="0"/>
            <w:vAlign w:val="center"/>
          </w:tcPr>
          <w:p w14:paraId="6643752D">
            <w:pPr>
              <w:jc w:val="center"/>
              <w:rPr>
                <w:rFonts w:hint="eastAsia"/>
                <w:sz w:val="24"/>
              </w:rPr>
            </w:pPr>
            <w:r>
              <w:rPr>
                <w:rFonts w:hint="eastAsia"/>
                <w:sz w:val="24"/>
              </w:rPr>
              <w:t>护理学院</w:t>
            </w:r>
          </w:p>
        </w:tc>
        <w:tc>
          <w:tcPr>
            <w:tcW w:w="1843" w:type="dxa"/>
            <w:shd w:val="clear" w:color="auto" w:fill="auto"/>
            <w:noWrap w:val="0"/>
            <w:vAlign w:val="center"/>
          </w:tcPr>
          <w:p w14:paraId="77E5B8B1">
            <w:pPr>
              <w:jc w:val="center"/>
              <w:rPr>
                <w:rFonts w:hint="eastAsia"/>
                <w:sz w:val="24"/>
              </w:rPr>
            </w:pPr>
          </w:p>
        </w:tc>
        <w:tc>
          <w:tcPr>
            <w:tcW w:w="3234" w:type="dxa"/>
            <w:shd w:val="clear" w:color="auto" w:fill="auto"/>
            <w:noWrap w:val="0"/>
            <w:vAlign w:val="center"/>
          </w:tcPr>
          <w:p w14:paraId="77BA5E91">
            <w:pPr>
              <w:rPr>
                <w:rFonts w:hint="eastAsia"/>
                <w:sz w:val="24"/>
              </w:rPr>
            </w:pPr>
            <w:r>
              <w:rPr>
                <w:rFonts w:hint="eastAsia"/>
                <w:sz w:val="24"/>
              </w:rPr>
              <w:t>面积约12000平方米</w:t>
            </w:r>
          </w:p>
        </w:tc>
      </w:tr>
      <w:tr w14:paraId="252B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670" w:type="dxa"/>
            <w:gridSpan w:val="3"/>
            <w:shd w:val="clear" w:color="auto" w:fill="auto"/>
            <w:noWrap w:val="0"/>
            <w:vAlign w:val="center"/>
          </w:tcPr>
          <w:p w14:paraId="54DD7676">
            <w:pPr>
              <w:jc w:val="center"/>
              <w:rPr>
                <w:rFonts w:hint="eastAsia" w:eastAsiaTheme="minorEastAsia"/>
                <w:sz w:val="24"/>
                <w:lang w:eastAsia="zh-CN"/>
              </w:rPr>
            </w:pPr>
            <w:r>
              <w:rPr>
                <w:rFonts w:hint="eastAsia"/>
                <w:sz w:val="24"/>
                <w:lang w:eastAsia="zh-CN"/>
              </w:rPr>
              <w:t>三年共计（元）：</w:t>
            </w:r>
            <w:bookmarkStart w:id="161" w:name="_GoBack"/>
            <w:bookmarkEnd w:id="161"/>
          </w:p>
        </w:tc>
        <w:tc>
          <w:tcPr>
            <w:tcW w:w="3234" w:type="dxa"/>
            <w:shd w:val="clear" w:color="auto" w:fill="auto"/>
            <w:noWrap w:val="0"/>
            <w:vAlign w:val="center"/>
          </w:tcPr>
          <w:p w14:paraId="3F4560AB">
            <w:pPr>
              <w:rPr>
                <w:rFonts w:hint="eastAsia"/>
                <w:sz w:val="24"/>
              </w:rPr>
            </w:pPr>
          </w:p>
        </w:tc>
      </w:tr>
    </w:tbl>
    <w:p w14:paraId="1782FC47">
      <w:pPr>
        <w:spacing w:line="360" w:lineRule="auto"/>
        <w:rPr>
          <w:rFonts w:ascii="宋体" w:hAnsi="宋体"/>
          <w:sz w:val="28"/>
          <w:szCs w:val="28"/>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报价为包干价，投标报价为包干价，包含但不限于服务费、保险费、药剂费等所有费用。</w:t>
      </w:r>
    </w:p>
    <w:p w14:paraId="1FA6AE67">
      <w:pPr>
        <w:rPr>
          <w:rFonts w:hint="eastAsia" w:ascii="宋体" w:hAnsi="宋体" w:eastAsia="宋体" w:cs="宋体"/>
          <w:b/>
          <w:color w:val="000000" w:themeColor="text1"/>
          <w:shd w:val="clear" w:color="auto" w:fill="auto"/>
          <w14:textFill>
            <w14:solidFill>
              <w14:schemeClr w14:val="tx1"/>
            </w14:solidFill>
          </w14:textFill>
        </w:rPr>
      </w:pPr>
    </w:p>
    <w:p w14:paraId="29B22094">
      <w:pPr>
        <w:rPr>
          <w:rFonts w:hint="eastAsia" w:ascii="宋体" w:hAnsi="宋体" w:eastAsia="宋体" w:cs="宋体"/>
          <w:b/>
          <w:color w:val="000000" w:themeColor="text1"/>
          <w:shd w:val="clear" w:color="auto" w:fill="auto"/>
          <w14:textFill>
            <w14:solidFill>
              <w14:schemeClr w14:val="tx1"/>
            </w14:solidFill>
          </w14:textFill>
        </w:rPr>
      </w:pPr>
    </w:p>
    <w:p w14:paraId="1CFCFB07">
      <w:pPr>
        <w:jc w:val="center"/>
        <w:rPr>
          <w:rFonts w:hint="eastAsia"/>
          <w:sz w:val="24"/>
        </w:rPr>
      </w:pPr>
      <w:r>
        <w:rPr>
          <w:rFonts w:hint="eastAsia"/>
          <w:sz w:val="24"/>
        </w:rPr>
        <w:t>报价表</w:t>
      </w:r>
    </w:p>
    <w:p w14:paraId="1D340A2A">
      <w:pPr>
        <w:jc w:val="center"/>
        <w:rPr>
          <w:rFonts w:hint="eastAsia"/>
          <w:sz w:val="24"/>
        </w:rPr>
      </w:pPr>
    </w:p>
    <w:tbl>
      <w:tblPr>
        <w:tblStyle w:val="59"/>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017"/>
        <w:gridCol w:w="1843"/>
        <w:gridCol w:w="2567"/>
      </w:tblGrid>
      <w:tr w14:paraId="3CE4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0" w:type="dxa"/>
            <w:shd w:val="clear" w:color="auto" w:fill="auto"/>
            <w:noWrap w:val="0"/>
            <w:vAlign w:val="center"/>
          </w:tcPr>
          <w:p w14:paraId="4A9F8BA9">
            <w:pPr>
              <w:jc w:val="center"/>
              <w:rPr>
                <w:rFonts w:hint="eastAsia"/>
                <w:b/>
                <w:sz w:val="24"/>
              </w:rPr>
            </w:pPr>
            <w:r>
              <w:rPr>
                <w:rFonts w:hint="eastAsia"/>
                <w:b/>
                <w:sz w:val="24"/>
              </w:rPr>
              <w:t>序号</w:t>
            </w:r>
          </w:p>
        </w:tc>
        <w:tc>
          <w:tcPr>
            <w:tcW w:w="3017" w:type="dxa"/>
            <w:shd w:val="clear" w:color="auto" w:fill="auto"/>
            <w:noWrap w:val="0"/>
            <w:vAlign w:val="center"/>
          </w:tcPr>
          <w:p w14:paraId="094346EF">
            <w:pPr>
              <w:jc w:val="center"/>
              <w:rPr>
                <w:rFonts w:hint="eastAsia"/>
                <w:b/>
                <w:sz w:val="24"/>
              </w:rPr>
            </w:pPr>
            <w:r>
              <w:rPr>
                <w:rFonts w:hint="eastAsia"/>
                <w:b/>
                <w:sz w:val="24"/>
              </w:rPr>
              <w:t>内 容</w:t>
            </w:r>
          </w:p>
        </w:tc>
        <w:tc>
          <w:tcPr>
            <w:tcW w:w="1843" w:type="dxa"/>
            <w:shd w:val="clear" w:color="auto" w:fill="auto"/>
            <w:noWrap w:val="0"/>
            <w:vAlign w:val="center"/>
          </w:tcPr>
          <w:p w14:paraId="182383CD">
            <w:pPr>
              <w:jc w:val="center"/>
              <w:rPr>
                <w:rFonts w:hint="eastAsia"/>
                <w:b/>
                <w:sz w:val="24"/>
              </w:rPr>
            </w:pPr>
            <w:r>
              <w:rPr>
                <w:rFonts w:hint="eastAsia"/>
                <w:b/>
                <w:sz w:val="24"/>
              </w:rPr>
              <w:t>价格（元/次）</w:t>
            </w:r>
          </w:p>
        </w:tc>
        <w:tc>
          <w:tcPr>
            <w:tcW w:w="2567" w:type="dxa"/>
            <w:shd w:val="clear" w:color="auto" w:fill="auto"/>
            <w:noWrap w:val="0"/>
            <w:vAlign w:val="center"/>
          </w:tcPr>
          <w:p w14:paraId="21F6322E">
            <w:pPr>
              <w:jc w:val="center"/>
              <w:rPr>
                <w:rFonts w:hint="eastAsia"/>
                <w:b/>
                <w:sz w:val="24"/>
              </w:rPr>
            </w:pPr>
            <w:r>
              <w:rPr>
                <w:rFonts w:hint="eastAsia"/>
                <w:b/>
                <w:sz w:val="24"/>
              </w:rPr>
              <w:t>备注</w:t>
            </w:r>
          </w:p>
        </w:tc>
      </w:tr>
      <w:tr w14:paraId="499C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restart"/>
            <w:shd w:val="clear" w:color="auto" w:fill="auto"/>
            <w:noWrap w:val="0"/>
            <w:vAlign w:val="center"/>
          </w:tcPr>
          <w:p w14:paraId="60F174CD">
            <w:pPr>
              <w:jc w:val="center"/>
              <w:rPr>
                <w:rFonts w:hint="eastAsia"/>
                <w:sz w:val="24"/>
              </w:rPr>
            </w:pPr>
            <w:r>
              <w:rPr>
                <w:rFonts w:hint="eastAsia"/>
                <w:sz w:val="24"/>
              </w:rPr>
              <w:t>1</w:t>
            </w:r>
          </w:p>
        </w:tc>
        <w:tc>
          <w:tcPr>
            <w:tcW w:w="3017" w:type="dxa"/>
            <w:vMerge w:val="restart"/>
            <w:shd w:val="clear" w:color="auto" w:fill="auto"/>
            <w:noWrap w:val="0"/>
            <w:vAlign w:val="center"/>
          </w:tcPr>
          <w:p w14:paraId="4AD3CA56">
            <w:pPr>
              <w:jc w:val="center"/>
              <w:rPr>
                <w:rFonts w:hint="eastAsia"/>
                <w:sz w:val="24"/>
              </w:rPr>
            </w:pPr>
            <w:r>
              <w:rPr>
                <w:rFonts w:hint="eastAsia"/>
                <w:sz w:val="24"/>
              </w:rPr>
              <w:t>萱花院区</w:t>
            </w:r>
          </w:p>
        </w:tc>
        <w:tc>
          <w:tcPr>
            <w:tcW w:w="1843" w:type="dxa"/>
            <w:shd w:val="clear" w:color="auto" w:fill="auto"/>
            <w:noWrap w:val="0"/>
            <w:vAlign w:val="center"/>
          </w:tcPr>
          <w:p w14:paraId="3E1F865F">
            <w:pPr>
              <w:jc w:val="left"/>
              <w:rPr>
                <w:rFonts w:hint="eastAsia"/>
                <w:sz w:val="24"/>
              </w:rPr>
            </w:pPr>
            <w:r>
              <w:rPr>
                <w:rFonts w:hint="eastAsia"/>
                <w:sz w:val="24"/>
              </w:rPr>
              <w:t>灭隐翅虫：</w:t>
            </w:r>
          </w:p>
        </w:tc>
        <w:tc>
          <w:tcPr>
            <w:tcW w:w="2567" w:type="dxa"/>
            <w:vMerge w:val="restart"/>
            <w:shd w:val="clear" w:color="auto" w:fill="auto"/>
            <w:noWrap w:val="0"/>
            <w:vAlign w:val="center"/>
          </w:tcPr>
          <w:p w14:paraId="44141209">
            <w:pPr>
              <w:rPr>
                <w:rFonts w:hint="eastAsia"/>
                <w:sz w:val="24"/>
              </w:rPr>
            </w:pPr>
            <w:r>
              <w:rPr>
                <w:rFonts w:hint="eastAsia"/>
                <w:sz w:val="24"/>
              </w:rPr>
              <w:t>面积约110000平方米</w:t>
            </w:r>
          </w:p>
        </w:tc>
      </w:tr>
      <w:tr w14:paraId="5665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continue"/>
            <w:shd w:val="clear" w:color="auto" w:fill="auto"/>
            <w:noWrap w:val="0"/>
            <w:vAlign w:val="center"/>
          </w:tcPr>
          <w:p w14:paraId="4BF49B11">
            <w:pPr>
              <w:jc w:val="center"/>
              <w:rPr>
                <w:rFonts w:hint="eastAsia"/>
                <w:sz w:val="24"/>
              </w:rPr>
            </w:pPr>
          </w:p>
        </w:tc>
        <w:tc>
          <w:tcPr>
            <w:tcW w:w="3017" w:type="dxa"/>
            <w:vMerge w:val="continue"/>
            <w:shd w:val="clear" w:color="auto" w:fill="auto"/>
            <w:noWrap w:val="0"/>
            <w:vAlign w:val="center"/>
          </w:tcPr>
          <w:p w14:paraId="183B0E22">
            <w:pPr>
              <w:jc w:val="center"/>
              <w:rPr>
                <w:rFonts w:hint="eastAsia"/>
                <w:sz w:val="24"/>
              </w:rPr>
            </w:pPr>
          </w:p>
        </w:tc>
        <w:tc>
          <w:tcPr>
            <w:tcW w:w="1843" w:type="dxa"/>
            <w:shd w:val="clear" w:color="auto" w:fill="auto"/>
            <w:noWrap w:val="0"/>
            <w:vAlign w:val="center"/>
          </w:tcPr>
          <w:p w14:paraId="527CB7AF">
            <w:pPr>
              <w:jc w:val="left"/>
              <w:rPr>
                <w:rFonts w:hint="eastAsia"/>
                <w:sz w:val="24"/>
              </w:rPr>
            </w:pPr>
            <w:r>
              <w:rPr>
                <w:rFonts w:hint="eastAsia"/>
                <w:sz w:val="24"/>
              </w:rPr>
              <w:t>灭红火蚁：</w:t>
            </w:r>
          </w:p>
        </w:tc>
        <w:tc>
          <w:tcPr>
            <w:tcW w:w="2567" w:type="dxa"/>
            <w:vMerge w:val="continue"/>
            <w:shd w:val="clear" w:color="auto" w:fill="auto"/>
            <w:noWrap w:val="0"/>
            <w:vAlign w:val="center"/>
          </w:tcPr>
          <w:p w14:paraId="537BC63E">
            <w:pPr>
              <w:rPr>
                <w:rFonts w:hint="eastAsia"/>
                <w:sz w:val="24"/>
              </w:rPr>
            </w:pPr>
          </w:p>
        </w:tc>
      </w:tr>
      <w:tr w14:paraId="27C5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restart"/>
            <w:shd w:val="clear" w:color="auto" w:fill="auto"/>
            <w:noWrap w:val="0"/>
            <w:vAlign w:val="center"/>
          </w:tcPr>
          <w:p w14:paraId="6D52A739">
            <w:pPr>
              <w:jc w:val="center"/>
              <w:rPr>
                <w:rFonts w:hint="eastAsia"/>
                <w:sz w:val="24"/>
              </w:rPr>
            </w:pPr>
            <w:r>
              <w:rPr>
                <w:rFonts w:hint="eastAsia"/>
                <w:sz w:val="24"/>
              </w:rPr>
              <w:t>2</w:t>
            </w:r>
          </w:p>
        </w:tc>
        <w:tc>
          <w:tcPr>
            <w:tcW w:w="3017" w:type="dxa"/>
            <w:vMerge w:val="restart"/>
            <w:shd w:val="clear" w:color="auto" w:fill="auto"/>
            <w:noWrap w:val="0"/>
            <w:vAlign w:val="center"/>
          </w:tcPr>
          <w:p w14:paraId="548446DE">
            <w:pPr>
              <w:jc w:val="center"/>
              <w:rPr>
                <w:rFonts w:hint="eastAsia"/>
                <w:sz w:val="24"/>
              </w:rPr>
            </w:pPr>
            <w:r>
              <w:rPr>
                <w:rFonts w:hint="eastAsia"/>
                <w:sz w:val="24"/>
              </w:rPr>
              <w:t>大安院区</w:t>
            </w:r>
          </w:p>
        </w:tc>
        <w:tc>
          <w:tcPr>
            <w:tcW w:w="1843" w:type="dxa"/>
            <w:shd w:val="clear" w:color="auto" w:fill="auto"/>
            <w:noWrap w:val="0"/>
            <w:vAlign w:val="center"/>
          </w:tcPr>
          <w:p w14:paraId="1BB9C6B4">
            <w:pPr>
              <w:jc w:val="left"/>
              <w:rPr>
                <w:rFonts w:hint="eastAsia"/>
                <w:sz w:val="24"/>
              </w:rPr>
            </w:pPr>
            <w:r>
              <w:rPr>
                <w:rFonts w:hint="eastAsia"/>
                <w:sz w:val="24"/>
              </w:rPr>
              <w:t>灭隐翅虫：</w:t>
            </w:r>
          </w:p>
        </w:tc>
        <w:tc>
          <w:tcPr>
            <w:tcW w:w="2567" w:type="dxa"/>
            <w:vMerge w:val="restart"/>
            <w:shd w:val="clear" w:color="auto" w:fill="auto"/>
            <w:noWrap w:val="0"/>
            <w:vAlign w:val="center"/>
          </w:tcPr>
          <w:p w14:paraId="451FCE52">
            <w:pPr>
              <w:rPr>
                <w:rFonts w:hint="eastAsia"/>
                <w:sz w:val="24"/>
              </w:rPr>
            </w:pPr>
            <w:r>
              <w:rPr>
                <w:rFonts w:hint="eastAsia"/>
                <w:sz w:val="24"/>
              </w:rPr>
              <w:t>面积约52300平方米</w:t>
            </w:r>
          </w:p>
        </w:tc>
      </w:tr>
      <w:tr w14:paraId="7ED3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continue"/>
            <w:shd w:val="clear" w:color="auto" w:fill="auto"/>
            <w:noWrap w:val="0"/>
            <w:vAlign w:val="center"/>
          </w:tcPr>
          <w:p w14:paraId="07DCF56C">
            <w:pPr>
              <w:jc w:val="center"/>
              <w:rPr>
                <w:rFonts w:hint="eastAsia"/>
                <w:sz w:val="24"/>
              </w:rPr>
            </w:pPr>
          </w:p>
        </w:tc>
        <w:tc>
          <w:tcPr>
            <w:tcW w:w="3017" w:type="dxa"/>
            <w:vMerge w:val="continue"/>
            <w:shd w:val="clear" w:color="auto" w:fill="auto"/>
            <w:noWrap w:val="0"/>
            <w:vAlign w:val="center"/>
          </w:tcPr>
          <w:p w14:paraId="6C2B20A1">
            <w:pPr>
              <w:jc w:val="center"/>
              <w:rPr>
                <w:rFonts w:hint="eastAsia"/>
                <w:sz w:val="24"/>
              </w:rPr>
            </w:pPr>
          </w:p>
        </w:tc>
        <w:tc>
          <w:tcPr>
            <w:tcW w:w="1843" w:type="dxa"/>
            <w:shd w:val="clear" w:color="auto" w:fill="auto"/>
            <w:noWrap w:val="0"/>
            <w:vAlign w:val="center"/>
          </w:tcPr>
          <w:p w14:paraId="5A4332A5">
            <w:pPr>
              <w:jc w:val="left"/>
              <w:rPr>
                <w:rFonts w:hint="eastAsia"/>
                <w:sz w:val="24"/>
              </w:rPr>
            </w:pPr>
            <w:r>
              <w:rPr>
                <w:rFonts w:hint="eastAsia"/>
                <w:sz w:val="24"/>
              </w:rPr>
              <w:t>灭红火蚁：</w:t>
            </w:r>
          </w:p>
        </w:tc>
        <w:tc>
          <w:tcPr>
            <w:tcW w:w="2567" w:type="dxa"/>
            <w:vMerge w:val="continue"/>
            <w:shd w:val="clear" w:color="auto" w:fill="auto"/>
            <w:noWrap w:val="0"/>
            <w:vAlign w:val="center"/>
          </w:tcPr>
          <w:p w14:paraId="0057474D">
            <w:pPr>
              <w:rPr>
                <w:rFonts w:hint="eastAsia"/>
                <w:sz w:val="24"/>
              </w:rPr>
            </w:pPr>
          </w:p>
        </w:tc>
      </w:tr>
      <w:tr w14:paraId="0C54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10" w:type="dxa"/>
            <w:vMerge w:val="restart"/>
            <w:shd w:val="clear" w:color="auto" w:fill="auto"/>
            <w:noWrap w:val="0"/>
            <w:vAlign w:val="center"/>
          </w:tcPr>
          <w:p w14:paraId="38B70F3D">
            <w:pPr>
              <w:jc w:val="center"/>
              <w:rPr>
                <w:rFonts w:hint="eastAsia"/>
                <w:sz w:val="24"/>
              </w:rPr>
            </w:pPr>
            <w:r>
              <w:rPr>
                <w:rFonts w:hint="eastAsia"/>
                <w:sz w:val="24"/>
              </w:rPr>
              <w:t>3</w:t>
            </w:r>
          </w:p>
        </w:tc>
        <w:tc>
          <w:tcPr>
            <w:tcW w:w="3017" w:type="dxa"/>
            <w:vMerge w:val="restart"/>
            <w:shd w:val="clear" w:color="auto" w:fill="auto"/>
            <w:noWrap w:val="0"/>
            <w:vAlign w:val="center"/>
          </w:tcPr>
          <w:p w14:paraId="390A60EE">
            <w:pPr>
              <w:jc w:val="center"/>
              <w:rPr>
                <w:rFonts w:hint="eastAsia"/>
                <w:sz w:val="24"/>
              </w:rPr>
            </w:pPr>
            <w:r>
              <w:rPr>
                <w:rFonts w:hint="eastAsia"/>
                <w:sz w:val="24"/>
              </w:rPr>
              <w:t>红河院区</w:t>
            </w:r>
          </w:p>
        </w:tc>
        <w:tc>
          <w:tcPr>
            <w:tcW w:w="1843" w:type="dxa"/>
            <w:shd w:val="clear" w:color="auto" w:fill="auto"/>
            <w:noWrap w:val="0"/>
            <w:vAlign w:val="center"/>
          </w:tcPr>
          <w:p w14:paraId="65138D36">
            <w:pPr>
              <w:jc w:val="left"/>
              <w:rPr>
                <w:rFonts w:hint="eastAsia"/>
                <w:sz w:val="24"/>
              </w:rPr>
            </w:pPr>
            <w:r>
              <w:rPr>
                <w:rFonts w:hint="eastAsia"/>
                <w:sz w:val="24"/>
              </w:rPr>
              <w:t>灭隐翅虫：</w:t>
            </w:r>
          </w:p>
        </w:tc>
        <w:tc>
          <w:tcPr>
            <w:tcW w:w="2567" w:type="dxa"/>
            <w:vMerge w:val="restart"/>
            <w:shd w:val="clear" w:color="auto" w:fill="auto"/>
            <w:noWrap w:val="0"/>
            <w:vAlign w:val="center"/>
          </w:tcPr>
          <w:p w14:paraId="2BE87E22">
            <w:pPr>
              <w:rPr>
                <w:rFonts w:hint="eastAsia"/>
                <w:sz w:val="24"/>
              </w:rPr>
            </w:pPr>
            <w:r>
              <w:rPr>
                <w:rFonts w:hint="eastAsia"/>
                <w:sz w:val="24"/>
              </w:rPr>
              <w:t>面积约5000平方米</w:t>
            </w:r>
          </w:p>
        </w:tc>
      </w:tr>
      <w:tr w14:paraId="0C77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10" w:type="dxa"/>
            <w:vMerge w:val="continue"/>
            <w:shd w:val="clear" w:color="auto" w:fill="auto"/>
            <w:noWrap w:val="0"/>
            <w:vAlign w:val="center"/>
          </w:tcPr>
          <w:p w14:paraId="1392791D">
            <w:pPr>
              <w:jc w:val="center"/>
              <w:rPr>
                <w:rFonts w:hint="eastAsia"/>
                <w:sz w:val="24"/>
              </w:rPr>
            </w:pPr>
          </w:p>
        </w:tc>
        <w:tc>
          <w:tcPr>
            <w:tcW w:w="3017" w:type="dxa"/>
            <w:vMerge w:val="continue"/>
            <w:shd w:val="clear" w:color="auto" w:fill="auto"/>
            <w:noWrap w:val="0"/>
            <w:vAlign w:val="center"/>
          </w:tcPr>
          <w:p w14:paraId="2F350DDA">
            <w:pPr>
              <w:jc w:val="center"/>
              <w:rPr>
                <w:rFonts w:hint="eastAsia"/>
                <w:sz w:val="24"/>
              </w:rPr>
            </w:pPr>
          </w:p>
        </w:tc>
        <w:tc>
          <w:tcPr>
            <w:tcW w:w="1843" w:type="dxa"/>
            <w:shd w:val="clear" w:color="auto" w:fill="auto"/>
            <w:noWrap w:val="0"/>
            <w:vAlign w:val="center"/>
          </w:tcPr>
          <w:p w14:paraId="2BBC5947">
            <w:pPr>
              <w:jc w:val="left"/>
              <w:rPr>
                <w:rFonts w:hint="eastAsia"/>
                <w:sz w:val="24"/>
              </w:rPr>
            </w:pPr>
            <w:r>
              <w:rPr>
                <w:rFonts w:hint="eastAsia"/>
                <w:sz w:val="24"/>
              </w:rPr>
              <w:t>灭红火蚁：</w:t>
            </w:r>
          </w:p>
        </w:tc>
        <w:tc>
          <w:tcPr>
            <w:tcW w:w="2567" w:type="dxa"/>
            <w:vMerge w:val="continue"/>
            <w:shd w:val="clear" w:color="auto" w:fill="auto"/>
            <w:noWrap w:val="0"/>
            <w:vAlign w:val="center"/>
          </w:tcPr>
          <w:p w14:paraId="507AE6F6">
            <w:pPr>
              <w:rPr>
                <w:rFonts w:hint="eastAsia"/>
                <w:sz w:val="24"/>
              </w:rPr>
            </w:pPr>
          </w:p>
        </w:tc>
      </w:tr>
      <w:tr w14:paraId="1E5B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10" w:type="dxa"/>
            <w:vMerge w:val="restart"/>
            <w:shd w:val="clear" w:color="auto" w:fill="auto"/>
            <w:noWrap w:val="0"/>
            <w:vAlign w:val="center"/>
          </w:tcPr>
          <w:p w14:paraId="66955B54">
            <w:pPr>
              <w:jc w:val="center"/>
              <w:rPr>
                <w:rFonts w:hint="eastAsia"/>
                <w:sz w:val="24"/>
              </w:rPr>
            </w:pPr>
            <w:r>
              <w:rPr>
                <w:rFonts w:hint="eastAsia"/>
                <w:sz w:val="24"/>
              </w:rPr>
              <w:t>4</w:t>
            </w:r>
          </w:p>
        </w:tc>
        <w:tc>
          <w:tcPr>
            <w:tcW w:w="3017" w:type="dxa"/>
            <w:vMerge w:val="restart"/>
            <w:shd w:val="clear" w:color="auto" w:fill="auto"/>
            <w:noWrap w:val="0"/>
            <w:vAlign w:val="center"/>
          </w:tcPr>
          <w:p w14:paraId="5B999DC5">
            <w:pPr>
              <w:jc w:val="center"/>
              <w:rPr>
                <w:rFonts w:hint="eastAsia"/>
                <w:sz w:val="24"/>
              </w:rPr>
            </w:pPr>
            <w:r>
              <w:rPr>
                <w:rFonts w:hint="eastAsia"/>
                <w:sz w:val="24"/>
              </w:rPr>
              <w:t>兴龙湖院区教学部</w:t>
            </w:r>
          </w:p>
        </w:tc>
        <w:tc>
          <w:tcPr>
            <w:tcW w:w="1843" w:type="dxa"/>
            <w:shd w:val="clear" w:color="auto" w:fill="auto"/>
            <w:noWrap w:val="0"/>
            <w:vAlign w:val="center"/>
          </w:tcPr>
          <w:p w14:paraId="737E99A1">
            <w:pPr>
              <w:jc w:val="left"/>
              <w:rPr>
                <w:rFonts w:hint="eastAsia"/>
                <w:sz w:val="24"/>
              </w:rPr>
            </w:pPr>
            <w:r>
              <w:rPr>
                <w:rFonts w:hint="eastAsia"/>
                <w:sz w:val="24"/>
              </w:rPr>
              <w:t>灭隐翅虫：</w:t>
            </w:r>
          </w:p>
        </w:tc>
        <w:tc>
          <w:tcPr>
            <w:tcW w:w="2567" w:type="dxa"/>
            <w:vMerge w:val="restart"/>
            <w:shd w:val="clear" w:color="auto" w:fill="auto"/>
            <w:noWrap w:val="0"/>
            <w:vAlign w:val="center"/>
          </w:tcPr>
          <w:p w14:paraId="4B2831B1">
            <w:pPr>
              <w:rPr>
                <w:rFonts w:hint="eastAsia"/>
                <w:sz w:val="24"/>
              </w:rPr>
            </w:pPr>
            <w:r>
              <w:rPr>
                <w:rFonts w:hint="eastAsia"/>
                <w:sz w:val="24"/>
              </w:rPr>
              <w:t>面积约15000平方米</w:t>
            </w:r>
          </w:p>
        </w:tc>
      </w:tr>
      <w:tr w14:paraId="784A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10" w:type="dxa"/>
            <w:vMerge w:val="continue"/>
            <w:shd w:val="clear" w:color="auto" w:fill="auto"/>
            <w:noWrap w:val="0"/>
            <w:vAlign w:val="center"/>
          </w:tcPr>
          <w:p w14:paraId="77A63584">
            <w:pPr>
              <w:jc w:val="center"/>
              <w:rPr>
                <w:rFonts w:hint="eastAsia"/>
                <w:sz w:val="24"/>
              </w:rPr>
            </w:pPr>
          </w:p>
        </w:tc>
        <w:tc>
          <w:tcPr>
            <w:tcW w:w="3017" w:type="dxa"/>
            <w:vMerge w:val="continue"/>
            <w:shd w:val="clear" w:color="auto" w:fill="auto"/>
            <w:noWrap w:val="0"/>
            <w:vAlign w:val="center"/>
          </w:tcPr>
          <w:p w14:paraId="776C86E1">
            <w:pPr>
              <w:jc w:val="center"/>
              <w:rPr>
                <w:rFonts w:hint="eastAsia"/>
                <w:sz w:val="24"/>
              </w:rPr>
            </w:pPr>
          </w:p>
        </w:tc>
        <w:tc>
          <w:tcPr>
            <w:tcW w:w="1843" w:type="dxa"/>
            <w:shd w:val="clear" w:color="auto" w:fill="auto"/>
            <w:noWrap w:val="0"/>
            <w:vAlign w:val="center"/>
          </w:tcPr>
          <w:p w14:paraId="450DFB52">
            <w:pPr>
              <w:jc w:val="left"/>
              <w:rPr>
                <w:rFonts w:hint="eastAsia"/>
                <w:sz w:val="24"/>
              </w:rPr>
            </w:pPr>
            <w:r>
              <w:rPr>
                <w:rFonts w:hint="eastAsia"/>
                <w:sz w:val="24"/>
              </w:rPr>
              <w:t>灭红火蚁：</w:t>
            </w:r>
          </w:p>
        </w:tc>
        <w:tc>
          <w:tcPr>
            <w:tcW w:w="2567" w:type="dxa"/>
            <w:vMerge w:val="continue"/>
            <w:shd w:val="clear" w:color="auto" w:fill="auto"/>
            <w:noWrap w:val="0"/>
            <w:vAlign w:val="center"/>
          </w:tcPr>
          <w:p w14:paraId="0CF99399">
            <w:pPr>
              <w:rPr>
                <w:rFonts w:hint="eastAsia"/>
                <w:sz w:val="24"/>
              </w:rPr>
            </w:pPr>
          </w:p>
        </w:tc>
      </w:tr>
      <w:tr w14:paraId="409F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810" w:type="dxa"/>
            <w:vMerge w:val="restart"/>
            <w:shd w:val="clear" w:color="auto" w:fill="auto"/>
            <w:noWrap w:val="0"/>
            <w:vAlign w:val="center"/>
          </w:tcPr>
          <w:p w14:paraId="6115580D">
            <w:pPr>
              <w:jc w:val="center"/>
              <w:rPr>
                <w:rFonts w:hint="eastAsia"/>
                <w:sz w:val="24"/>
              </w:rPr>
            </w:pPr>
            <w:r>
              <w:rPr>
                <w:rFonts w:hint="eastAsia"/>
                <w:sz w:val="24"/>
              </w:rPr>
              <w:t>5</w:t>
            </w:r>
          </w:p>
        </w:tc>
        <w:tc>
          <w:tcPr>
            <w:tcW w:w="3017" w:type="dxa"/>
            <w:vMerge w:val="restart"/>
            <w:shd w:val="clear" w:color="auto" w:fill="auto"/>
            <w:noWrap w:val="0"/>
            <w:vAlign w:val="center"/>
          </w:tcPr>
          <w:p w14:paraId="595B5BF6">
            <w:pPr>
              <w:jc w:val="center"/>
              <w:rPr>
                <w:rFonts w:hint="eastAsia"/>
                <w:sz w:val="24"/>
              </w:rPr>
            </w:pPr>
            <w:r>
              <w:rPr>
                <w:rFonts w:hint="eastAsia"/>
                <w:sz w:val="24"/>
              </w:rPr>
              <w:t>兴龙湖社区卫生服务中心</w:t>
            </w:r>
          </w:p>
        </w:tc>
        <w:tc>
          <w:tcPr>
            <w:tcW w:w="1843" w:type="dxa"/>
            <w:shd w:val="clear" w:color="auto" w:fill="auto"/>
            <w:noWrap w:val="0"/>
            <w:vAlign w:val="center"/>
          </w:tcPr>
          <w:p w14:paraId="610262F3">
            <w:pPr>
              <w:jc w:val="left"/>
              <w:rPr>
                <w:rFonts w:hint="eastAsia"/>
                <w:sz w:val="24"/>
              </w:rPr>
            </w:pPr>
            <w:r>
              <w:rPr>
                <w:rFonts w:hint="eastAsia"/>
                <w:sz w:val="24"/>
              </w:rPr>
              <w:t>灭隐翅虫：</w:t>
            </w:r>
          </w:p>
        </w:tc>
        <w:tc>
          <w:tcPr>
            <w:tcW w:w="2567" w:type="dxa"/>
            <w:vMerge w:val="restart"/>
            <w:shd w:val="clear" w:color="auto" w:fill="auto"/>
            <w:noWrap w:val="0"/>
            <w:vAlign w:val="center"/>
          </w:tcPr>
          <w:p w14:paraId="6D8C9942">
            <w:pPr>
              <w:rPr>
                <w:rFonts w:hint="eastAsia"/>
                <w:sz w:val="24"/>
              </w:rPr>
            </w:pPr>
            <w:r>
              <w:rPr>
                <w:rFonts w:hint="eastAsia"/>
                <w:sz w:val="24"/>
              </w:rPr>
              <w:t>面积约1600平方米</w:t>
            </w:r>
          </w:p>
        </w:tc>
      </w:tr>
      <w:tr w14:paraId="0DBC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10" w:type="dxa"/>
            <w:vMerge w:val="continue"/>
            <w:shd w:val="clear" w:color="auto" w:fill="auto"/>
            <w:noWrap w:val="0"/>
            <w:vAlign w:val="center"/>
          </w:tcPr>
          <w:p w14:paraId="609C84AA">
            <w:pPr>
              <w:jc w:val="center"/>
              <w:rPr>
                <w:rFonts w:hint="eastAsia"/>
                <w:sz w:val="24"/>
              </w:rPr>
            </w:pPr>
          </w:p>
        </w:tc>
        <w:tc>
          <w:tcPr>
            <w:tcW w:w="3017" w:type="dxa"/>
            <w:vMerge w:val="continue"/>
            <w:shd w:val="clear" w:color="auto" w:fill="auto"/>
            <w:noWrap w:val="0"/>
            <w:vAlign w:val="center"/>
          </w:tcPr>
          <w:p w14:paraId="37CE46DB">
            <w:pPr>
              <w:jc w:val="center"/>
              <w:rPr>
                <w:rFonts w:hint="eastAsia"/>
                <w:sz w:val="24"/>
              </w:rPr>
            </w:pPr>
          </w:p>
        </w:tc>
        <w:tc>
          <w:tcPr>
            <w:tcW w:w="1843" w:type="dxa"/>
            <w:shd w:val="clear" w:color="auto" w:fill="auto"/>
            <w:noWrap w:val="0"/>
            <w:vAlign w:val="center"/>
          </w:tcPr>
          <w:p w14:paraId="32DA5EE3">
            <w:pPr>
              <w:jc w:val="left"/>
              <w:rPr>
                <w:rFonts w:hint="eastAsia"/>
                <w:sz w:val="24"/>
              </w:rPr>
            </w:pPr>
            <w:r>
              <w:rPr>
                <w:rFonts w:hint="eastAsia"/>
                <w:sz w:val="24"/>
              </w:rPr>
              <w:t>灭红火蚁：</w:t>
            </w:r>
          </w:p>
        </w:tc>
        <w:tc>
          <w:tcPr>
            <w:tcW w:w="2567" w:type="dxa"/>
            <w:vMerge w:val="continue"/>
            <w:shd w:val="clear" w:color="auto" w:fill="auto"/>
            <w:noWrap w:val="0"/>
            <w:vAlign w:val="center"/>
          </w:tcPr>
          <w:p w14:paraId="77FE8FAF">
            <w:pPr>
              <w:rPr>
                <w:rFonts w:hint="eastAsia"/>
                <w:sz w:val="24"/>
              </w:rPr>
            </w:pPr>
          </w:p>
        </w:tc>
      </w:tr>
      <w:tr w14:paraId="38D2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restart"/>
            <w:shd w:val="clear" w:color="auto" w:fill="auto"/>
            <w:noWrap w:val="0"/>
            <w:vAlign w:val="center"/>
          </w:tcPr>
          <w:p w14:paraId="1B157BBF">
            <w:pPr>
              <w:jc w:val="center"/>
              <w:rPr>
                <w:rFonts w:hint="eastAsia"/>
                <w:sz w:val="24"/>
              </w:rPr>
            </w:pPr>
            <w:r>
              <w:rPr>
                <w:rFonts w:hint="eastAsia"/>
                <w:sz w:val="24"/>
              </w:rPr>
              <w:t>6</w:t>
            </w:r>
          </w:p>
        </w:tc>
        <w:tc>
          <w:tcPr>
            <w:tcW w:w="3017" w:type="dxa"/>
            <w:vMerge w:val="restart"/>
            <w:shd w:val="clear" w:color="auto" w:fill="auto"/>
            <w:noWrap w:val="0"/>
            <w:vAlign w:val="center"/>
          </w:tcPr>
          <w:p w14:paraId="331FBAB3">
            <w:pPr>
              <w:jc w:val="center"/>
              <w:rPr>
                <w:rFonts w:hint="eastAsia"/>
                <w:sz w:val="24"/>
              </w:rPr>
            </w:pPr>
            <w:r>
              <w:rPr>
                <w:rFonts w:hint="eastAsia"/>
                <w:sz w:val="24"/>
              </w:rPr>
              <w:t>保健所</w:t>
            </w:r>
          </w:p>
        </w:tc>
        <w:tc>
          <w:tcPr>
            <w:tcW w:w="1843" w:type="dxa"/>
            <w:shd w:val="clear" w:color="auto" w:fill="auto"/>
            <w:noWrap w:val="0"/>
            <w:vAlign w:val="center"/>
          </w:tcPr>
          <w:p w14:paraId="5EF9CE8D">
            <w:pPr>
              <w:jc w:val="left"/>
              <w:rPr>
                <w:rFonts w:hint="eastAsia"/>
                <w:sz w:val="24"/>
              </w:rPr>
            </w:pPr>
            <w:r>
              <w:rPr>
                <w:rFonts w:hint="eastAsia"/>
                <w:sz w:val="24"/>
              </w:rPr>
              <w:t>灭隐翅虫：</w:t>
            </w:r>
          </w:p>
        </w:tc>
        <w:tc>
          <w:tcPr>
            <w:tcW w:w="2567" w:type="dxa"/>
            <w:vMerge w:val="restart"/>
            <w:shd w:val="clear" w:color="auto" w:fill="auto"/>
            <w:noWrap w:val="0"/>
            <w:vAlign w:val="center"/>
          </w:tcPr>
          <w:p w14:paraId="1A9571D9">
            <w:pPr>
              <w:rPr>
                <w:rFonts w:hint="eastAsia"/>
                <w:sz w:val="24"/>
              </w:rPr>
            </w:pPr>
            <w:r>
              <w:rPr>
                <w:rFonts w:hint="eastAsia"/>
                <w:sz w:val="24"/>
              </w:rPr>
              <w:t>面积约1500平方米</w:t>
            </w:r>
          </w:p>
        </w:tc>
      </w:tr>
      <w:tr w14:paraId="3D76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continue"/>
            <w:shd w:val="clear" w:color="auto" w:fill="auto"/>
            <w:noWrap w:val="0"/>
            <w:vAlign w:val="center"/>
          </w:tcPr>
          <w:p w14:paraId="01B591CD">
            <w:pPr>
              <w:jc w:val="center"/>
              <w:rPr>
                <w:rFonts w:hint="eastAsia"/>
                <w:sz w:val="24"/>
              </w:rPr>
            </w:pPr>
          </w:p>
        </w:tc>
        <w:tc>
          <w:tcPr>
            <w:tcW w:w="3017" w:type="dxa"/>
            <w:vMerge w:val="continue"/>
            <w:shd w:val="clear" w:color="auto" w:fill="auto"/>
            <w:noWrap w:val="0"/>
            <w:vAlign w:val="center"/>
          </w:tcPr>
          <w:p w14:paraId="39FB22D5">
            <w:pPr>
              <w:jc w:val="center"/>
              <w:rPr>
                <w:rFonts w:hint="eastAsia"/>
                <w:sz w:val="24"/>
              </w:rPr>
            </w:pPr>
          </w:p>
        </w:tc>
        <w:tc>
          <w:tcPr>
            <w:tcW w:w="1843" w:type="dxa"/>
            <w:shd w:val="clear" w:color="auto" w:fill="auto"/>
            <w:noWrap w:val="0"/>
            <w:vAlign w:val="center"/>
          </w:tcPr>
          <w:p w14:paraId="1AECA91D">
            <w:pPr>
              <w:jc w:val="left"/>
              <w:rPr>
                <w:rFonts w:hint="eastAsia"/>
                <w:sz w:val="24"/>
              </w:rPr>
            </w:pPr>
            <w:r>
              <w:rPr>
                <w:rFonts w:hint="eastAsia"/>
                <w:sz w:val="24"/>
              </w:rPr>
              <w:t>灭红火蚁：</w:t>
            </w:r>
          </w:p>
        </w:tc>
        <w:tc>
          <w:tcPr>
            <w:tcW w:w="2567" w:type="dxa"/>
            <w:vMerge w:val="continue"/>
            <w:shd w:val="clear" w:color="auto" w:fill="auto"/>
            <w:noWrap w:val="0"/>
            <w:vAlign w:val="center"/>
          </w:tcPr>
          <w:p w14:paraId="35356793">
            <w:pPr>
              <w:rPr>
                <w:rFonts w:hint="eastAsia"/>
                <w:sz w:val="24"/>
              </w:rPr>
            </w:pPr>
          </w:p>
        </w:tc>
      </w:tr>
      <w:tr w14:paraId="1B8A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10" w:type="dxa"/>
            <w:vMerge w:val="restart"/>
            <w:shd w:val="clear" w:color="auto" w:fill="auto"/>
            <w:noWrap w:val="0"/>
            <w:vAlign w:val="center"/>
          </w:tcPr>
          <w:p w14:paraId="35466983">
            <w:pPr>
              <w:jc w:val="center"/>
              <w:rPr>
                <w:rFonts w:hint="eastAsia"/>
                <w:sz w:val="24"/>
              </w:rPr>
            </w:pPr>
            <w:r>
              <w:rPr>
                <w:rFonts w:hint="eastAsia"/>
                <w:sz w:val="24"/>
              </w:rPr>
              <w:t>7</w:t>
            </w:r>
          </w:p>
        </w:tc>
        <w:tc>
          <w:tcPr>
            <w:tcW w:w="3017" w:type="dxa"/>
            <w:vMerge w:val="restart"/>
            <w:shd w:val="clear" w:color="auto" w:fill="auto"/>
            <w:noWrap w:val="0"/>
            <w:vAlign w:val="center"/>
          </w:tcPr>
          <w:p w14:paraId="07ECB25E">
            <w:pPr>
              <w:jc w:val="center"/>
              <w:rPr>
                <w:rFonts w:hint="eastAsia"/>
                <w:sz w:val="24"/>
              </w:rPr>
            </w:pPr>
            <w:r>
              <w:rPr>
                <w:rFonts w:hint="eastAsia"/>
                <w:sz w:val="24"/>
              </w:rPr>
              <w:t>护理学院</w:t>
            </w:r>
          </w:p>
        </w:tc>
        <w:tc>
          <w:tcPr>
            <w:tcW w:w="1843" w:type="dxa"/>
            <w:shd w:val="clear" w:color="auto" w:fill="auto"/>
            <w:noWrap w:val="0"/>
            <w:vAlign w:val="center"/>
          </w:tcPr>
          <w:p w14:paraId="090C5329">
            <w:pPr>
              <w:jc w:val="left"/>
              <w:rPr>
                <w:rFonts w:hint="eastAsia"/>
                <w:sz w:val="24"/>
              </w:rPr>
            </w:pPr>
            <w:r>
              <w:rPr>
                <w:rFonts w:hint="eastAsia"/>
                <w:sz w:val="24"/>
              </w:rPr>
              <w:t>灭隐翅虫：</w:t>
            </w:r>
          </w:p>
        </w:tc>
        <w:tc>
          <w:tcPr>
            <w:tcW w:w="2567" w:type="dxa"/>
            <w:vMerge w:val="restart"/>
            <w:shd w:val="clear" w:color="auto" w:fill="auto"/>
            <w:noWrap w:val="0"/>
            <w:vAlign w:val="center"/>
          </w:tcPr>
          <w:p w14:paraId="4085D6ED">
            <w:pPr>
              <w:rPr>
                <w:rFonts w:hint="eastAsia"/>
                <w:sz w:val="24"/>
              </w:rPr>
            </w:pPr>
            <w:r>
              <w:rPr>
                <w:rFonts w:hint="eastAsia"/>
                <w:sz w:val="24"/>
              </w:rPr>
              <w:t>面积约12000平方米</w:t>
            </w:r>
          </w:p>
        </w:tc>
      </w:tr>
      <w:tr w14:paraId="6F9A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10" w:type="dxa"/>
            <w:vMerge w:val="continue"/>
            <w:shd w:val="clear" w:color="auto" w:fill="auto"/>
            <w:noWrap w:val="0"/>
            <w:vAlign w:val="center"/>
          </w:tcPr>
          <w:p w14:paraId="62C74C69">
            <w:pPr>
              <w:jc w:val="center"/>
              <w:rPr>
                <w:rFonts w:hint="eastAsia"/>
                <w:sz w:val="24"/>
              </w:rPr>
            </w:pPr>
          </w:p>
        </w:tc>
        <w:tc>
          <w:tcPr>
            <w:tcW w:w="3017" w:type="dxa"/>
            <w:vMerge w:val="continue"/>
            <w:shd w:val="clear" w:color="auto" w:fill="auto"/>
            <w:noWrap w:val="0"/>
            <w:vAlign w:val="center"/>
          </w:tcPr>
          <w:p w14:paraId="57A22EA1">
            <w:pPr>
              <w:jc w:val="center"/>
              <w:rPr>
                <w:rFonts w:hint="eastAsia"/>
                <w:sz w:val="24"/>
              </w:rPr>
            </w:pPr>
          </w:p>
        </w:tc>
        <w:tc>
          <w:tcPr>
            <w:tcW w:w="1843" w:type="dxa"/>
            <w:shd w:val="clear" w:color="auto" w:fill="auto"/>
            <w:noWrap w:val="0"/>
            <w:vAlign w:val="center"/>
          </w:tcPr>
          <w:p w14:paraId="5A9CB332">
            <w:pPr>
              <w:jc w:val="left"/>
              <w:rPr>
                <w:rFonts w:hint="eastAsia"/>
                <w:sz w:val="24"/>
              </w:rPr>
            </w:pPr>
            <w:r>
              <w:rPr>
                <w:rFonts w:hint="eastAsia"/>
                <w:sz w:val="24"/>
              </w:rPr>
              <w:t>灭红火蚁：</w:t>
            </w:r>
          </w:p>
        </w:tc>
        <w:tc>
          <w:tcPr>
            <w:tcW w:w="2567" w:type="dxa"/>
            <w:vMerge w:val="continue"/>
            <w:shd w:val="clear" w:color="auto" w:fill="auto"/>
            <w:noWrap w:val="0"/>
            <w:vAlign w:val="center"/>
          </w:tcPr>
          <w:p w14:paraId="6568C020">
            <w:pPr>
              <w:rPr>
                <w:rFonts w:hint="eastAsia"/>
                <w:sz w:val="24"/>
              </w:rPr>
            </w:pPr>
          </w:p>
        </w:tc>
      </w:tr>
      <w:tr w14:paraId="6C5F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10" w:type="dxa"/>
            <w:shd w:val="clear" w:color="auto" w:fill="auto"/>
            <w:noWrap w:val="0"/>
            <w:vAlign w:val="center"/>
          </w:tcPr>
          <w:p w14:paraId="3BE70CE4">
            <w:pPr>
              <w:jc w:val="center"/>
              <w:rPr>
                <w:rFonts w:hint="eastAsia"/>
                <w:sz w:val="24"/>
              </w:rPr>
            </w:pPr>
            <w:r>
              <w:rPr>
                <w:rFonts w:hint="eastAsia"/>
                <w:sz w:val="24"/>
              </w:rPr>
              <w:t>8</w:t>
            </w:r>
          </w:p>
        </w:tc>
        <w:tc>
          <w:tcPr>
            <w:tcW w:w="3017" w:type="dxa"/>
            <w:shd w:val="clear" w:color="auto" w:fill="auto"/>
            <w:noWrap w:val="0"/>
            <w:vAlign w:val="center"/>
          </w:tcPr>
          <w:p w14:paraId="329E36CF">
            <w:pPr>
              <w:jc w:val="center"/>
              <w:rPr>
                <w:rFonts w:hint="eastAsia"/>
                <w:sz w:val="24"/>
              </w:rPr>
            </w:pPr>
            <w:r>
              <w:rPr>
                <w:rFonts w:hint="eastAsia"/>
                <w:sz w:val="24"/>
              </w:rPr>
              <w:t>灭隐翅虫</w:t>
            </w:r>
          </w:p>
        </w:tc>
        <w:tc>
          <w:tcPr>
            <w:tcW w:w="1843" w:type="dxa"/>
            <w:shd w:val="clear" w:color="auto" w:fill="auto"/>
            <w:noWrap w:val="0"/>
            <w:vAlign w:val="center"/>
          </w:tcPr>
          <w:p w14:paraId="7FAED694">
            <w:pPr>
              <w:jc w:val="left"/>
              <w:rPr>
                <w:rFonts w:hint="eastAsia"/>
                <w:sz w:val="24"/>
              </w:rPr>
            </w:pPr>
            <w:r>
              <w:rPr>
                <w:rFonts w:hint="eastAsia"/>
                <w:sz w:val="24"/>
              </w:rPr>
              <w:t>单次单点位：</w:t>
            </w:r>
          </w:p>
        </w:tc>
        <w:tc>
          <w:tcPr>
            <w:tcW w:w="2567" w:type="dxa"/>
            <w:shd w:val="clear" w:color="auto" w:fill="auto"/>
            <w:noWrap w:val="0"/>
            <w:vAlign w:val="center"/>
          </w:tcPr>
          <w:p w14:paraId="09E76F19">
            <w:pPr>
              <w:rPr>
                <w:rFonts w:hint="eastAsia"/>
                <w:sz w:val="24"/>
              </w:rPr>
            </w:pPr>
          </w:p>
        </w:tc>
      </w:tr>
      <w:tr w14:paraId="698A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0" w:type="dxa"/>
            <w:shd w:val="clear" w:color="auto" w:fill="auto"/>
            <w:noWrap w:val="0"/>
            <w:vAlign w:val="center"/>
          </w:tcPr>
          <w:p w14:paraId="024B73C2">
            <w:pPr>
              <w:jc w:val="center"/>
              <w:rPr>
                <w:rFonts w:hint="eastAsia"/>
                <w:sz w:val="24"/>
              </w:rPr>
            </w:pPr>
            <w:r>
              <w:rPr>
                <w:rFonts w:hint="eastAsia"/>
                <w:sz w:val="24"/>
              </w:rPr>
              <w:t>9</w:t>
            </w:r>
          </w:p>
        </w:tc>
        <w:tc>
          <w:tcPr>
            <w:tcW w:w="3017" w:type="dxa"/>
            <w:shd w:val="clear" w:color="auto" w:fill="auto"/>
            <w:noWrap w:val="0"/>
            <w:vAlign w:val="center"/>
          </w:tcPr>
          <w:p w14:paraId="745AFDB0">
            <w:pPr>
              <w:jc w:val="center"/>
              <w:rPr>
                <w:rFonts w:hint="eastAsia"/>
                <w:sz w:val="24"/>
              </w:rPr>
            </w:pPr>
            <w:r>
              <w:rPr>
                <w:rFonts w:hint="eastAsia"/>
                <w:sz w:val="24"/>
              </w:rPr>
              <w:t>灭红火蚁</w:t>
            </w:r>
          </w:p>
        </w:tc>
        <w:tc>
          <w:tcPr>
            <w:tcW w:w="1843" w:type="dxa"/>
            <w:shd w:val="clear" w:color="auto" w:fill="auto"/>
            <w:noWrap w:val="0"/>
            <w:vAlign w:val="center"/>
          </w:tcPr>
          <w:p w14:paraId="24A2DA23">
            <w:pPr>
              <w:jc w:val="left"/>
              <w:rPr>
                <w:rFonts w:hint="eastAsia"/>
                <w:sz w:val="24"/>
              </w:rPr>
            </w:pPr>
            <w:r>
              <w:rPr>
                <w:rFonts w:hint="eastAsia"/>
                <w:sz w:val="24"/>
              </w:rPr>
              <w:t>单次单点位：</w:t>
            </w:r>
          </w:p>
        </w:tc>
        <w:tc>
          <w:tcPr>
            <w:tcW w:w="2567" w:type="dxa"/>
            <w:shd w:val="clear" w:color="auto" w:fill="auto"/>
            <w:noWrap w:val="0"/>
            <w:vAlign w:val="center"/>
          </w:tcPr>
          <w:p w14:paraId="41F59A93">
            <w:pPr>
              <w:rPr>
                <w:rFonts w:hint="eastAsia"/>
                <w:sz w:val="24"/>
              </w:rPr>
            </w:pPr>
          </w:p>
        </w:tc>
      </w:tr>
    </w:tbl>
    <w:p w14:paraId="4605BD4B">
      <w:pPr>
        <w:spacing w:line="360" w:lineRule="auto"/>
        <w:rPr>
          <w:rFonts w:hint="default" w:ascii="宋体" w:hAnsi="宋体"/>
          <w:sz w:val="28"/>
          <w:szCs w:val="28"/>
          <w:lang w:val="en-US" w:eastAsia="zh-CN"/>
        </w:rPr>
      </w:pPr>
      <w:r>
        <w:rPr>
          <w:rFonts w:hint="eastAsia" w:ascii="宋体" w:hAnsi="宋体"/>
          <w:sz w:val="28"/>
          <w:szCs w:val="28"/>
          <w:lang w:eastAsia="zh-CN"/>
        </w:rPr>
        <w:t>注：</w:t>
      </w:r>
      <w:r>
        <w:rPr>
          <w:rFonts w:hint="eastAsia" w:ascii="宋体" w:hAnsi="宋体"/>
          <w:sz w:val="28"/>
          <w:szCs w:val="28"/>
          <w:lang w:val="en-US" w:eastAsia="zh-CN"/>
        </w:rPr>
        <w:t>1.此项报价为包干价，包含但不限于服务费、保险费、药剂费等所有费用，此表费用不计入比选。</w:t>
      </w:r>
    </w:p>
    <w:p w14:paraId="03297C4E">
      <w:pPr>
        <w:rPr>
          <w:rFonts w:hint="eastAsia" w:ascii="宋体" w:hAnsi="宋体" w:eastAsia="宋体" w:cs="宋体"/>
          <w:b/>
          <w:color w:val="000000" w:themeColor="text1"/>
          <w:shd w:val="clear" w:color="auto" w:fill="auto"/>
          <w14:textFill>
            <w14:solidFill>
              <w14:schemeClr w14:val="tx1"/>
            </w14:solidFill>
          </w14:textFill>
        </w:rPr>
      </w:pPr>
    </w:p>
    <w:p w14:paraId="5FC2B4D0">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6CEAB15A">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130861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42913422"/>
      <w:bookmarkStart w:id="155" w:name="_Toc313008359"/>
      <w:bookmarkStart w:id="156"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FEB6FC20-3280-480C-BCBB-EB687AE08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11523FC"/>
    <w:rsid w:val="11782A26"/>
    <w:rsid w:val="13141499"/>
    <w:rsid w:val="131D034D"/>
    <w:rsid w:val="134E0964"/>
    <w:rsid w:val="13653AA2"/>
    <w:rsid w:val="13D52C1B"/>
    <w:rsid w:val="13F41DC8"/>
    <w:rsid w:val="144B1714"/>
    <w:rsid w:val="14B64E06"/>
    <w:rsid w:val="14B95EDB"/>
    <w:rsid w:val="14C6168E"/>
    <w:rsid w:val="14C6556D"/>
    <w:rsid w:val="1554725E"/>
    <w:rsid w:val="15604521"/>
    <w:rsid w:val="156125ED"/>
    <w:rsid w:val="158D32E0"/>
    <w:rsid w:val="16243DF1"/>
    <w:rsid w:val="17E52B34"/>
    <w:rsid w:val="18130842"/>
    <w:rsid w:val="18465822"/>
    <w:rsid w:val="18675712"/>
    <w:rsid w:val="188B43F5"/>
    <w:rsid w:val="18E50010"/>
    <w:rsid w:val="18F71640"/>
    <w:rsid w:val="19394057"/>
    <w:rsid w:val="199C2358"/>
    <w:rsid w:val="19B7492C"/>
    <w:rsid w:val="19D34E8C"/>
    <w:rsid w:val="1A511E59"/>
    <w:rsid w:val="1A705757"/>
    <w:rsid w:val="1AFB19E5"/>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186A2C"/>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37683"/>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C21444"/>
    <w:rsid w:val="3DD60FEB"/>
    <w:rsid w:val="3DD75419"/>
    <w:rsid w:val="3E263CAA"/>
    <w:rsid w:val="3E491747"/>
    <w:rsid w:val="3E6B192F"/>
    <w:rsid w:val="3EA55BAC"/>
    <w:rsid w:val="3EEF12C4"/>
    <w:rsid w:val="3F150346"/>
    <w:rsid w:val="3F4757B8"/>
    <w:rsid w:val="3F591E5E"/>
    <w:rsid w:val="3F5A6C6F"/>
    <w:rsid w:val="3F6E2185"/>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7F2AAC"/>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4F8B235A"/>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8555B9"/>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E254884"/>
    <w:rsid w:val="5E36741C"/>
    <w:rsid w:val="5F3F2DAC"/>
    <w:rsid w:val="5F4829DC"/>
    <w:rsid w:val="5F725BF8"/>
    <w:rsid w:val="5FB15C3A"/>
    <w:rsid w:val="5FDF26F7"/>
    <w:rsid w:val="5FEC0FE5"/>
    <w:rsid w:val="6022194E"/>
    <w:rsid w:val="604735BD"/>
    <w:rsid w:val="606E5CB4"/>
    <w:rsid w:val="60980BFD"/>
    <w:rsid w:val="60D65D3F"/>
    <w:rsid w:val="60F4333C"/>
    <w:rsid w:val="60F85618"/>
    <w:rsid w:val="611A50B4"/>
    <w:rsid w:val="619C43F3"/>
    <w:rsid w:val="6269072D"/>
    <w:rsid w:val="62A30CCB"/>
    <w:rsid w:val="6352606D"/>
    <w:rsid w:val="639436E3"/>
    <w:rsid w:val="6445282D"/>
    <w:rsid w:val="645A13DB"/>
    <w:rsid w:val="648C045C"/>
    <w:rsid w:val="656A40F1"/>
    <w:rsid w:val="65817046"/>
    <w:rsid w:val="658C5E23"/>
    <w:rsid w:val="65F9363E"/>
    <w:rsid w:val="667E25AF"/>
    <w:rsid w:val="66815672"/>
    <w:rsid w:val="67152E14"/>
    <w:rsid w:val="67770DF7"/>
    <w:rsid w:val="679C27B9"/>
    <w:rsid w:val="67C3285D"/>
    <w:rsid w:val="67CB3049"/>
    <w:rsid w:val="67FA1C31"/>
    <w:rsid w:val="67FF2A16"/>
    <w:rsid w:val="682465CF"/>
    <w:rsid w:val="68EA74FF"/>
    <w:rsid w:val="6972525B"/>
    <w:rsid w:val="69C211FB"/>
    <w:rsid w:val="69FC5E8B"/>
    <w:rsid w:val="6A16113C"/>
    <w:rsid w:val="6AD14E1A"/>
    <w:rsid w:val="6B056872"/>
    <w:rsid w:val="6B1765A5"/>
    <w:rsid w:val="6B217424"/>
    <w:rsid w:val="6B28360F"/>
    <w:rsid w:val="6B9F4D55"/>
    <w:rsid w:val="6BAA3DD9"/>
    <w:rsid w:val="6C172D01"/>
    <w:rsid w:val="6CC2767B"/>
    <w:rsid w:val="6D342244"/>
    <w:rsid w:val="6DAB4CCB"/>
    <w:rsid w:val="6DC70D5C"/>
    <w:rsid w:val="6DDA24A1"/>
    <w:rsid w:val="6DFC3BBF"/>
    <w:rsid w:val="6E0E1C83"/>
    <w:rsid w:val="6E45126B"/>
    <w:rsid w:val="6EA047F7"/>
    <w:rsid w:val="6F062BB9"/>
    <w:rsid w:val="6F185329"/>
    <w:rsid w:val="6F213E8F"/>
    <w:rsid w:val="6F840637"/>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D77DB7"/>
    <w:rsid w:val="7C3F595C"/>
    <w:rsid w:val="7C5621DF"/>
    <w:rsid w:val="7C683BAE"/>
    <w:rsid w:val="7CBD0742"/>
    <w:rsid w:val="7D7D55A3"/>
    <w:rsid w:val="7DE81FDD"/>
    <w:rsid w:val="7E3C60AD"/>
    <w:rsid w:val="7EC565EC"/>
    <w:rsid w:val="7EEF5417"/>
    <w:rsid w:val="7F0D3AEF"/>
    <w:rsid w:val="7F3E18A8"/>
    <w:rsid w:val="7F435763"/>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10734</Words>
  <Characters>10966</Characters>
  <Lines>182</Lines>
  <Paragraphs>51</Paragraphs>
  <TotalTime>6</TotalTime>
  <ScaleCrop>false</ScaleCrop>
  <LinksUpToDate>false</LinksUpToDate>
  <CharactersWithSpaces>11066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2025-02-11T08:30:05Z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