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2025FW028</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配电设施预防性试验服务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三</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910359">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5875"/>
      <w:bookmarkStart w:id="1" w:name="_Toc11641050"/>
      <w:bookmarkStart w:id="2" w:name="_Toc12789052"/>
      <w:bookmarkStart w:id="3"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73860293"/>
      <w:bookmarkStart w:id="5"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配电设施预防性试验服务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3893526"/>
      <w:bookmarkStart w:id="7" w:name="_Toc28443"/>
      <w:bookmarkStart w:id="8" w:name="_Toc485108767"/>
      <w:bookmarkStart w:id="9"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配电设施预防性试验服务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合同期限：自合同签订之日起三年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6609"/>
      <w:bookmarkStart w:id="11"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w:t>
      </w:r>
      <w:r>
        <w:rPr>
          <w:rFonts w:hint="eastAsia" w:ascii="宋体" w:hAnsi="宋体" w:eastAsia="宋体" w:cs="宋体"/>
          <w:b/>
          <w:bCs/>
          <w:color w:val="FF0000"/>
          <w:sz w:val="24"/>
          <w:szCs w:val="24"/>
          <w:shd w:val="clear" w:color="auto" w:fill="auto"/>
          <w:lang w:val="en-US" w:eastAsia="zh-CN"/>
        </w:rPr>
        <w:t>项目预算：三年共计9.9万元。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spacing w:line="48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11958"/>
      <w:bookmarkStart w:id="15" w:name="_Toc6"/>
      <w:bookmarkStart w:id="16" w:name="_Toc102227313"/>
      <w:bookmarkStart w:id="17" w:name="_Toc485108774"/>
    </w:p>
    <w:p w14:paraId="248C8D49">
      <w:pPr>
        <w:spacing w:line="48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default" w:ascii="宋体" w:hAnsi="宋体" w:eastAsia="宋体" w:cs="宋体"/>
          <w:color w:val="FF0000"/>
          <w:sz w:val="24"/>
          <w:szCs w:val="24"/>
          <w:shd w:val="clear" w:color="auto" w:fill="auto"/>
        </w:rPr>
        <w:t>建筑业企业资质证书（输变电工程专业承包叁级及以上）、安全生产许可证、承装（修、试）电力设施许可证</w:t>
      </w:r>
      <w:r>
        <w:rPr>
          <w:rFonts w:hint="eastAsia" w:ascii="宋体" w:hAnsi="宋体" w:eastAsia="宋体" w:cs="宋体"/>
          <w:color w:val="FF0000"/>
          <w:sz w:val="24"/>
          <w:szCs w:val="24"/>
          <w:shd w:val="clear" w:color="auto" w:fill="auto"/>
          <w:lang w:val="en-US" w:eastAsia="zh-CN"/>
        </w:rPr>
        <w:t xml:space="preserve"> 。</w:t>
      </w:r>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bookmarkStart w:id="161" w:name="_GoBack"/>
      <w:bookmarkEnd w:id="161"/>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54171062"/>
      <w:bookmarkStart w:id="22" w:name="_Toc54718176"/>
      <w:bookmarkStart w:id="23" w:name="_Toc373860294"/>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2806"/>
      <w:bookmarkStart w:id="25"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9130"/>
      <w:bookmarkStart w:id="27"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4C87D8DE">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30999BBA">
      <w:pPr>
        <w:spacing w:line="400" w:lineRule="exact"/>
        <w:ind w:firstLine="480" w:firstLineChars="200"/>
        <w:rPr>
          <w:rFonts w:hint="default"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w:t>
      </w:r>
      <w:r>
        <w:rPr>
          <w:rFonts w:hint="default" w:ascii="宋体" w:hAnsi="宋体" w:eastAsia="宋体" w:cs="宋体"/>
          <w:color w:val="FF0000"/>
          <w:kern w:val="2"/>
          <w:sz w:val="24"/>
          <w:szCs w:val="24"/>
          <w:shd w:val="clear" w:color="auto" w:fill="auto"/>
          <w:lang w:val="en-US" w:eastAsia="zh-CN" w:bidi="ar-SA"/>
        </w:rPr>
        <w:t>投标报价为包干价（报价表见</w:t>
      </w:r>
      <w:r>
        <w:rPr>
          <w:rFonts w:hint="eastAsia" w:ascii="宋体" w:hAnsi="宋体" w:eastAsia="宋体" w:cs="宋体"/>
          <w:color w:val="FF0000"/>
          <w:kern w:val="2"/>
          <w:sz w:val="24"/>
          <w:szCs w:val="24"/>
          <w:shd w:val="clear" w:color="auto" w:fill="auto"/>
          <w:lang w:val="en-US" w:eastAsia="zh-CN" w:bidi="ar-SA"/>
        </w:rPr>
        <w:t>第六章</w:t>
      </w:r>
      <w:r>
        <w:rPr>
          <w:rFonts w:hint="default" w:ascii="宋体" w:hAnsi="宋体" w:eastAsia="宋体" w:cs="宋体"/>
          <w:color w:val="FF0000"/>
          <w:kern w:val="2"/>
          <w:sz w:val="24"/>
          <w:szCs w:val="24"/>
          <w:shd w:val="clear" w:color="auto" w:fill="auto"/>
          <w:lang w:val="en-US" w:eastAsia="zh-CN" w:bidi="ar-SA"/>
        </w:rPr>
        <w:t>），包含服务费、差旅费、住宿费、保险费、税费等各项费用</w:t>
      </w:r>
      <w:r>
        <w:rPr>
          <w:rFonts w:hint="eastAsia" w:ascii="宋体" w:hAnsi="宋体" w:eastAsia="宋体" w:cs="宋体"/>
          <w:color w:val="FF0000"/>
          <w:kern w:val="2"/>
          <w:sz w:val="24"/>
          <w:szCs w:val="24"/>
          <w:shd w:val="clear" w:color="auto" w:fill="auto"/>
          <w:lang w:val="en-US" w:eastAsia="zh-CN" w:bidi="ar-SA"/>
        </w:rPr>
        <w:t>。</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3"/>
      <w:bookmarkStart w:id="34" w:name="OLE_LINK8"/>
      <w:bookmarkStart w:id="35"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9143"/>
      <w:bookmarkStart w:id="37" w:name="_Toc18122"/>
      <w:bookmarkStart w:id="38" w:name="_Toc342913393"/>
      <w:bookmarkStart w:id="39" w:name="_Toc179714298"/>
      <w:bookmarkStart w:id="40" w:name="_Toc102227319"/>
      <w:bookmarkStart w:id="41" w:name="_Toc403569780"/>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28776"/>
      <w:bookmarkStart w:id="43" w:name="_Toc14247"/>
      <w:bookmarkStart w:id="44" w:name="_Toc403569781"/>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29340"/>
      <w:bookmarkStart w:id="48" w:name="_Toc14816"/>
      <w:bookmarkStart w:id="49"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342913395"/>
      <w:bookmarkStart w:id="51" w:name="_Toc403569783"/>
      <w:bookmarkStart w:id="52" w:name="_Toc102227321"/>
      <w:bookmarkStart w:id="53" w:name="_Toc7135"/>
      <w:bookmarkStart w:id="54"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403569784"/>
      <w:bookmarkStart w:id="56" w:name="_Toc17413"/>
      <w:bookmarkStart w:id="57"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342913396"/>
      <w:bookmarkStart w:id="60" w:name="_Toc403569785"/>
      <w:bookmarkStart w:id="61"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7D335087">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53EC4B1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5" w:name="_Toc28327"/>
      <w:bookmarkStart w:id="66" w:name="_Toc12789058"/>
      <w:bookmarkStart w:id="67"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需</w:t>
      </w:r>
      <w:r>
        <w:rPr>
          <w:rFonts w:hint="eastAsia" w:ascii="宋体" w:hAnsi="宋体" w:eastAsia="宋体" w:cs="宋体"/>
          <w:color w:val="000000" w:themeColor="text1"/>
          <w:sz w:val="24"/>
          <w:szCs w:val="24"/>
          <w:shd w:val="clear" w:color="auto" w:fill="auto"/>
          <w14:textFill>
            <w14:solidFill>
              <w14:schemeClr w14:val="tx1"/>
            </w14:solidFill>
          </w14:textFill>
        </w:rPr>
        <w:t>求</w:t>
      </w:r>
    </w:p>
    <w:p w14:paraId="56F0A27C">
      <w:pPr>
        <w:snapToGrid w:val="0"/>
        <w:spacing w:line="400" w:lineRule="exact"/>
        <w:ind w:firstLine="480" w:firstLineChars="200"/>
        <w:jc w:val="left"/>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1．服务方应编制详细的工作方案，具有科学性和可操作性，且符合医院运行需求，严格按工作流程操作，试验中发现设施设备存在故障的应提供解决方案。</w:t>
      </w:r>
    </w:p>
    <w:p w14:paraId="7EFB6494">
      <w:pPr>
        <w:snapToGrid w:val="0"/>
        <w:spacing w:line="400" w:lineRule="exact"/>
        <w:ind w:firstLine="480" w:firstLineChars="200"/>
        <w:jc w:val="left"/>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2．服务方工作人员须具备相应的从业资质，开展各项工作须符合国家及行业的相关标准、规程及要求。作业</w:t>
      </w:r>
      <w:r>
        <w:rPr>
          <w:rFonts w:hint="default" w:ascii="宋体" w:hAnsi="宋体" w:eastAsia="宋体" w:cs="宋体"/>
          <w:color w:val="FF0000"/>
          <w:sz w:val="24"/>
          <w:szCs w:val="24"/>
          <w:shd w:val="clear" w:color="auto" w:fill="auto"/>
          <w:lang w:val="en-US" w:eastAsia="zh-CN"/>
        </w:rPr>
        <w:t>时</w:t>
      </w:r>
      <w:r>
        <w:rPr>
          <w:rFonts w:hint="default" w:ascii="宋体" w:hAnsi="宋体" w:eastAsia="宋体" w:cs="宋体"/>
          <w:color w:val="FF0000"/>
          <w:sz w:val="24"/>
          <w:szCs w:val="24"/>
          <w:shd w:val="clear" w:color="auto" w:fill="auto"/>
        </w:rPr>
        <w:t>需佩戴相应安全防护用品。</w:t>
      </w:r>
    </w:p>
    <w:p w14:paraId="512405FC">
      <w:pPr>
        <w:snapToGrid w:val="0"/>
        <w:spacing w:line="400" w:lineRule="exact"/>
        <w:ind w:firstLine="480" w:firstLineChars="200"/>
        <w:jc w:val="left"/>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3．预防性试验须</w:t>
      </w:r>
      <w:r>
        <w:rPr>
          <w:rFonts w:hint="default" w:ascii="宋体" w:hAnsi="宋体" w:eastAsia="宋体" w:cs="宋体"/>
          <w:color w:val="FF0000"/>
          <w:sz w:val="24"/>
          <w:szCs w:val="24"/>
          <w:shd w:val="clear" w:color="auto" w:fill="auto"/>
          <w:lang w:val="en-US" w:eastAsia="zh-CN"/>
        </w:rPr>
        <w:t>在</w:t>
      </w:r>
      <w:r>
        <w:rPr>
          <w:rFonts w:hint="default" w:ascii="宋体" w:hAnsi="宋体" w:eastAsia="宋体" w:cs="宋体"/>
          <w:color w:val="FF0000"/>
          <w:sz w:val="24"/>
          <w:szCs w:val="24"/>
          <w:shd w:val="clear" w:color="auto" w:fill="auto"/>
        </w:rPr>
        <w:t>采购方要求</w:t>
      </w:r>
      <w:r>
        <w:rPr>
          <w:rFonts w:hint="default" w:ascii="宋体" w:hAnsi="宋体" w:eastAsia="宋体" w:cs="宋体"/>
          <w:color w:val="FF0000"/>
          <w:sz w:val="24"/>
          <w:szCs w:val="24"/>
          <w:shd w:val="clear" w:color="auto" w:fill="auto"/>
          <w:lang w:val="en-US" w:eastAsia="zh-CN"/>
        </w:rPr>
        <w:t>的</w:t>
      </w:r>
      <w:r>
        <w:rPr>
          <w:rFonts w:hint="default" w:ascii="宋体" w:hAnsi="宋体" w:eastAsia="宋体" w:cs="宋体"/>
          <w:color w:val="FF0000"/>
          <w:sz w:val="24"/>
          <w:szCs w:val="24"/>
          <w:shd w:val="clear" w:color="auto" w:fill="auto"/>
        </w:rPr>
        <w:t>时间段</w:t>
      </w:r>
      <w:r>
        <w:rPr>
          <w:rFonts w:hint="default" w:ascii="宋体" w:hAnsi="宋体" w:eastAsia="宋体" w:cs="宋体"/>
          <w:color w:val="FF0000"/>
          <w:sz w:val="24"/>
          <w:szCs w:val="24"/>
          <w:shd w:val="clear" w:color="auto" w:fill="auto"/>
          <w:lang w:val="en-US" w:eastAsia="zh-CN"/>
        </w:rPr>
        <w:t>内</w:t>
      </w:r>
      <w:r>
        <w:rPr>
          <w:rFonts w:hint="default" w:ascii="宋体" w:hAnsi="宋体" w:eastAsia="宋体" w:cs="宋体"/>
          <w:color w:val="FF0000"/>
          <w:sz w:val="24"/>
          <w:szCs w:val="24"/>
          <w:shd w:val="clear" w:color="auto" w:fill="auto"/>
        </w:rPr>
        <w:t>进行，不得影响正常医疗工作；预试过程中，如遇紧急情况，需在15分钟内恢复供电。</w:t>
      </w:r>
    </w:p>
    <w:p w14:paraId="5E407253">
      <w:pPr>
        <w:snapToGrid w:val="0"/>
        <w:spacing w:line="400" w:lineRule="exact"/>
        <w:ind w:firstLine="480" w:firstLineChars="200"/>
        <w:jc w:val="left"/>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4．服务方根据采购方要求</w:t>
      </w:r>
      <w:r>
        <w:rPr>
          <w:rFonts w:hint="eastAsia" w:ascii="宋体" w:hAnsi="宋体" w:eastAsia="宋体" w:cs="宋体"/>
          <w:color w:val="FF0000"/>
          <w:sz w:val="24"/>
          <w:szCs w:val="24"/>
          <w:shd w:val="clear" w:color="auto" w:fill="auto"/>
          <w:lang w:val="en-US" w:eastAsia="zh-CN"/>
        </w:rPr>
        <w:t>每年</w:t>
      </w:r>
      <w:r>
        <w:rPr>
          <w:rFonts w:hint="default" w:ascii="宋体" w:hAnsi="宋体" w:eastAsia="宋体" w:cs="宋体"/>
          <w:color w:val="FF0000"/>
          <w:sz w:val="24"/>
          <w:szCs w:val="24"/>
          <w:shd w:val="clear" w:color="auto" w:fill="auto"/>
        </w:rPr>
        <w:t>按时完成</w:t>
      </w:r>
      <w:r>
        <w:rPr>
          <w:rFonts w:hint="eastAsia" w:ascii="宋体" w:hAnsi="宋体" w:eastAsia="宋体" w:cs="宋体"/>
          <w:color w:val="FF0000"/>
          <w:sz w:val="24"/>
          <w:szCs w:val="24"/>
          <w:shd w:val="clear" w:color="auto" w:fill="auto"/>
          <w:lang w:val="en-US" w:eastAsia="zh-CN"/>
        </w:rPr>
        <w:t>一次</w:t>
      </w:r>
      <w:r>
        <w:rPr>
          <w:rFonts w:hint="default" w:ascii="宋体" w:hAnsi="宋体" w:eastAsia="宋体" w:cs="宋体"/>
          <w:color w:val="FF0000"/>
          <w:sz w:val="24"/>
          <w:szCs w:val="24"/>
          <w:shd w:val="clear" w:color="auto" w:fill="auto"/>
        </w:rPr>
        <w:t>相应工作，出具正规合格的检测报告。</w:t>
      </w:r>
    </w:p>
    <w:p w14:paraId="5A7B815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w:t>
      </w:r>
      <w:r>
        <w:rPr>
          <w:rFonts w:hint="default" w:ascii="宋体" w:hAnsi="宋体" w:eastAsia="宋体" w:cs="宋体"/>
          <w:color w:val="FF0000"/>
          <w:sz w:val="24"/>
          <w:szCs w:val="24"/>
          <w:shd w:val="clear" w:color="auto" w:fill="auto"/>
        </w:rPr>
        <w:t>预防性试验内容及数量</w:t>
      </w:r>
      <w:r>
        <w:rPr>
          <w:rFonts w:hint="eastAsia" w:ascii="宋体" w:hAnsi="宋体" w:eastAsia="宋体" w:cs="宋体"/>
          <w:color w:val="FF0000"/>
          <w:sz w:val="24"/>
          <w:szCs w:val="24"/>
          <w:shd w:val="clear" w:color="auto" w:fill="auto"/>
          <w:lang w:eastAsia="zh-CN"/>
        </w:rPr>
        <w:t>见附件</w:t>
      </w:r>
      <w:r>
        <w:rPr>
          <w:rFonts w:hint="eastAsia" w:ascii="宋体" w:hAnsi="宋体" w:eastAsia="宋体" w:cs="宋体"/>
          <w:color w:val="FF0000"/>
          <w:sz w:val="24"/>
          <w:szCs w:val="24"/>
          <w:shd w:val="clear" w:color="auto" w:fill="auto"/>
          <w:lang w:val="en-US" w:eastAsia="zh-CN"/>
        </w:rPr>
        <w:t>1。</w:t>
      </w:r>
    </w:p>
    <w:p w14:paraId="4782A515">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w:t>
      </w:r>
      <w:r>
        <w:rPr>
          <w:rFonts w:hint="default" w:ascii="宋体" w:hAnsi="宋体" w:eastAsia="宋体" w:cs="宋体"/>
          <w:color w:val="FF0000"/>
          <w:sz w:val="24"/>
          <w:szCs w:val="24"/>
          <w:shd w:val="clear" w:color="auto" w:fill="auto"/>
        </w:rPr>
        <w:t>试验对象测试内容</w:t>
      </w:r>
      <w:r>
        <w:rPr>
          <w:rFonts w:hint="eastAsia" w:ascii="宋体" w:hAnsi="宋体" w:eastAsia="宋体" w:cs="宋体"/>
          <w:color w:val="FF0000"/>
          <w:sz w:val="24"/>
          <w:szCs w:val="24"/>
          <w:shd w:val="clear" w:color="auto" w:fill="auto"/>
          <w:lang w:eastAsia="zh-CN"/>
        </w:rPr>
        <w:t>见附件</w:t>
      </w:r>
      <w:r>
        <w:rPr>
          <w:rFonts w:hint="eastAsia" w:ascii="宋体" w:hAnsi="宋体" w:eastAsia="宋体" w:cs="宋体"/>
          <w:color w:val="FF0000"/>
          <w:sz w:val="24"/>
          <w:szCs w:val="24"/>
          <w:shd w:val="clear" w:color="auto" w:fill="auto"/>
          <w:lang w:val="en-US" w:eastAsia="zh-CN"/>
        </w:rPr>
        <w:t>2。</w:t>
      </w:r>
    </w:p>
    <w:p w14:paraId="5FB799C6">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p>
    <w:p w14:paraId="528FEC62">
      <w:pPr>
        <w:snapToGrid w:val="0"/>
        <w:spacing w:line="400" w:lineRule="exact"/>
        <w:ind w:firstLine="560" w:firstLineChars="200"/>
        <w:jc w:val="left"/>
        <w:rPr>
          <w:rFonts w:hint="eastAsia" w:ascii="方正仿宋_GBK" w:eastAsia="方正仿宋_GBK" w:hAnsiTheme="minorEastAsia"/>
          <w:sz w:val="28"/>
          <w:szCs w:val="28"/>
        </w:rPr>
      </w:pPr>
    </w:p>
    <w:p w14:paraId="3E5E546B">
      <w:pPr>
        <w:spacing w:line="560" w:lineRule="exact"/>
        <w:ind w:firstLine="560" w:firstLineChars="200"/>
        <w:rPr>
          <w:rFonts w:hint="eastAsia" w:ascii="宋体" w:hAnsi="宋体"/>
          <w:sz w:val="28"/>
          <w:szCs w:val="28"/>
        </w:rPr>
      </w:pPr>
    </w:p>
    <w:p w14:paraId="0F062C04">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31D358F">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CB6E1FA">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81D1AF2">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7F3228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F5B7920">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C4F59D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D166008">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5FAB247A">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A778383">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1DFF4F1">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14D6039">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2346A5E">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BE81AC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0" w:name="_Toc11645"/>
      <w:bookmarkStart w:id="71" w:name="_Toc485108793"/>
      <w:bookmarkStart w:id="72" w:name="_Toc7358"/>
      <w:bookmarkStart w:id="7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4F7EFF83">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default" w:ascii="宋体" w:hAnsi="宋体" w:eastAsia="宋体" w:cs="宋体"/>
          <w:color w:val="FF0000"/>
          <w:sz w:val="24"/>
          <w:szCs w:val="24"/>
          <w:shd w:val="clear" w:color="auto" w:fill="auto"/>
        </w:rPr>
        <w:t>．现场勘查：服务方自行勘查现场，联系人：杨老师，电话：13594380905</w:t>
      </w:r>
      <w:r>
        <w:rPr>
          <w:rFonts w:hint="eastAsia" w:ascii="宋体" w:hAnsi="宋体" w:eastAsia="宋体" w:cs="宋体"/>
          <w:color w:val="FF0000"/>
          <w:sz w:val="24"/>
          <w:szCs w:val="24"/>
          <w:shd w:val="clear" w:color="auto" w:fill="auto"/>
          <w:lang w:eastAsia="zh-CN"/>
        </w:rPr>
        <w:t>。</w:t>
      </w:r>
    </w:p>
    <w:p w14:paraId="42973012">
      <w:pPr>
        <w:snapToGrid w:val="0"/>
        <w:spacing w:line="400" w:lineRule="exact"/>
        <w:ind w:firstLine="540"/>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default" w:ascii="宋体" w:hAnsi="宋体" w:eastAsia="宋体" w:cs="宋体"/>
          <w:color w:val="FF0000"/>
          <w:sz w:val="24"/>
          <w:szCs w:val="24"/>
          <w:shd w:val="clear" w:color="auto" w:fill="auto"/>
        </w:rPr>
        <w:t>．其他要求：在施工过程中，中标方应采取有效的安全措施，保证施工人员和其他人员的人身安全，并承担因安全事故导致的一切经济和法律责任。如有损坏财产须照价赔偿。</w:t>
      </w:r>
    </w:p>
    <w:p w14:paraId="2E8CD044">
      <w:pPr>
        <w:snapToGrid w:val="0"/>
        <w:spacing w:line="400" w:lineRule="exact"/>
        <w:ind w:firstLine="540"/>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default" w:ascii="宋体" w:hAnsi="宋体" w:eastAsia="宋体" w:cs="宋体"/>
          <w:color w:val="FF0000"/>
          <w:sz w:val="24"/>
          <w:szCs w:val="24"/>
          <w:shd w:val="clear" w:color="auto" w:fill="auto"/>
        </w:rPr>
        <w:t>．付款方式：服务方每年按时完成全部工作并出具正式的检测报告后，采购方凭服务方提供的合法发票于60日内转账支付服务费。</w:t>
      </w:r>
    </w:p>
    <w:p w14:paraId="27680D10">
      <w:pPr>
        <w:snapToGrid w:val="0"/>
        <w:spacing w:line="400" w:lineRule="exact"/>
        <w:ind w:firstLine="540"/>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default" w:ascii="宋体" w:hAnsi="宋体" w:eastAsia="宋体" w:cs="宋体"/>
          <w:color w:val="FF0000"/>
          <w:sz w:val="24"/>
          <w:szCs w:val="24"/>
          <w:shd w:val="clear" w:color="auto" w:fill="auto"/>
        </w:rPr>
        <w:t>.售后服务：针对试验过程中发现的问题，服务方需向采购方提供解决方案；遇到紧急情况时，在采购方同意下，可采取应急处理措施。</w:t>
      </w: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1"/>
      <w:bookmarkEnd w:id="72"/>
      <w:bookmarkEnd w:id="7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8"/>
      <w:bookmarkEnd w:id="69"/>
      <w:bookmarkStart w:id="74" w:name="_Toc14840"/>
      <w:bookmarkStart w:id="75" w:name="_Toc485108794"/>
      <w:bookmarkStart w:id="76" w:name="_Toc403569796"/>
      <w:bookmarkStart w:id="77" w:name="_Toc303945820"/>
      <w:bookmarkStart w:id="7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4"/>
      <w:bookmarkEnd w:id="75"/>
      <w:bookmarkEnd w:id="76"/>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79" w:name="_Toc54718202"/>
      <w:bookmarkStart w:id="8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54718203"/>
      <w:bookmarkStart w:id="8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6"/>
      <w:bookmarkEnd w:id="8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8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8853"/>
      <w:bookmarkStart w:id="9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25177"/>
      <w:bookmarkStart w:id="9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3"/>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54718206"/>
      <w:bookmarkStart w:id="9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0" w:name="_Toc12985"/>
      <w:bookmarkStart w:id="10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1"/>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54718207"/>
      <w:bookmarkStart w:id="10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54718211"/>
      <w:bookmarkStart w:id="10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1" w:name="_Toc31719"/>
      <w:bookmarkStart w:id="112" w:name="_Toc54718210"/>
      <w:bookmarkStart w:id="113" w:name="_Toc54718212"/>
      <w:bookmarkStart w:id="11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1"/>
      <w:bookmarkEnd w:id="11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3"/>
    </w:p>
    <w:bookmarkEnd w:id="77"/>
    <w:bookmarkEnd w:id="78"/>
    <w:p w14:paraId="5B5A6661">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4" w:name="_Hlt41879464"/>
      <w:bookmarkEnd w:id="124"/>
      <w:bookmarkStart w:id="125" w:name="_Toc13696"/>
      <w:bookmarkStart w:id="126" w:name="_Toc12789072"/>
      <w:bookmarkStart w:id="127" w:name="_Toc48510879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5"/>
      <w:bookmarkEnd w:id="126"/>
      <w:bookmarkEnd w:id="127"/>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28"/>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29"/>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0"/>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38358147"/>
      <w:bookmarkStart w:id="132" w:name="OLE_LINK11"/>
      <w:bookmarkStart w:id="133"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4"/>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5"/>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2"/>
    <w:bookmarkEnd w:id="133"/>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04D96D3D">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6" w:name="_Toc485108796"/>
      <w:bookmarkStart w:id="137" w:name="_Toc342913419"/>
      <w:bookmarkStart w:id="138" w:name="_Toc480979018"/>
      <w:bookmarkStart w:id="139" w:name="_Toc313008356"/>
      <w:bookmarkStart w:id="140" w:name="_Toc313888360"/>
      <w:bookmarkStart w:id="141" w:name="_Toc12789073"/>
      <w:bookmarkStart w:id="142"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36"/>
      <w:bookmarkEnd w:id="137"/>
      <w:bookmarkEnd w:id="138"/>
      <w:bookmarkEnd w:id="139"/>
      <w:bookmarkEnd w:id="14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03613589">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16BA38F8">
      <w:pPr>
        <w:spacing w:line="594" w:lineRule="exact"/>
        <w:jc w:val="center"/>
        <w:rPr>
          <w:rFonts w:hint="eastAsia" w:ascii="宋体" w:hAnsi="宋体" w:eastAsia="宋体" w:cs="宋体"/>
          <w:color w:val="auto"/>
          <w:sz w:val="28"/>
          <w:szCs w:val="28"/>
        </w:rPr>
      </w:pPr>
      <w:bookmarkStart w:id="143" w:name="_Toc313008357"/>
      <w:bookmarkStart w:id="144" w:name="_Toc342913420"/>
      <w:bookmarkStart w:id="145" w:name="_Toc480979019"/>
      <w:bookmarkStart w:id="146" w:name="_Toc313888361"/>
      <w:bookmarkStart w:id="147" w:name="_Toc485108797"/>
      <w:r>
        <w:rPr>
          <w:rFonts w:hint="eastAsia" w:ascii="宋体" w:hAnsi="宋体" w:eastAsia="宋体" w:cs="宋体"/>
          <w:color w:val="auto"/>
          <w:sz w:val="28"/>
          <w:szCs w:val="28"/>
        </w:rPr>
        <w:t>报价表</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3074"/>
        <w:gridCol w:w="1498"/>
      </w:tblGrid>
      <w:tr w14:paraId="46C3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60" w:type="dxa"/>
            <w:vAlign w:val="top"/>
          </w:tcPr>
          <w:p w14:paraId="6EBDC0D0">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宋体" w:hAnsi="宋体" w:eastAsia="宋体" w:cs="宋体"/>
                <w:color w:val="auto"/>
                <w:sz w:val="24"/>
                <w:szCs w:val="28"/>
              </w:rPr>
            </w:pPr>
            <w:r>
              <w:rPr>
                <w:rFonts w:hint="eastAsia" w:ascii="宋体" w:hAnsi="宋体" w:eastAsia="宋体" w:cs="宋体"/>
                <w:color w:val="auto"/>
                <w:sz w:val="24"/>
                <w:szCs w:val="28"/>
              </w:rPr>
              <w:t>项目名称</w:t>
            </w:r>
          </w:p>
        </w:tc>
        <w:tc>
          <w:tcPr>
            <w:tcW w:w="3074" w:type="dxa"/>
            <w:vAlign w:val="top"/>
          </w:tcPr>
          <w:p w14:paraId="7533F844">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宋体" w:hAnsi="宋体" w:eastAsia="宋体" w:cs="宋体"/>
                <w:color w:val="auto"/>
                <w:sz w:val="24"/>
                <w:szCs w:val="28"/>
              </w:rPr>
            </w:pPr>
            <w:r>
              <w:rPr>
                <w:rFonts w:hint="eastAsia" w:ascii="宋体" w:hAnsi="宋体" w:eastAsia="宋体" w:cs="宋体"/>
                <w:color w:val="auto"/>
                <w:sz w:val="24"/>
                <w:szCs w:val="28"/>
              </w:rPr>
              <w:t>价格（元/年）</w:t>
            </w:r>
          </w:p>
        </w:tc>
        <w:tc>
          <w:tcPr>
            <w:tcW w:w="1498" w:type="dxa"/>
            <w:vAlign w:val="top"/>
          </w:tcPr>
          <w:p w14:paraId="21638538">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宋体" w:hAnsi="宋体" w:eastAsia="宋体" w:cs="宋体"/>
                <w:color w:val="auto"/>
                <w:sz w:val="24"/>
                <w:szCs w:val="28"/>
              </w:rPr>
            </w:pPr>
            <w:r>
              <w:rPr>
                <w:rFonts w:hint="eastAsia" w:ascii="宋体" w:hAnsi="宋体" w:eastAsia="宋体" w:cs="宋体"/>
                <w:color w:val="auto"/>
                <w:sz w:val="24"/>
                <w:szCs w:val="28"/>
              </w:rPr>
              <w:t>备注</w:t>
            </w:r>
          </w:p>
        </w:tc>
      </w:tr>
      <w:tr w14:paraId="66AB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60" w:type="dxa"/>
            <w:vAlign w:val="top"/>
          </w:tcPr>
          <w:p w14:paraId="5886BFD2">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宋体" w:hAnsi="宋体" w:eastAsia="宋体" w:cs="宋体"/>
                <w:color w:val="auto"/>
                <w:sz w:val="24"/>
                <w:szCs w:val="28"/>
              </w:rPr>
            </w:pPr>
            <w:r>
              <w:rPr>
                <w:rFonts w:hint="eastAsia" w:ascii="宋体" w:hAnsi="宋体" w:eastAsia="宋体" w:cs="宋体"/>
                <w:color w:val="auto"/>
                <w:sz w:val="24"/>
                <w:szCs w:val="28"/>
              </w:rPr>
              <w:t>配电设备预防性试验</w:t>
            </w:r>
          </w:p>
        </w:tc>
        <w:tc>
          <w:tcPr>
            <w:tcW w:w="3074" w:type="dxa"/>
            <w:vAlign w:val="top"/>
          </w:tcPr>
          <w:p w14:paraId="754591CC">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宋体" w:hAnsi="宋体" w:eastAsia="宋体" w:cs="宋体"/>
                <w:color w:val="auto"/>
                <w:sz w:val="24"/>
                <w:szCs w:val="28"/>
              </w:rPr>
            </w:pPr>
          </w:p>
        </w:tc>
        <w:tc>
          <w:tcPr>
            <w:tcW w:w="1498" w:type="dxa"/>
            <w:vAlign w:val="top"/>
          </w:tcPr>
          <w:p w14:paraId="14C1801C">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宋体" w:hAnsi="宋体" w:eastAsia="宋体" w:cs="宋体"/>
                <w:color w:val="auto"/>
                <w:sz w:val="24"/>
                <w:szCs w:val="28"/>
              </w:rPr>
            </w:pPr>
          </w:p>
        </w:tc>
      </w:tr>
      <w:tr w14:paraId="5C7F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60" w:type="dxa"/>
            <w:vAlign w:val="top"/>
          </w:tcPr>
          <w:p w14:paraId="09A275D7">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宋体" w:hAnsi="宋体" w:eastAsia="宋体" w:cs="宋体"/>
                <w:color w:val="auto"/>
                <w:sz w:val="24"/>
                <w:szCs w:val="28"/>
              </w:rPr>
            </w:pPr>
            <w:r>
              <w:rPr>
                <w:rFonts w:hint="eastAsia" w:ascii="宋体" w:hAnsi="宋体" w:eastAsia="宋体" w:cs="宋体"/>
                <w:color w:val="auto"/>
                <w:sz w:val="24"/>
                <w:szCs w:val="28"/>
              </w:rPr>
              <w:t>工期（天）</w:t>
            </w:r>
          </w:p>
        </w:tc>
        <w:tc>
          <w:tcPr>
            <w:tcW w:w="3074" w:type="dxa"/>
            <w:vAlign w:val="top"/>
          </w:tcPr>
          <w:p w14:paraId="73BFA407">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宋体" w:hAnsi="宋体" w:eastAsia="宋体" w:cs="宋体"/>
                <w:color w:val="auto"/>
                <w:sz w:val="24"/>
                <w:szCs w:val="28"/>
              </w:rPr>
            </w:pPr>
          </w:p>
        </w:tc>
        <w:tc>
          <w:tcPr>
            <w:tcW w:w="1498" w:type="dxa"/>
            <w:vAlign w:val="top"/>
          </w:tcPr>
          <w:p w14:paraId="67AA53B7">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宋体" w:hAnsi="宋体" w:eastAsia="宋体" w:cs="宋体"/>
                <w:color w:val="auto"/>
                <w:sz w:val="24"/>
                <w:szCs w:val="28"/>
              </w:rPr>
            </w:pPr>
          </w:p>
        </w:tc>
      </w:tr>
      <w:tr w14:paraId="43A0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34" w:type="dxa"/>
            <w:gridSpan w:val="2"/>
            <w:vAlign w:val="top"/>
          </w:tcPr>
          <w:p w14:paraId="532C4B5C">
            <w:pPr>
              <w:keepNext w:val="0"/>
              <w:keepLines w:val="0"/>
              <w:pageBreakBefore w:val="0"/>
              <w:widowControl w:val="0"/>
              <w:kinsoku/>
              <w:wordWrap/>
              <w:overflowPunct/>
              <w:topLinePunct w:val="0"/>
              <w:autoSpaceDE/>
              <w:autoSpaceDN/>
              <w:bidi w:val="0"/>
              <w:adjustRightInd/>
              <w:snapToGrid/>
              <w:spacing w:line="594" w:lineRule="exact"/>
              <w:ind w:firstLine="720" w:firstLineChars="300"/>
              <w:jc w:val="both"/>
              <w:textAlignment w:val="auto"/>
              <w:rPr>
                <w:rFonts w:hint="eastAsia" w:ascii="宋体" w:hAnsi="宋体" w:eastAsia="宋体" w:cs="宋体"/>
                <w:color w:val="auto"/>
                <w:sz w:val="24"/>
                <w:szCs w:val="28"/>
                <w:lang w:eastAsia="zh-CN"/>
              </w:rPr>
            </w:pPr>
            <w:r>
              <w:rPr>
                <w:rFonts w:hint="eastAsia" w:ascii="宋体" w:hAnsi="宋体" w:eastAsia="宋体" w:cs="宋体"/>
                <w:color w:val="auto"/>
                <w:sz w:val="24"/>
                <w:szCs w:val="28"/>
              </w:rPr>
              <w:t>总价（元</w:t>
            </w:r>
            <w:r>
              <w:rPr>
                <w:rFonts w:hint="eastAsia" w:ascii="宋体" w:hAnsi="宋体" w:eastAsia="宋体" w:cs="宋体"/>
                <w:color w:val="auto"/>
                <w:sz w:val="24"/>
                <w:szCs w:val="28"/>
                <w:lang w:val="en-US" w:eastAsia="zh-CN"/>
              </w:rPr>
              <w:t>/</w:t>
            </w:r>
            <w:r>
              <w:rPr>
                <w:rFonts w:hint="eastAsia" w:ascii="宋体" w:hAnsi="宋体" w:eastAsia="宋体" w:cs="宋体"/>
                <w:color w:val="auto"/>
                <w:sz w:val="24"/>
                <w:szCs w:val="28"/>
              </w:rPr>
              <w:t>3年）</w:t>
            </w:r>
            <w:r>
              <w:rPr>
                <w:rFonts w:hint="eastAsia" w:ascii="宋体" w:hAnsi="宋体" w:eastAsia="宋体" w:cs="宋体"/>
                <w:color w:val="auto"/>
                <w:sz w:val="24"/>
                <w:szCs w:val="28"/>
                <w:lang w:eastAsia="zh-CN"/>
              </w:rPr>
              <w:t>：</w:t>
            </w:r>
          </w:p>
        </w:tc>
        <w:tc>
          <w:tcPr>
            <w:tcW w:w="1498" w:type="dxa"/>
            <w:vAlign w:val="top"/>
          </w:tcPr>
          <w:p w14:paraId="50A8DB91">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宋体" w:hAnsi="宋体" w:eastAsia="宋体" w:cs="宋体"/>
                <w:color w:val="auto"/>
                <w:sz w:val="24"/>
                <w:szCs w:val="28"/>
              </w:rPr>
            </w:pPr>
          </w:p>
        </w:tc>
      </w:tr>
    </w:tbl>
    <w:p w14:paraId="54B3A1A9">
      <w:pPr>
        <w:pStyle w:val="52"/>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auto"/>
        <w:rPr>
          <w:rFonts w:hint="eastAsia" w:ascii="方正仿宋_GBK" w:hAnsi="方正仿宋_GBK" w:eastAsia="方正仿宋_GBK" w:cs="方正仿宋_GBK"/>
        </w:rPr>
      </w:pPr>
    </w:p>
    <w:p w14:paraId="44863382">
      <w:pPr>
        <w:numPr>
          <w:ilvl w:val="0"/>
          <w:numId w:val="0"/>
        </w:numPr>
        <w:spacing w:line="400" w:lineRule="exact"/>
        <w:rPr>
          <w:rFonts w:hint="default" w:ascii="宋体" w:hAnsi="宋体" w:eastAsia="宋体" w:cs="宋体"/>
          <w:color w:val="FF0000"/>
          <w:kern w:val="2"/>
          <w:sz w:val="24"/>
          <w:szCs w:val="24"/>
          <w:shd w:val="clear" w:color="auto" w:fill="auto"/>
          <w:lang w:val="en-US" w:eastAsia="zh-CN" w:bidi="ar-SA"/>
        </w:rPr>
      </w:pPr>
      <w:r>
        <w:rPr>
          <w:rFonts w:hint="eastAsia" w:ascii="方正仿宋_GBK" w:hAnsi="方正仿宋_GBK" w:eastAsia="方正仿宋_GBK" w:cs="方正仿宋_GBK"/>
        </w:rPr>
        <w:t>备注：</w:t>
      </w:r>
      <w:r>
        <w:rPr>
          <w:rFonts w:hint="eastAsia" w:ascii="宋体" w:hAnsi="宋体" w:eastAsia="宋体" w:cs="宋体"/>
          <w:color w:val="FF0000"/>
          <w:kern w:val="2"/>
          <w:sz w:val="24"/>
          <w:szCs w:val="24"/>
          <w:shd w:val="clear" w:color="auto" w:fill="auto"/>
          <w:lang w:val="en-US" w:eastAsia="zh-CN" w:bidi="ar-SA"/>
        </w:rPr>
        <w:t>1.</w:t>
      </w:r>
      <w:r>
        <w:rPr>
          <w:rFonts w:hint="default" w:ascii="宋体" w:hAnsi="宋体" w:eastAsia="宋体" w:cs="宋体"/>
          <w:color w:val="FF0000"/>
          <w:kern w:val="2"/>
          <w:sz w:val="24"/>
          <w:szCs w:val="24"/>
          <w:shd w:val="clear" w:color="auto" w:fill="auto"/>
          <w:lang w:val="en-US" w:eastAsia="zh-CN" w:bidi="ar-SA"/>
        </w:rPr>
        <w:t>投标报价为包干价，包含服务费、差旅费、住宿费、保险费、税费等各项费用</w:t>
      </w:r>
    </w:p>
    <w:p w14:paraId="2877A2CA">
      <w:pPr>
        <w:pStyle w:val="52"/>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720" w:firstLineChars="300"/>
        <w:jc w:val="both"/>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cs="宋体"/>
          <w:color w:val="000000" w:themeColor="text1"/>
          <w:kern w:val="2"/>
          <w:sz w:val="24"/>
          <w:szCs w:val="24"/>
          <w:shd w:val="clear" w:color="auto" w:fill="auto"/>
          <w:lang w:val="en-US" w:eastAsia="zh-CN" w:bidi="ar-SA"/>
          <w14:textFill>
            <w14:solidFill>
              <w14:schemeClr w14:val="tx1"/>
            </w14:solidFill>
          </w14:textFill>
        </w:rPr>
        <w:t>。</w:t>
      </w:r>
    </w:p>
    <w:p w14:paraId="11D2014B">
      <w:pPr>
        <w:rPr>
          <w:rFonts w:hint="eastAsia" w:ascii="宋体" w:hAnsi="宋体" w:eastAsia="宋体" w:cs="宋体"/>
          <w:b/>
          <w:color w:val="000000" w:themeColor="text1"/>
          <w:shd w:val="clear" w:color="auto" w:fill="auto"/>
          <w14:textFill>
            <w14:solidFill>
              <w14:schemeClr w14:val="tx1"/>
            </w14:solidFill>
          </w14:textFill>
        </w:rPr>
      </w:pPr>
    </w:p>
    <w:p w14:paraId="6E4D0A41">
      <w:pPr>
        <w:rPr>
          <w:rFonts w:hint="eastAsia" w:ascii="宋体" w:hAnsi="宋体" w:eastAsia="宋体" w:cs="宋体"/>
          <w:b/>
          <w:color w:val="000000" w:themeColor="text1"/>
          <w:shd w:val="clear" w:color="auto" w:fill="auto"/>
          <w:lang w:eastAsia="zh-CN"/>
          <w14:textFill>
            <w14:solidFill>
              <w14:schemeClr w14:val="tx1"/>
            </w14:solidFill>
          </w14:textFill>
        </w:rPr>
      </w:pPr>
    </w:p>
    <w:p w14:paraId="18158003">
      <w:pPr>
        <w:rPr>
          <w:rFonts w:hint="eastAsia" w:ascii="宋体" w:hAnsi="宋体" w:eastAsia="宋体" w:cs="宋体"/>
          <w:b/>
          <w:color w:val="000000" w:themeColor="text1"/>
          <w:shd w:val="clear" w:color="auto" w:fill="auto"/>
          <w:lang w:eastAsia="zh-CN"/>
          <w14:textFill>
            <w14:solidFill>
              <w14:schemeClr w14:val="tx1"/>
            </w14:solidFill>
          </w14:textFill>
        </w:rPr>
      </w:pPr>
    </w:p>
    <w:p w14:paraId="694BF444">
      <w:pPr>
        <w:rPr>
          <w:rFonts w:hint="eastAsia" w:ascii="宋体" w:hAnsi="宋体" w:eastAsia="宋体" w:cs="宋体"/>
          <w:b/>
          <w:color w:val="000000" w:themeColor="text1"/>
          <w:shd w:val="clear" w:color="auto" w:fill="auto"/>
          <w:lang w:eastAsia="zh-CN"/>
          <w14:textFill>
            <w14:solidFill>
              <w14:schemeClr w14:val="tx1"/>
            </w14:solidFill>
          </w14:textFill>
        </w:rPr>
      </w:pPr>
    </w:p>
    <w:p w14:paraId="0F596032">
      <w:pPr>
        <w:rPr>
          <w:rFonts w:hint="eastAsia" w:ascii="宋体" w:hAnsi="宋体" w:eastAsia="宋体" w:cs="宋体"/>
          <w:b/>
          <w:color w:val="000000" w:themeColor="text1"/>
          <w:shd w:val="clear" w:color="auto" w:fill="auto"/>
          <w:lang w:eastAsia="zh-CN"/>
          <w14:textFill>
            <w14:solidFill>
              <w14:schemeClr w14:val="tx1"/>
            </w14:solidFill>
          </w14:textFill>
        </w:rPr>
      </w:pPr>
    </w:p>
    <w:p w14:paraId="31FC04B1">
      <w:pPr>
        <w:rPr>
          <w:rFonts w:hint="eastAsia" w:ascii="宋体" w:hAnsi="宋体" w:eastAsia="宋体" w:cs="宋体"/>
          <w:b/>
          <w:color w:val="000000" w:themeColor="text1"/>
          <w:shd w:val="clear" w:color="auto" w:fill="auto"/>
          <w:lang w:eastAsia="zh-CN"/>
          <w14:textFill>
            <w14:solidFill>
              <w14:schemeClr w14:val="tx1"/>
            </w14:solidFill>
          </w14:textFill>
        </w:rPr>
      </w:pPr>
    </w:p>
    <w:p w14:paraId="315C9A04">
      <w:pPr>
        <w:rPr>
          <w:rFonts w:hint="eastAsia" w:ascii="宋体" w:hAnsi="宋体" w:eastAsia="宋体" w:cs="宋体"/>
          <w:b/>
          <w:color w:val="000000" w:themeColor="text1"/>
          <w:shd w:val="clear" w:color="auto" w:fill="auto"/>
          <w:lang w:eastAsia="zh-CN"/>
          <w14:textFill>
            <w14:solidFill>
              <w14:schemeClr w14:val="tx1"/>
            </w14:solidFill>
          </w14:textFill>
        </w:rPr>
      </w:pPr>
    </w:p>
    <w:p w14:paraId="64EF8113">
      <w:pPr>
        <w:rPr>
          <w:rFonts w:hint="eastAsia" w:ascii="宋体" w:hAnsi="宋体" w:eastAsia="宋体" w:cs="宋体"/>
          <w:b/>
          <w:color w:val="000000" w:themeColor="text1"/>
          <w:shd w:val="clear" w:color="auto" w:fill="auto"/>
          <w:lang w:eastAsia="zh-CN"/>
          <w14:textFill>
            <w14:solidFill>
              <w14:schemeClr w14:val="tx1"/>
            </w14:solidFill>
          </w14:textFill>
        </w:rPr>
      </w:pPr>
    </w:p>
    <w:p w14:paraId="29551636">
      <w:pPr>
        <w:rPr>
          <w:rFonts w:hint="eastAsia" w:ascii="宋体" w:hAnsi="宋体" w:eastAsia="宋体" w:cs="宋体"/>
          <w:b/>
          <w:color w:val="000000" w:themeColor="text1"/>
          <w:shd w:val="clear" w:color="auto" w:fill="auto"/>
          <w:lang w:eastAsia="zh-CN"/>
          <w14:textFill>
            <w14:solidFill>
              <w14:schemeClr w14:val="tx1"/>
            </w14:solidFill>
          </w14:textFill>
        </w:rPr>
      </w:pPr>
    </w:p>
    <w:p w14:paraId="57F75A22">
      <w:pPr>
        <w:rPr>
          <w:rFonts w:hint="eastAsia" w:ascii="宋体" w:hAnsi="宋体" w:eastAsia="宋体" w:cs="宋体"/>
          <w:b/>
          <w:color w:val="000000" w:themeColor="text1"/>
          <w:shd w:val="clear" w:color="auto" w:fill="auto"/>
          <w:lang w:eastAsia="zh-CN"/>
          <w14:textFill>
            <w14:solidFill>
              <w14:schemeClr w14:val="tx1"/>
            </w14:solidFill>
          </w14:textFill>
        </w:rPr>
      </w:pPr>
    </w:p>
    <w:p w14:paraId="600CD43F">
      <w:pPr>
        <w:rPr>
          <w:rFonts w:hint="eastAsia" w:ascii="宋体" w:hAnsi="宋体" w:eastAsia="宋体" w:cs="宋体"/>
          <w:b/>
          <w:color w:val="000000" w:themeColor="text1"/>
          <w:shd w:val="clear" w:color="auto" w:fill="auto"/>
          <w:lang w:eastAsia="zh-CN"/>
          <w14:textFill>
            <w14:solidFill>
              <w14:schemeClr w14:val="tx1"/>
            </w14:solidFill>
          </w14:textFill>
        </w:rPr>
      </w:pPr>
    </w:p>
    <w:p w14:paraId="628F80CC">
      <w:pPr>
        <w:rPr>
          <w:rFonts w:hint="eastAsia" w:ascii="宋体" w:hAnsi="宋体" w:eastAsia="宋体" w:cs="宋体"/>
          <w:b/>
          <w:color w:val="000000" w:themeColor="text1"/>
          <w:shd w:val="clear" w:color="auto" w:fill="auto"/>
          <w:lang w:eastAsia="zh-CN"/>
          <w14:textFill>
            <w14:solidFill>
              <w14:schemeClr w14:val="tx1"/>
            </w14:solidFill>
          </w14:textFill>
        </w:rPr>
      </w:pPr>
    </w:p>
    <w:p w14:paraId="3F0A63DB">
      <w:pPr>
        <w:rPr>
          <w:rFonts w:hint="eastAsia" w:ascii="宋体" w:hAnsi="宋体" w:eastAsia="宋体" w:cs="宋体"/>
          <w:b/>
          <w:color w:val="000000" w:themeColor="text1"/>
          <w:shd w:val="clear" w:color="auto" w:fill="auto"/>
          <w:lang w:eastAsia="zh-CN"/>
          <w14:textFill>
            <w14:solidFill>
              <w14:schemeClr w14:val="tx1"/>
            </w14:solidFill>
          </w14:textFill>
        </w:rPr>
      </w:pPr>
    </w:p>
    <w:p w14:paraId="39660B8C">
      <w:pPr>
        <w:rPr>
          <w:rFonts w:hint="eastAsia" w:ascii="宋体" w:hAnsi="宋体" w:eastAsia="宋体" w:cs="宋体"/>
          <w:b/>
          <w:color w:val="000000" w:themeColor="text1"/>
          <w:shd w:val="clear" w:color="auto" w:fill="auto"/>
          <w:lang w:eastAsia="zh-CN"/>
          <w14:textFill>
            <w14:solidFill>
              <w14:schemeClr w14:val="tx1"/>
            </w14:solidFill>
          </w14:textFill>
        </w:rPr>
      </w:pPr>
    </w:p>
    <w:p w14:paraId="487C3E14">
      <w:pPr>
        <w:rPr>
          <w:rFonts w:hint="eastAsia" w:ascii="宋体" w:hAnsi="宋体" w:eastAsia="宋体" w:cs="宋体"/>
          <w:b/>
          <w:color w:val="000000" w:themeColor="text1"/>
          <w:shd w:val="clear" w:color="auto" w:fill="auto"/>
          <w:lang w:eastAsia="zh-CN"/>
          <w14:textFill>
            <w14:solidFill>
              <w14:schemeClr w14:val="tx1"/>
            </w14:solidFill>
          </w14:textFill>
        </w:rPr>
      </w:pPr>
    </w:p>
    <w:p w14:paraId="265F6F85">
      <w:pPr>
        <w:rPr>
          <w:rFonts w:hint="eastAsia" w:ascii="宋体" w:hAnsi="宋体" w:eastAsia="宋体" w:cs="宋体"/>
          <w:b/>
          <w:color w:val="000000" w:themeColor="text1"/>
          <w:shd w:val="clear" w:color="auto" w:fill="auto"/>
          <w:lang w:eastAsia="zh-CN"/>
          <w14:textFill>
            <w14:solidFill>
              <w14:schemeClr w14:val="tx1"/>
            </w14:solidFill>
          </w14:textFill>
        </w:rPr>
      </w:pPr>
    </w:p>
    <w:p w14:paraId="07022ACC">
      <w:pPr>
        <w:rPr>
          <w:rFonts w:hint="eastAsia" w:ascii="宋体" w:hAnsi="宋体" w:eastAsia="宋体" w:cs="宋体"/>
          <w:b/>
          <w:color w:val="000000" w:themeColor="text1"/>
          <w:shd w:val="clear" w:color="auto" w:fill="auto"/>
          <w:lang w:eastAsia="zh-CN"/>
          <w14:textFill>
            <w14:solidFill>
              <w14:schemeClr w14:val="tx1"/>
            </w14:solidFill>
          </w14:textFill>
        </w:rPr>
      </w:pPr>
    </w:p>
    <w:p w14:paraId="62435432">
      <w:pPr>
        <w:rPr>
          <w:rFonts w:hint="eastAsia" w:ascii="宋体" w:hAnsi="宋体" w:eastAsia="宋体" w:cs="宋体"/>
          <w:b/>
          <w:color w:val="000000" w:themeColor="text1"/>
          <w:shd w:val="clear" w:color="auto" w:fill="auto"/>
          <w:lang w:eastAsia="zh-CN"/>
          <w14:textFill>
            <w14:solidFill>
              <w14:schemeClr w14:val="tx1"/>
            </w14:solidFill>
          </w14:textFill>
        </w:rPr>
      </w:pPr>
    </w:p>
    <w:p w14:paraId="49DE9DBD">
      <w:pPr>
        <w:rPr>
          <w:rFonts w:hint="eastAsia" w:ascii="宋体" w:hAnsi="宋体" w:eastAsia="宋体" w:cs="宋体"/>
          <w:b/>
          <w:color w:val="000000" w:themeColor="text1"/>
          <w:shd w:val="clear" w:color="auto" w:fill="auto"/>
          <w:lang w:eastAsia="zh-CN"/>
          <w14:textFill>
            <w14:solidFill>
              <w14:schemeClr w14:val="tx1"/>
            </w14:solidFill>
          </w14:textFill>
        </w:rPr>
      </w:pPr>
    </w:p>
    <w:p w14:paraId="0F5D92A8">
      <w:pPr>
        <w:rPr>
          <w:rFonts w:hint="eastAsia" w:ascii="宋体" w:hAnsi="宋体" w:eastAsia="宋体" w:cs="宋体"/>
          <w:b/>
          <w:color w:val="000000" w:themeColor="text1"/>
          <w:shd w:val="clear" w:color="auto" w:fill="auto"/>
          <w:lang w:eastAsia="zh-CN"/>
          <w14:textFill>
            <w14:solidFill>
              <w14:schemeClr w14:val="tx1"/>
            </w14:solidFill>
          </w14:textFill>
        </w:rPr>
      </w:pPr>
    </w:p>
    <w:p w14:paraId="6482364F">
      <w:pPr>
        <w:rPr>
          <w:rFonts w:hint="eastAsia" w:ascii="宋体" w:hAnsi="宋体" w:eastAsia="宋体" w:cs="宋体"/>
          <w:b/>
          <w:color w:val="000000" w:themeColor="text1"/>
          <w:shd w:val="clear" w:color="auto" w:fill="auto"/>
          <w:lang w:eastAsia="zh-CN"/>
          <w14:textFill>
            <w14:solidFill>
              <w14:schemeClr w14:val="tx1"/>
            </w14:solidFill>
          </w14:textFill>
        </w:rPr>
      </w:pPr>
    </w:p>
    <w:p w14:paraId="064185F5">
      <w:pPr>
        <w:rPr>
          <w:rFonts w:hint="eastAsia" w:ascii="宋体" w:hAnsi="宋体" w:eastAsia="宋体" w:cs="宋体"/>
          <w:b/>
          <w:color w:val="000000" w:themeColor="text1"/>
          <w:shd w:val="clear" w:color="auto" w:fill="auto"/>
          <w:lang w:eastAsia="zh-CN"/>
          <w14:textFill>
            <w14:solidFill>
              <w14:schemeClr w14:val="tx1"/>
            </w14:solidFill>
          </w14:textFill>
        </w:rPr>
      </w:pPr>
    </w:p>
    <w:p w14:paraId="5F30B3BD">
      <w:pPr>
        <w:rPr>
          <w:rFonts w:hint="eastAsia" w:ascii="宋体" w:hAnsi="宋体" w:eastAsia="宋体" w:cs="宋体"/>
          <w:b/>
          <w:color w:val="000000" w:themeColor="text1"/>
          <w:shd w:val="clear" w:color="auto" w:fill="auto"/>
          <w:lang w:eastAsia="zh-CN"/>
          <w14:textFill>
            <w14:solidFill>
              <w14:schemeClr w14:val="tx1"/>
            </w14:solidFill>
          </w14:textFill>
        </w:rPr>
      </w:pPr>
    </w:p>
    <w:p w14:paraId="2794DD4C">
      <w:pPr>
        <w:rPr>
          <w:rFonts w:hint="eastAsia" w:ascii="宋体" w:hAnsi="宋体" w:eastAsia="宋体" w:cs="宋体"/>
          <w:b/>
          <w:color w:val="000000" w:themeColor="text1"/>
          <w:shd w:val="clear" w:color="auto" w:fill="auto"/>
          <w:lang w:eastAsia="zh-CN"/>
          <w14:textFill>
            <w14:solidFill>
              <w14:schemeClr w14:val="tx1"/>
            </w14:solidFill>
          </w14:textFill>
        </w:rPr>
      </w:pPr>
    </w:p>
    <w:p w14:paraId="58D21E82">
      <w:pPr>
        <w:rPr>
          <w:rFonts w:hint="eastAsia" w:ascii="宋体" w:hAnsi="宋体" w:eastAsia="宋体" w:cs="宋体"/>
          <w:b/>
          <w:color w:val="000000" w:themeColor="text1"/>
          <w:shd w:val="clear" w:color="auto" w:fill="auto"/>
          <w:lang w:eastAsia="zh-CN"/>
          <w14:textFill>
            <w14:solidFill>
              <w14:schemeClr w14:val="tx1"/>
            </w14:solidFill>
          </w14:textFill>
        </w:rPr>
      </w:pPr>
    </w:p>
    <w:p w14:paraId="4E852679">
      <w:pPr>
        <w:rPr>
          <w:rFonts w:hint="eastAsia" w:ascii="宋体" w:hAnsi="宋体" w:eastAsia="宋体" w:cs="宋体"/>
          <w:b/>
          <w:color w:val="000000" w:themeColor="text1"/>
          <w:shd w:val="clear" w:color="auto" w:fill="auto"/>
          <w:lang w:eastAsia="zh-CN"/>
          <w14:textFill>
            <w14:solidFill>
              <w14:schemeClr w14:val="tx1"/>
            </w14:solidFill>
          </w14:textFill>
        </w:rPr>
      </w:pPr>
    </w:p>
    <w:p w14:paraId="7EB23F2F">
      <w:pPr>
        <w:rPr>
          <w:rFonts w:hint="eastAsia" w:ascii="宋体" w:hAnsi="宋体" w:eastAsia="宋体" w:cs="宋体"/>
          <w:b/>
          <w:color w:val="000000" w:themeColor="text1"/>
          <w:shd w:val="clear" w:color="auto" w:fill="auto"/>
          <w:lang w:eastAsia="zh-CN"/>
          <w14:textFill>
            <w14:solidFill>
              <w14:schemeClr w14:val="tx1"/>
            </w14:solidFill>
          </w14:textFill>
        </w:rPr>
      </w:pPr>
    </w:p>
    <w:p w14:paraId="1CACFC36">
      <w:pPr>
        <w:rPr>
          <w:rFonts w:hint="eastAsia" w:ascii="宋体" w:hAnsi="宋体" w:eastAsia="宋体" w:cs="宋体"/>
          <w:b/>
          <w:color w:val="000000" w:themeColor="text1"/>
          <w:shd w:val="clear" w:color="auto" w:fill="auto"/>
          <w:lang w:eastAsia="zh-CN"/>
          <w14:textFill>
            <w14:solidFill>
              <w14:schemeClr w14:val="tx1"/>
            </w14:solidFill>
          </w14:textFill>
        </w:rPr>
      </w:pPr>
    </w:p>
    <w:p w14:paraId="033C21E1">
      <w:pPr>
        <w:rPr>
          <w:rFonts w:hint="eastAsia" w:ascii="宋体" w:hAnsi="宋体" w:eastAsia="宋体" w:cs="宋体"/>
          <w:b/>
          <w:color w:val="000000" w:themeColor="text1"/>
          <w:shd w:val="clear" w:color="auto" w:fill="auto"/>
          <w:lang w:eastAsia="zh-CN"/>
          <w14:textFill>
            <w14:solidFill>
              <w14:schemeClr w14:val="tx1"/>
            </w14:solidFill>
          </w14:textFill>
        </w:rPr>
      </w:pPr>
    </w:p>
    <w:p w14:paraId="38D4753E">
      <w:pPr>
        <w:rPr>
          <w:rFonts w:hint="eastAsia" w:ascii="宋体" w:hAnsi="宋体" w:eastAsia="宋体" w:cs="宋体"/>
          <w:b/>
          <w:color w:val="000000" w:themeColor="text1"/>
          <w:shd w:val="clear" w:color="auto" w:fill="auto"/>
          <w:lang w:eastAsia="zh-CN"/>
          <w14:textFill>
            <w14:solidFill>
              <w14:schemeClr w14:val="tx1"/>
            </w14:solidFill>
          </w14:textFill>
        </w:rPr>
      </w:pPr>
    </w:p>
    <w:p w14:paraId="41C34B16">
      <w:pPr>
        <w:rPr>
          <w:rFonts w:hint="eastAsia" w:ascii="宋体" w:hAnsi="宋体" w:eastAsia="宋体" w:cs="宋体"/>
          <w:b/>
          <w:color w:val="000000" w:themeColor="text1"/>
          <w:shd w:val="clear" w:color="auto" w:fill="auto"/>
          <w:lang w:eastAsia="zh-CN"/>
          <w14:textFill>
            <w14:solidFill>
              <w14:schemeClr w14:val="tx1"/>
            </w14:solidFill>
          </w14:textFill>
        </w:rPr>
      </w:pPr>
    </w:p>
    <w:p w14:paraId="5C13DBBD">
      <w:pPr>
        <w:rPr>
          <w:rFonts w:hint="eastAsia" w:ascii="宋体" w:hAnsi="宋体" w:eastAsia="宋体" w:cs="宋体"/>
          <w:b/>
          <w:color w:val="000000" w:themeColor="text1"/>
          <w:shd w:val="clear" w:color="auto" w:fill="auto"/>
          <w:lang w:eastAsia="zh-CN"/>
          <w14:textFill>
            <w14:solidFill>
              <w14:schemeClr w14:val="tx1"/>
            </w14:solidFill>
          </w14:textFill>
        </w:rPr>
      </w:pPr>
    </w:p>
    <w:p w14:paraId="65CF7C38">
      <w:pPr>
        <w:rPr>
          <w:rFonts w:hint="eastAsia" w:ascii="宋体" w:hAnsi="宋体" w:eastAsia="宋体" w:cs="宋体"/>
          <w:b/>
          <w:color w:val="000000" w:themeColor="text1"/>
          <w:shd w:val="clear" w:color="auto" w:fill="auto"/>
          <w:lang w:eastAsia="zh-CN"/>
          <w14:textFill>
            <w14:solidFill>
              <w14:schemeClr w14:val="tx1"/>
            </w14:solidFill>
          </w14:textFill>
        </w:rPr>
      </w:pPr>
    </w:p>
    <w:p w14:paraId="330268A8">
      <w:pPr>
        <w:rPr>
          <w:rFonts w:hint="eastAsia" w:ascii="宋体" w:hAnsi="宋体" w:eastAsia="宋体" w:cs="宋体"/>
          <w:b/>
          <w:color w:val="000000" w:themeColor="text1"/>
          <w:shd w:val="clear" w:color="auto" w:fill="auto"/>
          <w:lang w:eastAsia="zh-CN"/>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48" w:name="_Toc313888362"/>
      <w:bookmarkStart w:id="149" w:name="_Toc342913421"/>
      <w:bookmarkStart w:id="150" w:name="_Toc480979020"/>
      <w:bookmarkStart w:id="151" w:name="_Toc485108798"/>
      <w:bookmarkStart w:id="15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0D316FDB">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366EA12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3"/>
      <w:bookmarkStart w:id="154" w:name="_Toc342913422"/>
      <w:bookmarkStart w:id="155" w:name="_Toc313008359"/>
      <w:bookmarkStart w:id="156"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4"/>
      <w:bookmarkEnd w:id="155"/>
      <w:bookmarkEnd w:id="156"/>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7"/>
    <w:bookmarkEnd w:id="158"/>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59" w:name="_Toc31463"/>
      <w:bookmarkStart w:id="160"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59"/>
    <w:bookmarkEnd w:id="160"/>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023841C3">
      <w:pPr>
        <w:rPr>
          <w:rFonts w:hint="eastAsia" w:ascii="宋体" w:hAnsi="宋体" w:eastAsia="宋体" w:cs="宋体"/>
          <w:color w:val="000000" w:themeColor="text1"/>
          <w:shd w:val="clear" w:color="auto" w:fill="auto"/>
          <w14:textFill>
            <w14:solidFill>
              <w14:schemeClr w14:val="tx1"/>
            </w14:solidFill>
          </w14:textFill>
        </w:rPr>
      </w:pPr>
    </w:p>
    <w:p w14:paraId="35774D42">
      <w:pPr>
        <w:rPr>
          <w:rFonts w:hint="eastAsia" w:ascii="宋体" w:hAnsi="宋体" w:eastAsia="宋体" w:cs="宋体"/>
          <w:color w:val="000000" w:themeColor="text1"/>
          <w:shd w:val="clear" w:color="auto" w:fill="auto"/>
          <w14:textFill>
            <w14:solidFill>
              <w14:schemeClr w14:val="tx1"/>
            </w14:solidFill>
          </w14:textFill>
        </w:rPr>
      </w:pPr>
    </w:p>
    <w:p w14:paraId="2159E3C9">
      <w:pPr>
        <w:rPr>
          <w:rFonts w:hint="eastAsia" w:ascii="宋体" w:hAnsi="宋体" w:eastAsia="宋体" w:cs="宋体"/>
          <w:color w:val="000000" w:themeColor="text1"/>
          <w:shd w:val="clear" w:color="auto" w:fill="auto"/>
          <w14:textFill>
            <w14:solidFill>
              <w14:schemeClr w14:val="tx1"/>
            </w14:solidFill>
          </w14:textFill>
        </w:rPr>
      </w:pPr>
    </w:p>
    <w:p w14:paraId="6CD7EB26">
      <w:pPr>
        <w:rPr>
          <w:rFonts w:hint="eastAsia" w:ascii="宋体" w:hAnsi="宋体" w:eastAsia="宋体" w:cs="宋体"/>
          <w:color w:val="000000" w:themeColor="text1"/>
          <w:shd w:val="clear" w:color="auto" w:fill="auto"/>
          <w14:textFill>
            <w14:solidFill>
              <w14:schemeClr w14:val="tx1"/>
            </w14:solidFill>
          </w14:textFill>
        </w:rPr>
      </w:pPr>
    </w:p>
    <w:p w14:paraId="7D702606">
      <w:pPr>
        <w:rPr>
          <w:rFonts w:hint="eastAsia" w:ascii="宋体" w:hAnsi="宋体" w:eastAsia="宋体" w:cs="宋体"/>
          <w:color w:val="000000" w:themeColor="text1"/>
          <w:shd w:val="clear" w:color="auto" w:fill="auto"/>
          <w:lang w:val="en-US" w:eastAsia="zh-CN"/>
          <w14:textFill>
            <w14:solidFill>
              <w14:schemeClr w14:val="tx1"/>
            </w14:solidFill>
          </w14:textFill>
        </w:rPr>
      </w:pPr>
      <w:r>
        <w:rPr>
          <w:rFonts w:hint="eastAsia" w:ascii="宋体" w:hAnsi="宋体" w:eastAsia="宋体" w:cs="宋体"/>
          <w:color w:val="000000" w:themeColor="text1"/>
          <w:shd w:val="clear" w:color="auto" w:fill="auto"/>
          <w:lang w:eastAsia="zh-CN"/>
          <w14:textFill>
            <w14:solidFill>
              <w14:schemeClr w14:val="tx1"/>
            </w14:solidFill>
          </w14:textFill>
        </w:rPr>
        <w:t>附件</w:t>
      </w:r>
      <w:r>
        <w:rPr>
          <w:rFonts w:hint="eastAsia" w:ascii="宋体" w:hAnsi="宋体" w:eastAsia="宋体" w:cs="宋体"/>
          <w:color w:val="000000" w:themeColor="text1"/>
          <w:shd w:val="clear" w:color="auto" w:fill="auto"/>
          <w:lang w:val="en-US" w:eastAsia="zh-CN"/>
          <w14:textFill>
            <w14:solidFill>
              <w14:schemeClr w14:val="tx1"/>
            </w14:solidFill>
          </w14:textFill>
        </w:rPr>
        <w:t>1</w:t>
      </w:r>
    </w:p>
    <w:p w14:paraId="11514757">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预防性试验内容及数量</w:t>
      </w:r>
    </w:p>
    <w:p w14:paraId="2E40667A">
      <w:pPr>
        <w:spacing w:before="100" w:after="50" w:line="360" w:lineRule="auto"/>
        <w:outlineLvl w:val="0"/>
        <w:rPr>
          <w:rFonts w:hint="default" w:ascii="Times New Roman" w:hAnsi="Times New Roman" w:eastAsia="方正黑体_GBK" w:cs="Times New Roman"/>
          <w:bCs/>
          <w:color w:val="auto"/>
          <w:sz w:val="28"/>
          <w:szCs w:val="28"/>
        </w:rPr>
      </w:pPr>
      <w:r>
        <w:rPr>
          <w:rFonts w:hint="default" w:ascii="Times New Roman" w:hAnsi="Times New Roman" w:eastAsia="方正黑体_GBK" w:cs="Times New Roman"/>
          <w:bCs/>
          <w:color w:val="auto"/>
          <w:sz w:val="28"/>
          <w:szCs w:val="28"/>
        </w:rPr>
        <w:t>1、试验对象数量</w:t>
      </w:r>
    </w:p>
    <w:tbl>
      <w:tblPr>
        <w:tblStyle w:val="59"/>
        <w:tblW w:w="86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2422"/>
        <w:gridCol w:w="1932"/>
        <w:gridCol w:w="1493"/>
        <w:gridCol w:w="1743"/>
      </w:tblGrid>
      <w:tr w14:paraId="68953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53" w:type="dxa"/>
            <w:vAlign w:val="center"/>
          </w:tcPr>
          <w:p w14:paraId="7000FCB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序号</w:t>
            </w:r>
          </w:p>
        </w:tc>
        <w:tc>
          <w:tcPr>
            <w:tcW w:w="2422" w:type="dxa"/>
            <w:vAlign w:val="center"/>
          </w:tcPr>
          <w:p w14:paraId="7854D3A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名称</w:t>
            </w:r>
          </w:p>
        </w:tc>
        <w:tc>
          <w:tcPr>
            <w:tcW w:w="1932" w:type="dxa"/>
            <w:vAlign w:val="center"/>
          </w:tcPr>
          <w:p w14:paraId="2C0B4E0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类型</w:t>
            </w:r>
          </w:p>
        </w:tc>
        <w:tc>
          <w:tcPr>
            <w:tcW w:w="1493" w:type="dxa"/>
            <w:vAlign w:val="center"/>
          </w:tcPr>
          <w:p w14:paraId="345D89D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数量</w:t>
            </w:r>
          </w:p>
        </w:tc>
        <w:tc>
          <w:tcPr>
            <w:tcW w:w="1743" w:type="dxa"/>
            <w:vAlign w:val="center"/>
          </w:tcPr>
          <w:p w14:paraId="2A4BEDE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备注</w:t>
            </w:r>
          </w:p>
        </w:tc>
      </w:tr>
      <w:tr w14:paraId="5307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53" w:type="dxa"/>
            <w:vAlign w:val="center"/>
          </w:tcPr>
          <w:p w14:paraId="759CA38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1</w:t>
            </w:r>
          </w:p>
        </w:tc>
        <w:tc>
          <w:tcPr>
            <w:tcW w:w="2422" w:type="dxa"/>
            <w:vAlign w:val="center"/>
          </w:tcPr>
          <w:p w14:paraId="460CBE8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变压器</w:t>
            </w:r>
          </w:p>
        </w:tc>
        <w:tc>
          <w:tcPr>
            <w:tcW w:w="1932" w:type="dxa"/>
            <w:vAlign w:val="center"/>
          </w:tcPr>
          <w:p w14:paraId="5653F81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1000KVA</w:t>
            </w:r>
          </w:p>
        </w:tc>
        <w:tc>
          <w:tcPr>
            <w:tcW w:w="1493" w:type="dxa"/>
            <w:vAlign w:val="center"/>
          </w:tcPr>
          <w:p w14:paraId="4F0A82A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6</w:t>
            </w:r>
          </w:p>
        </w:tc>
        <w:tc>
          <w:tcPr>
            <w:tcW w:w="1743" w:type="dxa"/>
            <w:vAlign w:val="center"/>
          </w:tcPr>
          <w:p w14:paraId="01905CD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萱花院区</w:t>
            </w:r>
          </w:p>
        </w:tc>
      </w:tr>
      <w:tr w14:paraId="323A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53" w:type="dxa"/>
            <w:vAlign w:val="center"/>
          </w:tcPr>
          <w:p w14:paraId="3B21797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2</w:t>
            </w:r>
          </w:p>
        </w:tc>
        <w:tc>
          <w:tcPr>
            <w:tcW w:w="2422" w:type="dxa"/>
            <w:vAlign w:val="center"/>
          </w:tcPr>
          <w:p w14:paraId="3BF7F92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变压器</w:t>
            </w:r>
          </w:p>
        </w:tc>
        <w:tc>
          <w:tcPr>
            <w:tcW w:w="1932" w:type="dxa"/>
            <w:vAlign w:val="center"/>
          </w:tcPr>
          <w:p w14:paraId="4CF26B8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1600KVA</w:t>
            </w:r>
          </w:p>
        </w:tc>
        <w:tc>
          <w:tcPr>
            <w:tcW w:w="1493" w:type="dxa"/>
            <w:vAlign w:val="center"/>
          </w:tcPr>
          <w:p w14:paraId="0C24C56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4</w:t>
            </w:r>
          </w:p>
        </w:tc>
        <w:tc>
          <w:tcPr>
            <w:tcW w:w="1743" w:type="dxa"/>
            <w:vAlign w:val="center"/>
          </w:tcPr>
          <w:p w14:paraId="483D42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萱花院区2台，兴龙湖院区全科楼2台</w:t>
            </w:r>
          </w:p>
        </w:tc>
      </w:tr>
      <w:tr w14:paraId="0CAA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53" w:type="dxa"/>
            <w:vAlign w:val="center"/>
          </w:tcPr>
          <w:p w14:paraId="187A9FB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3</w:t>
            </w:r>
          </w:p>
        </w:tc>
        <w:tc>
          <w:tcPr>
            <w:tcW w:w="2422" w:type="dxa"/>
            <w:vAlign w:val="center"/>
          </w:tcPr>
          <w:p w14:paraId="35746CB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变压器</w:t>
            </w:r>
          </w:p>
        </w:tc>
        <w:tc>
          <w:tcPr>
            <w:tcW w:w="1932" w:type="dxa"/>
            <w:vAlign w:val="center"/>
          </w:tcPr>
          <w:p w14:paraId="6535698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400KVA</w:t>
            </w:r>
          </w:p>
        </w:tc>
        <w:tc>
          <w:tcPr>
            <w:tcW w:w="1493" w:type="dxa"/>
            <w:vAlign w:val="center"/>
          </w:tcPr>
          <w:p w14:paraId="1DA403F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1</w:t>
            </w:r>
          </w:p>
        </w:tc>
        <w:tc>
          <w:tcPr>
            <w:tcW w:w="1743" w:type="dxa"/>
            <w:vAlign w:val="center"/>
          </w:tcPr>
          <w:p w14:paraId="1CC8D95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老教学部</w:t>
            </w:r>
          </w:p>
        </w:tc>
      </w:tr>
      <w:tr w14:paraId="5C14E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53" w:type="dxa"/>
            <w:vAlign w:val="center"/>
          </w:tcPr>
          <w:p w14:paraId="6A22870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4</w:t>
            </w:r>
          </w:p>
        </w:tc>
        <w:tc>
          <w:tcPr>
            <w:tcW w:w="2422" w:type="dxa"/>
            <w:vAlign w:val="center"/>
          </w:tcPr>
          <w:p w14:paraId="195F95F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变压器</w:t>
            </w:r>
          </w:p>
        </w:tc>
        <w:tc>
          <w:tcPr>
            <w:tcW w:w="1932" w:type="dxa"/>
            <w:vAlign w:val="center"/>
          </w:tcPr>
          <w:p w14:paraId="7E81CE5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80KVA</w:t>
            </w:r>
          </w:p>
        </w:tc>
        <w:tc>
          <w:tcPr>
            <w:tcW w:w="1493" w:type="dxa"/>
            <w:vAlign w:val="center"/>
          </w:tcPr>
          <w:p w14:paraId="1CCF67A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1</w:t>
            </w:r>
          </w:p>
        </w:tc>
        <w:tc>
          <w:tcPr>
            <w:tcW w:w="1743" w:type="dxa"/>
            <w:vAlign w:val="center"/>
          </w:tcPr>
          <w:p w14:paraId="436B499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保健所</w:t>
            </w:r>
          </w:p>
        </w:tc>
      </w:tr>
      <w:tr w14:paraId="0AB5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53" w:type="dxa"/>
            <w:vAlign w:val="center"/>
          </w:tcPr>
          <w:p w14:paraId="2D00EEB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5</w:t>
            </w:r>
          </w:p>
        </w:tc>
        <w:tc>
          <w:tcPr>
            <w:tcW w:w="2422" w:type="dxa"/>
            <w:vAlign w:val="center"/>
          </w:tcPr>
          <w:p w14:paraId="5B2A52B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避雷器</w:t>
            </w:r>
          </w:p>
        </w:tc>
        <w:tc>
          <w:tcPr>
            <w:tcW w:w="1932" w:type="dxa"/>
            <w:vAlign w:val="center"/>
          </w:tcPr>
          <w:p w14:paraId="7D0D6FF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p>
        </w:tc>
        <w:tc>
          <w:tcPr>
            <w:tcW w:w="1493" w:type="dxa"/>
            <w:vAlign w:val="center"/>
          </w:tcPr>
          <w:p w14:paraId="6E78BAD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8</w:t>
            </w:r>
          </w:p>
        </w:tc>
        <w:tc>
          <w:tcPr>
            <w:tcW w:w="1743" w:type="dxa"/>
            <w:vAlign w:val="center"/>
          </w:tcPr>
          <w:p w14:paraId="125ED4C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p>
        </w:tc>
      </w:tr>
      <w:tr w14:paraId="6478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53" w:type="dxa"/>
            <w:vAlign w:val="center"/>
          </w:tcPr>
          <w:p w14:paraId="0678970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6</w:t>
            </w:r>
          </w:p>
        </w:tc>
        <w:tc>
          <w:tcPr>
            <w:tcW w:w="2422" w:type="dxa"/>
            <w:vAlign w:val="center"/>
          </w:tcPr>
          <w:p w14:paraId="4211E72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PT柜</w:t>
            </w:r>
          </w:p>
        </w:tc>
        <w:tc>
          <w:tcPr>
            <w:tcW w:w="1932" w:type="dxa"/>
            <w:vAlign w:val="center"/>
          </w:tcPr>
          <w:p w14:paraId="061A6C2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p>
        </w:tc>
        <w:tc>
          <w:tcPr>
            <w:tcW w:w="1493" w:type="dxa"/>
            <w:vAlign w:val="center"/>
          </w:tcPr>
          <w:p w14:paraId="1CA8259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3</w:t>
            </w:r>
          </w:p>
        </w:tc>
        <w:tc>
          <w:tcPr>
            <w:tcW w:w="1743" w:type="dxa"/>
            <w:vAlign w:val="center"/>
          </w:tcPr>
          <w:p w14:paraId="0CB0AF5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p>
        </w:tc>
      </w:tr>
      <w:tr w14:paraId="71E5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53" w:type="dxa"/>
            <w:vAlign w:val="center"/>
          </w:tcPr>
          <w:p w14:paraId="08732E9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7</w:t>
            </w:r>
          </w:p>
        </w:tc>
        <w:tc>
          <w:tcPr>
            <w:tcW w:w="2422" w:type="dxa"/>
            <w:vAlign w:val="center"/>
          </w:tcPr>
          <w:p w14:paraId="2AE413B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接地网</w:t>
            </w:r>
          </w:p>
        </w:tc>
        <w:tc>
          <w:tcPr>
            <w:tcW w:w="1932" w:type="dxa"/>
            <w:vAlign w:val="center"/>
          </w:tcPr>
          <w:p w14:paraId="1CC4669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p>
        </w:tc>
        <w:tc>
          <w:tcPr>
            <w:tcW w:w="1493" w:type="dxa"/>
            <w:vAlign w:val="center"/>
          </w:tcPr>
          <w:p w14:paraId="1B1F04D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3</w:t>
            </w:r>
          </w:p>
        </w:tc>
        <w:tc>
          <w:tcPr>
            <w:tcW w:w="1743" w:type="dxa"/>
            <w:vAlign w:val="center"/>
          </w:tcPr>
          <w:p w14:paraId="33FDF3C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p>
        </w:tc>
      </w:tr>
      <w:tr w14:paraId="725E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53" w:type="dxa"/>
            <w:vAlign w:val="center"/>
          </w:tcPr>
          <w:p w14:paraId="0E9145F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8</w:t>
            </w:r>
          </w:p>
        </w:tc>
        <w:tc>
          <w:tcPr>
            <w:tcW w:w="2422" w:type="dxa"/>
            <w:vAlign w:val="center"/>
          </w:tcPr>
          <w:p w14:paraId="5CFDCFC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高压电缆</w:t>
            </w:r>
          </w:p>
        </w:tc>
        <w:tc>
          <w:tcPr>
            <w:tcW w:w="1932" w:type="dxa"/>
            <w:vAlign w:val="center"/>
          </w:tcPr>
          <w:p w14:paraId="59861B9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p>
        </w:tc>
        <w:tc>
          <w:tcPr>
            <w:tcW w:w="1493" w:type="dxa"/>
            <w:vAlign w:val="center"/>
          </w:tcPr>
          <w:p w14:paraId="24F1C2C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15</w:t>
            </w:r>
          </w:p>
        </w:tc>
        <w:tc>
          <w:tcPr>
            <w:tcW w:w="1743" w:type="dxa"/>
            <w:vAlign w:val="center"/>
          </w:tcPr>
          <w:p w14:paraId="439AA4E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p>
        </w:tc>
      </w:tr>
      <w:tr w14:paraId="705B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53" w:type="dxa"/>
            <w:vAlign w:val="center"/>
          </w:tcPr>
          <w:p w14:paraId="1096CF0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9</w:t>
            </w:r>
          </w:p>
        </w:tc>
        <w:tc>
          <w:tcPr>
            <w:tcW w:w="2422" w:type="dxa"/>
            <w:vAlign w:val="center"/>
          </w:tcPr>
          <w:p w14:paraId="136262C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高压断路器</w:t>
            </w:r>
          </w:p>
        </w:tc>
        <w:tc>
          <w:tcPr>
            <w:tcW w:w="1932" w:type="dxa"/>
            <w:vAlign w:val="center"/>
          </w:tcPr>
          <w:p w14:paraId="733A564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p>
        </w:tc>
        <w:tc>
          <w:tcPr>
            <w:tcW w:w="1493" w:type="dxa"/>
            <w:vAlign w:val="center"/>
          </w:tcPr>
          <w:p w14:paraId="2F8274F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22</w:t>
            </w:r>
          </w:p>
        </w:tc>
        <w:tc>
          <w:tcPr>
            <w:tcW w:w="1743" w:type="dxa"/>
            <w:vAlign w:val="center"/>
          </w:tcPr>
          <w:p w14:paraId="25787C3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p>
        </w:tc>
      </w:tr>
      <w:tr w14:paraId="09EE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53" w:type="dxa"/>
            <w:vAlign w:val="center"/>
          </w:tcPr>
          <w:p w14:paraId="40D027E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10</w:t>
            </w:r>
          </w:p>
        </w:tc>
        <w:tc>
          <w:tcPr>
            <w:tcW w:w="2422" w:type="dxa"/>
            <w:vAlign w:val="center"/>
          </w:tcPr>
          <w:p w14:paraId="17C0BEC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保护设备试验</w:t>
            </w:r>
          </w:p>
        </w:tc>
        <w:tc>
          <w:tcPr>
            <w:tcW w:w="1932" w:type="dxa"/>
            <w:vAlign w:val="center"/>
          </w:tcPr>
          <w:p w14:paraId="7499742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p>
        </w:tc>
        <w:tc>
          <w:tcPr>
            <w:tcW w:w="1493" w:type="dxa"/>
            <w:vAlign w:val="center"/>
          </w:tcPr>
          <w:p w14:paraId="607F488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18</w:t>
            </w:r>
          </w:p>
        </w:tc>
        <w:tc>
          <w:tcPr>
            <w:tcW w:w="1743" w:type="dxa"/>
            <w:vAlign w:val="center"/>
          </w:tcPr>
          <w:p w14:paraId="2AB1976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仿宋_GBK" w:cs="Times New Roman"/>
                <w:color w:val="auto"/>
                <w:sz w:val="24"/>
                <w:szCs w:val="28"/>
              </w:rPr>
            </w:pPr>
          </w:p>
        </w:tc>
      </w:tr>
    </w:tbl>
    <w:p w14:paraId="7E4EF96E">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23179E91">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1F1E3345">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73A5189B">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2EF109C6">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7BE6C160">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3FEFF952">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5B313C4D">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346D0409">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11058467">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78F614AC">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509EFA36">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2994B572">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00384A6D">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73E92C52">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41198704">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73A7BD42">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7C0ADF58">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3CB80A7F">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64A9938A">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1AE7E20D">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3A9A6E6F">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45F490A4">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3BD2C082">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132E1540">
      <w:pPr>
        <w:spacing w:before="100" w:after="50" w:line="360" w:lineRule="auto"/>
        <w:outlineLvl w:val="0"/>
        <w:rPr>
          <w:rFonts w:hint="default" w:ascii="Times New Roman" w:hAnsi="Times New Roman" w:eastAsia="方正黑体_GBK" w:cs="Times New Roman"/>
          <w:bCs/>
          <w:color w:val="auto"/>
          <w:sz w:val="28"/>
          <w:szCs w:val="28"/>
        </w:rPr>
      </w:pPr>
      <w:r>
        <w:rPr>
          <w:rFonts w:hint="eastAsia" w:ascii="宋体" w:hAnsi="宋体" w:eastAsia="宋体" w:cs="宋体"/>
          <w:color w:val="000000" w:themeColor="text1"/>
          <w:shd w:val="clear" w:color="auto" w:fill="auto"/>
          <w:lang w:val="en-US" w:eastAsia="zh-CN"/>
          <w14:textFill>
            <w14:solidFill>
              <w14:schemeClr w14:val="tx1"/>
            </w14:solidFill>
          </w14:textFill>
        </w:rPr>
        <w:t xml:space="preserve">附件2 </w:t>
      </w:r>
      <w:r>
        <w:rPr>
          <w:rFonts w:hint="default" w:ascii="Times New Roman" w:hAnsi="Times New Roman" w:eastAsia="方正黑体_GBK" w:cs="Times New Roman"/>
          <w:bCs/>
          <w:color w:val="auto"/>
          <w:sz w:val="28"/>
          <w:szCs w:val="28"/>
        </w:rPr>
        <w:t>试验对象测试内容</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9"/>
        <w:gridCol w:w="3873"/>
      </w:tblGrid>
      <w:tr w14:paraId="058A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9" w:type="dxa"/>
            <w:vAlign w:val="center"/>
          </w:tcPr>
          <w:p w14:paraId="4BE2C679">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测试设备名称</w:t>
            </w:r>
          </w:p>
        </w:tc>
        <w:tc>
          <w:tcPr>
            <w:tcW w:w="3873" w:type="dxa"/>
            <w:vAlign w:val="center"/>
          </w:tcPr>
          <w:p w14:paraId="19805577">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测试项目名称</w:t>
            </w:r>
          </w:p>
        </w:tc>
      </w:tr>
      <w:tr w14:paraId="34A2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9" w:type="dxa"/>
            <w:vMerge w:val="restart"/>
            <w:vAlign w:val="center"/>
          </w:tcPr>
          <w:p w14:paraId="37C769C6">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电力变压器</w:t>
            </w:r>
          </w:p>
        </w:tc>
        <w:tc>
          <w:tcPr>
            <w:tcW w:w="3873" w:type="dxa"/>
            <w:vAlign w:val="center"/>
          </w:tcPr>
          <w:p w14:paraId="3E283E60">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绝缘电阻</w:t>
            </w:r>
          </w:p>
        </w:tc>
      </w:tr>
      <w:tr w14:paraId="77742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9" w:type="dxa"/>
            <w:vMerge w:val="continue"/>
            <w:vAlign w:val="center"/>
          </w:tcPr>
          <w:p w14:paraId="2787986D">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p>
        </w:tc>
        <w:tc>
          <w:tcPr>
            <w:tcW w:w="3873" w:type="dxa"/>
            <w:vAlign w:val="center"/>
          </w:tcPr>
          <w:p w14:paraId="3562DCF6">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直流接触电阻</w:t>
            </w:r>
          </w:p>
        </w:tc>
      </w:tr>
      <w:tr w14:paraId="3BBA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9" w:type="dxa"/>
            <w:vMerge w:val="continue"/>
            <w:vAlign w:val="center"/>
          </w:tcPr>
          <w:p w14:paraId="3108CC05">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p>
        </w:tc>
        <w:tc>
          <w:tcPr>
            <w:tcW w:w="3873" w:type="dxa"/>
            <w:vAlign w:val="center"/>
          </w:tcPr>
          <w:p w14:paraId="40EBD853">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交流耐压</w:t>
            </w:r>
          </w:p>
        </w:tc>
      </w:tr>
      <w:tr w14:paraId="2F583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9" w:type="dxa"/>
            <w:vMerge w:val="restart"/>
            <w:vAlign w:val="center"/>
          </w:tcPr>
          <w:p w14:paraId="54ECB1DE">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真空断路器</w:t>
            </w:r>
          </w:p>
        </w:tc>
        <w:tc>
          <w:tcPr>
            <w:tcW w:w="3873" w:type="dxa"/>
            <w:vAlign w:val="center"/>
          </w:tcPr>
          <w:p w14:paraId="035BF89B">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绝缘电阻</w:t>
            </w:r>
          </w:p>
        </w:tc>
      </w:tr>
      <w:tr w14:paraId="1677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9" w:type="dxa"/>
            <w:vMerge w:val="continue"/>
            <w:vAlign w:val="center"/>
          </w:tcPr>
          <w:p w14:paraId="38875486">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p>
        </w:tc>
        <w:tc>
          <w:tcPr>
            <w:tcW w:w="3873" w:type="dxa"/>
            <w:vAlign w:val="center"/>
          </w:tcPr>
          <w:p w14:paraId="6BC0BC69">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直流接触电阻</w:t>
            </w:r>
          </w:p>
        </w:tc>
      </w:tr>
      <w:tr w14:paraId="7FA4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9" w:type="dxa"/>
            <w:vMerge w:val="continue"/>
            <w:vAlign w:val="center"/>
          </w:tcPr>
          <w:p w14:paraId="0E93D151">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p>
        </w:tc>
        <w:tc>
          <w:tcPr>
            <w:tcW w:w="3873" w:type="dxa"/>
            <w:vAlign w:val="center"/>
          </w:tcPr>
          <w:p w14:paraId="2C872A36">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交流耐压</w:t>
            </w:r>
          </w:p>
        </w:tc>
      </w:tr>
      <w:tr w14:paraId="01789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9" w:type="dxa"/>
            <w:vMerge w:val="restart"/>
            <w:vAlign w:val="center"/>
          </w:tcPr>
          <w:p w14:paraId="52683973">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高压开关柜</w:t>
            </w:r>
          </w:p>
        </w:tc>
        <w:tc>
          <w:tcPr>
            <w:tcW w:w="3873" w:type="dxa"/>
            <w:vAlign w:val="center"/>
          </w:tcPr>
          <w:p w14:paraId="51DCDA0D">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整体绝缘电阻</w:t>
            </w:r>
          </w:p>
        </w:tc>
      </w:tr>
      <w:tr w14:paraId="54B8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9" w:type="dxa"/>
            <w:vMerge w:val="continue"/>
            <w:vAlign w:val="center"/>
          </w:tcPr>
          <w:p w14:paraId="15AD7F57">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p>
        </w:tc>
        <w:tc>
          <w:tcPr>
            <w:tcW w:w="3873" w:type="dxa"/>
            <w:vAlign w:val="center"/>
          </w:tcPr>
          <w:p w14:paraId="183A945B">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整体可靠连接</w:t>
            </w:r>
          </w:p>
        </w:tc>
      </w:tr>
      <w:tr w14:paraId="410B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9" w:type="dxa"/>
            <w:vMerge w:val="continue"/>
            <w:vAlign w:val="center"/>
          </w:tcPr>
          <w:p w14:paraId="33020969">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p>
        </w:tc>
        <w:tc>
          <w:tcPr>
            <w:tcW w:w="3873" w:type="dxa"/>
            <w:vAlign w:val="center"/>
          </w:tcPr>
          <w:p w14:paraId="39CF1CA8">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交流耐压</w:t>
            </w:r>
          </w:p>
        </w:tc>
      </w:tr>
      <w:tr w14:paraId="7B19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9" w:type="dxa"/>
            <w:vMerge w:val="restart"/>
            <w:vAlign w:val="center"/>
          </w:tcPr>
          <w:p w14:paraId="58DE03F9">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高压电缆</w:t>
            </w:r>
          </w:p>
        </w:tc>
        <w:tc>
          <w:tcPr>
            <w:tcW w:w="3873" w:type="dxa"/>
            <w:vAlign w:val="center"/>
          </w:tcPr>
          <w:p w14:paraId="148A83DF">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绝缘电阻</w:t>
            </w:r>
          </w:p>
        </w:tc>
      </w:tr>
      <w:tr w14:paraId="6BBF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9" w:type="dxa"/>
            <w:vMerge w:val="continue"/>
            <w:vAlign w:val="center"/>
          </w:tcPr>
          <w:p w14:paraId="03253FDA">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p>
        </w:tc>
        <w:tc>
          <w:tcPr>
            <w:tcW w:w="3873" w:type="dxa"/>
            <w:vAlign w:val="center"/>
          </w:tcPr>
          <w:p w14:paraId="354A11C6">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直流耐压</w:t>
            </w:r>
          </w:p>
        </w:tc>
      </w:tr>
      <w:tr w14:paraId="7468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9" w:type="dxa"/>
            <w:vMerge w:val="restart"/>
            <w:vAlign w:val="center"/>
          </w:tcPr>
          <w:p w14:paraId="7D0C4CDB">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避雷器</w:t>
            </w:r>
          </w:p>
        </w:tc>
        <w:tc>
          <w:tcPr>
            <w:tcW w:w="3873" w:type="dxa"/>
            <w:vAlign w:val="center"/>
          </w:tcPr>
          <w:p w14:paraId="170702C3">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绝缘电阻</w:t>
            </w:r>
          </w:p>
        </w:tc>
      </w:tr>
      <w:tr w14:paraId="2F4E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9" w:type="dxa"/>
            <w:vMerge w:val="continue"/>
            <w:vAlign w:val="center"/>
          </w:tcPr>
          <w:p w14:paraId="474E2D55">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p>
        </w:tc>
        <w:tc>
          <w:tcPr>
            <w:tcW w:w="3873" w:type="dxa"/>
            <w:vAlign w:val="center"/>
          </w:tcPr>
          <w:p w14:paraId="2C432F28">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直流耐压</w:t>
            </w:r>
          </w:p>
        </w:tc>
      </w:tr>
      <w:tr w14:paraId="45D4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9" w:type="dxa"/>
            <w:vAlign w:val="center"/>
          </w:tcPr>
          <w:p w14:paraId="362B3FF6">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接地网</w:t>
            </w:r>
          </w:p>
        </w:tc>
        <w:tc>
          <w:tcPr>
            <w:tcW w:w="3873" w:type="dxa"/>
            <w:vAlign w:val="center"/>
          </w:tcPr>
          <w:p w14:paraId="46446FD5">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接地阻值</w:t>
            </w:r>
          </w:p>
        </w:tc>
      </w:tr>
      <w:tr w14:paraId="2ACE2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9" w:type="dxa"/>
            <w:vMerge w:val="restart"/>
            <w:vAlign w:val="center"/>
          </w:tcPr>
          <w:p w14:paraId="46C559E1">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继电保护</w:t>
            </w:r>
          </w:p>
        </w:tc>
        <w:tc>
          <w:tcPr>
            <w:tcW w:w="3873" w:type="dxa"/>
            <w:vAlign w:val="center"/>
          </w:tcPr>
          <w:p w14:paraId="1AC86A7B">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外观检查</w:t>
            </w:r>
          </w:p>
        </w:tc>
      </w:tr>
      <w:tr w14:paraId="39D6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9" w:type="dxa"/>
            <w:vMerge w:val="continue"/>
            <w:vAlign w:val="center"/>
          </w:tcPr>
          <w:p w14:paraId="7C7FC632">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p>
        </w:tc>
        <w:tc>
          <w:tcPr>
            <w:tcW w:w="3873" w:type="dxa"/>
            <w:vAlign w:val="center"/>
          </w:tcPr>
          <w:p w14:paraId="4A2EE701">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二次回路</w:t>
            </w:r>
          </w:p>
        </w:tc>
      </w:tr>
      <w:tr w14:paraId="305D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9" w:type="dxa"/>
            <w:vMerge w:val="continue"/>
            <w:vAlign w:val="center"/>
          </w:tcPr>
          <w:p w14:paraId="4644535E">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p>
        </w:tc>
        <w:tc>
          <w:tcPr>
            <w:tcW w:w="3873" w:type="dxa"/>
            <w:vAlign w:val="center"/>
          </w:tcPr>
          <w:p w14:paraId="762BD5B3">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绝缘阻值及互感器变比</w:t>
            </w:r>
          </w:p>
        </w:tc>
      </w:tr>
      <w:tr w14:paraId="51C5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9" w:type="dxa"/>
            <w:vMerge w:val="continue"/>
            <w:vAlign w:val="center"/>
          </w:tcPr>
          <w:p w14:paraId="59614EF0">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p>
        </w:tc>
        <w:tc>
          <w:tcPr>
            <w:tcW w:w="3873" w:type="dxa"/>
            <w:vAlign w:val="center"/>
          </w:tcPr>
          <w:p w14:paraId="6E54EB3E">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整定值及时间试验</w:t>
            </w:r>
          </w:p>
        </w:tc>
      </w:tr>
      <w:tr w14:paraId="717A5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39" w:type="dxa"/>
            <w:vMerge w:val="continue"/>
            <w:vAlign w:val="center"/>
          </w:tcPr>
          <w:p w14:paraId="5F67E121">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p>
        </w:tc>
        <w:tc>
          <w:tcPr>
            <w:tcW w:w="3873" w:type="dxa"/>
            <w:vAlign w:val="center"/>
          </w:tcPr>
          <w:p w14:paraId="12E82E63">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szCs w:val="28"/>
              </w:rPr>
              <w:t>整组试验</w:t>
            </w:r>
          </w:p>
        </w:tc>
      </w:tr>
    </w:tbl>
    <w:p w14:paraId="4D15F783">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5FBC6776-2683-4891-8284-8CEB7753FB09}"/>
  </w:font>
  <w:font w:name="方正黑体_GBK">
    <w:panose1 w:val="03000509000000000000"/>
    <w:charset w:val="86"/>
    <w:family w:val="script"/>
    <w:pitch w:val="default"/>
    <w:sig w:usb0="00000001" w:usb1="080E0000" w:usb2="00000000" w:usb3="00000000" w:csb0="00040000" w:csb1="00000000"/>
    <w:embedRegular r:id="rId2" w:fontKey="{29886CF5-A0F4-4405-BA45-7A3650FE86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4A714E"/>
    <w:rsid w:val="015A3746"/>
    <w:rsid w:val="021D673F"/>
    <w:rsid w:val="02962383"/>
    <w:rsid w:val="02D84414"/>
    <w:rsid w:val="02FE0C09"/>
    <w:rsid w:val="037759DB"/>
    <w:rsid w:val="03BB3ADF"/>
    <w:rsid w:val="03C2134C"/>
    <w:rsid w:val="04DA26C6"/>
    <w:rsid w:val="04F00597"/>
    <w:rsid w:val="051A354D"/>
    <w:rsid w:val="05E64439"/>
    <w:rsid w:val="05E94CDF"/>
    <w:rsid w:val="060E092E"/>
    <w:rsid w:val="065A1406"/>
    <w:rsid w:val="067D7A0C"/>
    <w:rsid w:val="06A45EA9"/>
    <w:rsid w:val="06BC1BB0"/>
    <w:rsid w:val="06DD11C7"/>
    <w:rsid w:val="074B1659"/>
    <w:rsid w:val="07911761"/>
    <w:rsid w:val="07C5765D"/>
    <w:rsid w:val="07F26429"/>
    <w:rsid w:val="084C34CD"/>
    <w:rsid w:val="094176DB"/>
    <w:rsid w:val="09B90486"/>
    <w:rsid w:val="0ACE6451"/>
    <w:rsid w:val="0ACF458A"/>
    <w:rsid w:val="0B6515A1"/>
    <w:rsid w:val="0B6F68C5"/>
    <w:rsid w:val="0BAE21B6"/>
    <w:rsid w:val="0BDC31C7"/>
    <w:rsid w:val="0BE1258C"/>
    <w:rsid w:val="0BE64970"/>
    <w:rsid w:val="0C033E70"/>
    <w:rsid w:val="0C3152C1"/>
    <w:rsid w:val="0C481EEF"/>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1014334F"/>
    <w:rsid w:val="10246EEB"/>
    <w:rsid w:val="10413B50"/>
    <w:rsid w:val="104D689B"/>
    <w:rsid w:val="109D57E0"/>
    <w:rsid w:val="10BF5E9B"/>
    <w:rsid w:val="111523FC"/>
    <w:rsid w:val="11782A26"/>
    <w:rsid w:val="13141499"/>
    <w:rsid w:val="131D034D"/>
    <w:rsid w:val="134E0964"/>
    <w:rsid w:val="13653AA2"/>
    <w:rsid w:val="13D52C1B"/>
    <w:rsid w:val="13F41DC8"/>
    <w:rsid w:val="144B1714"/>
    <w:rsid w:val="149B44BB"/>
    <w:rsid w:val="14B95EDB"/>
    <w:rsid w:val="14C6168E"/>
    <w:rsid w:val="14C6556D"/>
    <w:rsid w:val="151E30B3"/>
    <w:rsid w:val="1554725E"/>
    <w:rsid w:val="15604521"/>
    <w:rsid w:val="156125ED"/>
    <w:rsid w:val="158D32E0"/>
    <w:rsid w:val="16243DF1"/>
    <w:rsid w:val="17E52B34"/>
    <w:rsid w:val="18130842"/>
    <w:rsid w:val="18465822"/>
    <w:rsid w:val="18675712"/>
    <w:rsid w:val="188B43F5"/>
    <w:rsid w:val="18E50010"/>
    <w:rsid w:val="18F71640"/>
    <w:rsid w:val="19394057"/>
    <w:rsid w:val="199A1032"/>
    <w:rsid w:val="199C2358"/>
    <w:rsid w:val="19B7492C"/>
    <w:rsid w:val="19D34E8C"/>
    <w:rsid w:val="1A511E59"/>
    <w:rsid w:val="1A705757"/>
    <w:rsid w:val="1AF71484"/>
    <w:rsid w:val="1B1D5FE3"/>
    <w:rsid w:val="1B484046"/>
    <w:rsid w:val="1B4A5E5B"/>
    <w:rsid w:val="1B925650"/>
    <w:rsid w:val="1C0025BA"/>
    <w:rsid w:val="1C66752D"/>
    <w:rsid w:val="1C6945DA"/>
    <w:rsid w:val="1CA5518A"/>
    <w:rsid w:val="1CD22D64"/>
    <w:rsid w:val="1CED540D"/>
    <w:rsid w:val="1CF33ECD"/>
    <w:rsid w:val="1CF736B7"/>
    <w:rsid w:val="1CFC0128"/>
    <w:rsid w:val="1D632E00"/>
    <w:rsid w:val="1DD87EDC"/>
    <w:rsid w:val="1DDA4D59"/>
    <w:rsid w:val="1E2C0FC6"/>
    <w:rsid w:val="1E8652AA"/>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6435EB"/>
    <w:rsid w:val="21C45BE8"/>
    <w:rsid w:val="21F678C9"/>
    <w:rsid w:val="21F94F0D"/>
    <w:rsid w:val="22186A2C"/>
    <w:rsid w:val="224F1BA5"/>
    <w:rsid w:val="226E25C3"/>
    <w:rsid w:val="22EF7055"/>
    <w:rsid w:val="231132FF"/>
    <w:rsid w:val="23743B1F"/>
    <w:rsid w:val="240C0392"/>
    <w:rsid w:val="241F1A4B"/>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812A23"/>
    <w:rsid w:val="2CDF621C"/>
    <w:rsid w:val="2CF2794B"/>
    <w:rsid w:val="2D9073ED"/>
    <w:rsid w:val="2DCE45FA"/>
    <w:rsid w:val="2E4A05E4"/>
    <w:rsid w:val="2F1F1F02"/>
    <w:rsid w:val="2F2348BD"/>
    <w:rsid w:val="2F6F1AD9"/>
    <w:rsid w:val="2F831DB2"/>
    <w:rsid w:val="2F943FCB"/>
    <w:rsid w:val="2FD06C0B"/>
    <w:rsid w:val="302847BB"/>
    <w:rsid w:val="30381B81"/>
    <w:rsid w:val="30A44277"/>
    <w:rsid w:val="30B15F03"/>
    <w:rsid w:val="30B30136"/>
    <w:rsid w:val="31CA4358"/>
    <w:rsid w:val="31FA7479"/>
    <w:rsid w:val="32050A97"/>
    <w:rsid w:val="32284BF5"/>
    <w:rsid w:val="32DA1DD4"/>
    <w:rsid w:val="33323C73"/>
    <w:rsid w:val="3361798A"/>
    <w:rsid w:val="33861085"/>
    <w:rsid w:val="33CB5E52"/>
    <w:rsid w:val="34477E1A"/>
    <w:rsid w:val="34B44507"/>
    <w:rsid w:val="34FF7A95"/>
    <w:rsid w:val="35687566"/>
    <w:rsid w:val="35B15F88"/>
    <w:rsid w:val="35D501BC"/>
    <w:rsid w:val="35E87A5C"/>
    <w:rsid w:val="3608331B"/>
    <w:rsid w:val="36834056"/>
    <w:rsid w:val="369E4A52"/>
    <w:rsid w:val="36A73740"/>
    <w:rsid w:val="36C80A37"/>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040959"/>
    <w:rsid w:val="3AA25DEC"/>
    <w:rsid w:val="3AC648F5"/>
    <w:rsid w:val="3B30241A"/>
    <w:rsid w:val="3B5B756F"/>
    <w:rsid w:val="3B870893"/>
    <w:rsid w:val="3C4F6F1A"/>
    <w:rsid w:val="3D2F290C"/>
    <w:rsid w:val="3D4C1E7B"/>
    <w:rsid w:val="3DA212CB"/>
    <w:rsid w:val="3DC21444"/>
    <w:rsid w:val="3DD60FEB"/>
    <w:rsid w:val="3DD75419"/>
    <w:rsid w:val="3E263CAA"/>
    <w:rsid w:val="3E491747"/>
    <w:rsid w:val="3E6B192F"/>
    <w:rsid w:val="3EA55BAC"/>
    <w:rsid w:val="3EEF12C4"/>
    <w:rsid w:val="3F150346"/>
    <w:rsid w:val="3F4757B8"/>
    <w:rsid w:val="3F591E5E"/>
    <w:rsid w:val="3F5A6C6F"/>
    <w:rsid w:val="3F6E2185"/>
    <w:rsid w:val="3FC45529"/>
    <w:rsid w:val="3FE1690B"/>
    <w:rsid w:val="40113C23"/>
    <w:rsid w:val="40311450"/>
    <w:rsid w:val="403F2E01"/>
    <w:rsid w:val="404A2E64"/>
    <w:rsid w:val="40AB0EC9"/>
    <w:rsid w:val="40C2612C"/>
    <w:rsid w:val="40E52488"/>
    <w:rsid w:val="41007A8F"/>
    <w:rsid w:val="415869FC"/>
    <w:rsid w:val="41670862"/>
    <w:rsid w:val="418B72B6"/>
    <w:rsid w:val="41AB14E8"/>
    <w:rsid w:val="41AC0B4D"/>
    <w:rsid w:val="41D4500D"/>
    <w:rsid w:val="41D67141"/>
    <w:rsid w:val="41F534A6"/>
    <w:rsid w:val="41F5463E"/>
    <w:rsid w:val="42030507"/>
    <w:rsid w:val="420A020E"/>
    <w:rsid w:val="420A1906"/>
    <w:rsid w:val="423F7EC6"/>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154B61"/>
    <w:rsid w:val="492C6FBB"/>
    <w:rsid w:val="499D1F70"/>
    <w:rsid w:val="4A1025A8"/>
    <w:rsid w:val="4A166376"/>
    <w:rsid w:val="4A7F2AAC"/>
    <w:rsid w:val="4A832C17"/>
    <w:rsid w:val="4A9100D0"/>
    <w:rsid w:val="4AC26B09"/>
    <w:rsid w:val="4AD41B9B"/>
    <w:rsid w:val="4AED1C9D"/>
    <w:rsid w:val="4B597B89"/>
    <w:rsid w:val="4B934057"/>
    <w:rsid w:val="4BE8259F"/>
    <w:rsid w:val="4C4E289A"/>
    <w:rsid w:val="4DBE5CAD"/>
    <w:rsid w:val="4DD75684"/>
    <w:rsid w:val="4E0D2518"/>
    <w:rsid w:val="4E231003"/>
    <w:rsid w:val="4E3873B7"/>
    <w:rsid w:val="4EF70D4B"/>
    <w:rsid w:val="4F2E0C11"/>
    <w:rsid w:val="4F79418A"/>
    <w:rsid w:val="4FEE4B1B"/>
    <w:rsid w:val="50A2078E"/>
    <w:rsid w:val="50B9275C"/>
    <w:rsid w:val="50F72CC9"/>
    <w:rsid w:val="50FE286B"/>
    <w:rsid w:val="514069D9"/>
    <w:rsid w:val="51932220"/>
    <w:rsid w:val="51D77CAA"/>
    <w:rsid w:val="52173BDE"/>
    <w:rsid w:val="5228244C"/>
    <w:rsid w:val="526D301C"/>
    <w:rsid w:val="529620AE"/>
    <w:rsid w:val="52EB291F"/>
    <w:rsid w:val="52ED493F"/>
    <w:rsid w:val="531F0FF7"/>
    <w:rsid w:val="539F2D44"/>
    <w:rsid w:val="53B56AAB"/>
    <w:rsid w:val="53D1198E"/>
    <w:rsid w:val="53E03D6D"/>
    <w:rsid w:val="53E144A4"/>
    <w:rsid w:val="54333CD5"/>
    <w:rsid w:val="546107D9"/>
    <w:rsid w:val="546E506B"/>
    <w:rsid w:val="549E2395"/>
    <w:rsid w:val="5514440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C035F1"/>
    <w:rsid w:val="59E56370"/>
    <w:rsid w:val="5B1E275D"/>
    <w:rsid w:val="5B3E21DC"/>
    <w:rsid w:val="5B4A5024"/>
    <w:rsid w:val="5BBD57F6"/>
    <w:rsid w:val="5BC414F3"/>
    <w:rsid w:val="5BD85D21"/>
    <w:rsid w:val="5C953453"/>
    <w:rsid w:val="5CAE15E3"/>
    <w:rsid w:val="5CB84A88"/>
    <w:rsid w:val="5D290C69"/>
    <w:rsid w:val="5E254884"/>
    <w:rsid w:val="5E36741C"/>
    <w:rsid w:val="5E591B16"/>
    <w:rsid w:val="5E6374F3"/>
    <w:rsid w:val="5F3F2DAC"/>
    <w:rsid w:val="5F4829DC"/>
    <w:rsid w:val="5F725BF8"/>
    <w:rsid w:val="5FB15C3A"/>
    <w:rsid w:val="5FDF26F7"/>
    <w:rsid w:val="5FEC0FE5"/>
    <w:rsid w:val="6022194E"/>
    <w:rsid w:val="606E5CB4"/>
    <w:rsid w:val="60980BFD"/>
    <w:rsid w:val="60D65D3F"/>
    <w:rsid w:val="60F4333C"/>
    <w:rsid w:val="60F85618"/>
    <w:rsid w:val="611A50B4"/>
    <w:rsid w:val="619C43F3"/>
    <w:rsid w:val="6269072D"/>
    <w:rsid w:val="62A30CCB"/>
    <w:rsid w:val="6352606D"/>
    <w:rsid w:val="639436E3"/>
    <w:rsid w:val="6445282D"/>
    <w:rsid w:val="645A13DB"/>
    <w:rsid w:val="648C045C"/>
    <w:rsid w:val="656A40F1"/>
    <w:rsid w:val="658C5E23"/>
    <w:rsid w:val="65F9363E"/>
    <w:rsid w:val="66312280"/>
    <w:rsid w:val="667E25AF"/>
    <w:rsid w:val="66815672"/>
    <w:rsid w:val="66B54542"/>
    <w:rsid w:val="67130BF8"/>
    <w:rsid w:val="67152E14"/>
    <w:rsid w:val="67770DF7"/>
    <w:rsid w:val="679C27B9"/>
    <w:rsid w:val="67CB3049"/>
    <w:rsid w:val="67FF2A16"/>
    <w:rsid w:val="680256B8"/>
    <w:rsid w:val="682465CF"/>
    <w:rsid w:val="68EA74FF"/>
    <w:rsid w:val="6972525B"/>
    <w:rsid w:val="69C211FB"/>
    <w:rsid w:val="69FC5E8B"/>
    <w:rsid w:val="6A16113C"/>
    <w:rsid w:val="6A633E28"/>
    <w:rsid w:val="6AD14E1A"/>
    <w:rsid w:val="6AFE5801"/>
    <w:rsid w:val="6B056872"/>
    <w:rsid w:val="6B1765A5"/>
    <w:rsid w:val="6B217424"/>
    <w:rsid w:val="6B28360F"/>
    <w:rsid w:val="6B854C8C"/>
    <w:rsid w:val="6B9F4D55"/>
    <w:rsid w:val="6BAA3DD9"/>
    <w:rsid w:val="6C172D01"/>
    <w:rsid w:val="6CC2767B"/>
    <w:rsid w:val="6D342244"/>
    <w:rsid w:val="6DAB4CCB"/>
    <w:rsid w:val="6DC70D5C"/>
    <w:rsid w:val="6DDA24A1"/>
    <w:rsid w:val="6DFC3BBF"/>
    <w:rsid w:val="6E0E1C83"/>
    <w:rsid w:val="6E45126B"/>
    <w:rsid w:val="6EA047F7"/>
    <w:rsid w:val="6F062BB9"/>
    <w:rsid w:val="6F185329"/>
    <w:rsid w:val="6F213E8F"/>
    <w:rsid w:val="70E64A50"/>
    <w:rsid w:val="71231A63"/>
    <w:rsid w:val="714B6E37"/>
    <w:rsid w:val="71C72BEE"/>
    <w:rsid w:val="720E0702"/>
    <w:rsid w:val="72AA2579"/>
    <w:rsid w:val="73614D85"/>
    <w:rsid w:val="7363682B"/>
    <w:rsid w:val="739465A0"/>
    <w:rsid w:val="73A82490"/>
    <w:rsid w:val="73AA3664"/>
    <w:rsid w:val="73B34AD5"/>
    <w:rsid w:val="73D42B6E"/>
    <w:rsid w:val="743B3E3F"/>
    <w:rsid w:val="74E41D61"/>
    <w:rsid w:val="765A00C6"/>
    <w:rsid w:val="76995E63"/>
    <w:rsid w:val="772D6E8E"/>
    <w:rsid w:val="77452BA0"/>
    <w:rsid w:val="774923FD"/>
    <w:rsid w:val="777E28EC"/>
    <w:rsid w:val="77B52272"/>
    <w:rsid w:val="78120C80"/>
    <w:rsid w:val="783A1618"/>
    <w:rsid w:val="788222E3"/>
    <w:rsid w:val="7908485F"/>
    <w:rsid w:val="7936053E"/>
    <w:rsid w:val="793F0B2C"/>
    <w:rsid w:val="797D07AB"/>
    <w:rsid w:val="79AC25AE"/>
    <w:rsid w:val="79CF7887"/>
    <w:rsid w:val="7A9E6464"/>
    <w:rsid w:val="7AAC0A0E"/>
    <w:rsid w:val="7B237CCD"/>
    <w:rsid w:val="7B306E47"/>
    <w:rsid w:val="7B8C6B3B"/>
    <w:rsid w:val="7BD77DB7"/>
    <w:rsid w:val="7C3F595C"/>
    <w:rsid w:val="7C683BAE"/>
    <w:rsid w:val="7CBD0742"/>
    <w:rsid w:val="7D7D55A3"/>
    <w:rsid w:val="7DE81FDD"/>
    <w:rsid w:val="7E3C60AD"/>
    <w:rsid w:val="7EC565EC"/>
    <w:rsid w:val="7EEF5417"/>
    <w:rsid w:val="7F0D3AEF"/>
    <w:rsid w:val="7F3E18A8"/>
    <w:rsid w:val="7F435763"/>
    <w:rsid w:val="7F702E68"/>
    <w:rsid w:val="7F787175"/>
    <w:rsid w:val="7FC9305C"/>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46</Pages>
  <Words>11027</Words>
  <Characters>11295</Characters>
  <Lines>182</Lines>
  <Paragraphs>51</Paragraphs>
  <TotalTime>0</TotalTime>
  <ScaleCrop>false</ScaleCrop>
  <LinksUpToDate>false</LinksUpToDate>
  <CharactersWithSpaces>11399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2025-03-21T08:00:53Z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