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w:t>
      </w:r>
      <w:bookmarkStart w:id="201" w:name="_GoBack"/>
      <w:r>
        <w:rPr>
          <w:rFonts w:hint="eastAsia" w:ascii="楷体" w:hAnsi="楷体" w:eastAsia="楷体" w:cs="宋体"/>
          <w:color w:val="auto"/>
          <w:sz w:val="40"/>
          <w:szCs w:val="40"/>
          <w:highlight w:val="none"/>
        </w:rPr>
        <w:t>2025ZB</w:t>
      </w:r>
      <w:r>
        <w:rPr>
          <w:rFonts w:hint="eastAsia" w:ascii="楷体" w:hAnsi="楷体" w:eastAsia="楷体" w:cs="宋体"/>
          <w:color w:val="auto"/>
          <w:sz w:val="40"/>
          <w:szCs w:val="40"/>
          <w:highlight w:val="none"/>
          <w:lang w:val="en-US" w:eastAsia="zh-CN"/>
        </w:rPr>
        <w:t>0</w:t>
      </w:r>
      <w:r>
        <w:rPr>
          <w:rFonts w:hint="eastAsia" w:ascii="楷体" w:hAnsi="楷体" w:eastAsia="楷体" w:cs="宋体"/>
          <w:color w:val="auto"/>
          <w:sz w:val="40"/>
          <w:szCs w:val="40"/>
          <w:highlight w:val="none"/>
        </w:rPr>
        <w:t>98</w:t>
      </w:r>
      <w:bookmarkEnd w:id="201"/>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采购项目名称：经颅磁刺激治疗仪</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2A2AB1B5">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w:t>
      </w:r>
      <w:r>
        <w:rPr>
          <w:rFonts w:hint="eastAsia" w:ascii="楷体" w:hAnsi="楷体" w:eastAsia="楷体" w:cs="宋体"/>
          <w:color w:val="auto"/>
          <w:sz w:val="40"/>
          <w:szCs w:val="40"/>
          <w:highlight w:val="none"/>
          <w:lang w:val="en-US" w:eastAsia="zh-CN"/>
        </w:rPr>
        <w:t>三</w:t>
      </w:r>
      <w:r>
        <w:rPr>
          <w:rFonts w:hint="eastAsia" w:ascii="楷体" w:hAnsi="楷体" w:eastAsia="楷体" w:cs="宋体"/>
          <w:color w:val="auto"/>
          <w:sz w:val="40"/>
          <w:szCs w:val="40"/>
          <w:highlight w:val="none"/>
        </w:rPr>
        <w:t>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7"/>
      <w:bookmarkStart w:id="3" w:name="_Hlt186806626"/>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5AD0F2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三、其他要求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6BE560">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2"/>
        <w:rPr>
          <w:rFonts w:hint="eastAsia"/>
          <w:color w:val="auto"/>
          <w:highlight w:val="none"/>
        </w:rPr>
      </w:pPr>
      <w:bookmarkStart w:id="4" w:name="_Toc11641050"/>
      <w:bookmarkStart w:id="5" w:name="_Toc178405937"/>
      <w:bookmarkStart w:id="6" w:name="_Toc18745"/>
      <w:bookmarkStart w:id="7" w:name="_Toc12789052"/>
      <w:r>
        <w:rPr>
          <w:rFonts w:hint="eastAsia"/>
          <w:color w:val="auto"/>
          <w:highlight w:val="none"/>
        </w:rPr>
        <w:t>第一篇 比选邀请书</w:t>
      </w:r>
      <w:bookmarkEnd w:id="4"/>
      <w:bookmarkEnd w:id="5"/>
      <w:bookmarkEnd w:id="6"/>
      <w:bookmarkEnd w:id="7"/>
    </w:p>
    <w:p w14:paraId="2B56544F">
      <w:pPr>
        <w:spacing w:line="760" w:lineRule="exact"/>
        <w:ind w:firstLine="960" w:firstLineChars="4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重庆医科大学附属永川医院（简称“重医附属永川医院”）对经颅磁刺激治疗仪</w:t>
      </w:r>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项目进行院内比选采购。欢迎有资格、有实力的供应商前来参加比选。</w:t>
      </w:r>
    </w:p>
    <w:p w14:paraId="5F826E54">
      <w:pPr>
        <w:pStyle w:val="3"/>
        <w:ind w:firstLine="482"/>
        <w:rPr>
          <w:rFonts w:hint="eastAsia"/>
          <w:color w:val="auto"/>
          <w:highlight w:val="none"/>
        </w:rPr>
      </w:pPr>
      <w:bookmarkStart w:id="8" w:name="_Toc313893526"/>
      <w:bookmarkStart w:id="9" w:name="_Toc317775175"/>
      <w:bookmarkStart w:id="10" w:name="_Toc17728"/>
      <w:bookmarkStart w:id="11" w:name="_Toc178405938"/>
      <w:bookmarkStart w:id="12" w:name="_Toc24661"/>
      <w:bookmarkStart w:id="13" w:name="_Toc373860293"/>
      <w:bookmarkStart w:id="14" w:name="_Toc317775178"/>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7B2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211" w:type="dxa"/>
            <w:noWrap w:val="0"/>
            <w:vAlign w:val="center"/>
          </w:tcPr>
          <w:p w14:paraId="7F3EBBA5">
            <w:pPr>
              <w:spacing w:line="760" w:lineRule="exact"/>
              <w:rPr>
                <w:rFonts w:hint="eastAsia" w:ascii="楷体" w:hAnsi="楷体" w:eastAsia="楷体"/>
                <w:color w:val="auto"/>
                <w:sz w:val="24"/>
                <w:szCs w:val="24"/>
                <w:highlight w:val="none"/>
              </w:rPr>
            </w:pPr>
            <w:r>
              <w:rPr>
                <w:rFonts w:hint="eastAsia" w:ascii="楷体" w:hAnsi="楷体" w:eastAsia="楷体" w:cs="Times New Roman"/>
                <w:color w:val="auto"/>
                <w:sz w:val="24"/>
                <w:szCs w:val="24"/>
                <w:highlight w:val="none"/>
              </w:rPr>
              <w:t>经颅磁刺激治疗仪</w:t>
            </w:r>
          </w:p>
        </w:tc>
        <w:tc>
          <w:tcPr>
            <w:tcW w:w="2211" w:type="dxa"/>
            <w:noWrap w:val="0"/>
            <w:vAlign w:val="center"/>
          </w:tcPr>
          <w:p w14:paraId="53490830">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55FBE342">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2台</w:t>
            </w:r>
          </w:p>
        </w:tc>
        <w:tc>
          <w:tcPr>
            <w:tcW w:w="2212" w:type="dxa"/>
            <w:noWrap w:val="0"/>
            <w:vAlign w:val="center"/>
          </w:tcPr>
          <w:p w14:paraId="0F520ED3">
            <w:pPr>
              <w:spacing w:line="400" w:lineRule="exact"/>
              <w:jc w:val="both"/>
              <w:rPr>
                <w:rFonts w:ascii="楷体" w:hAnsi="楷体" w:eastAsia="楷体"/>
                <w:b/>
                <w:color w:val="auto"/>
                <w:sz w:val="24"/>
                <w:szCs w:val="24"/>
                <w:highlight w:val="none"/>
              </w:rPr>
            </w:pPr>
          </w:p>
        </w:tc>
      </w:tr>
    </w:tbl>
    <w:p w14:paraId="0B9657E3">
      <w:pPr>
        <w:pStyle w:val="3"/>
        <w:ind w:firstLine="482"/>
        <w:rPr>
          <w:rFonts w:ascii="楷体" w:hAnsi="楷体"/>
          <w:color w:val="auto"/>
          <w:szCs w:val="24"/>
          <w:highlight w:val="none"/>
        </w:rPr>
      </w:pPr>
      <w:bookmarkStart w:id="15" w:name="_Toc475"/>
      <w:bookmarkStart w:id="16" w:name="_Toc178405939"/>
      <w:r>
        <w:rPr>
          <w:rFonts w:hint="eastAsia"/>
          <w:color w:val="auto"/>
          <w:highlight w:val="none"/>
        </w:rPr>
        <w:t>二、资金来源</w:t>
      </w:r>
      <w:bookmarkEnd w:id="15"/>
      <w:bookmarkEnd w:id="16"/>
      <w:bookmarkStart w:id="17" w:name="_Toc31105"/>
      <w:bookmarkStart w:id="18" w:name="_Toc3816"/>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bCs/>
          <w:color w:val="auto"/>
          <w:sz w:val="24"/>
          <w:szCs w:val="24"/>
          <w:highlight w:val="none"/>
          <w:lang w:eastAsia="zh-CN"/>
        </w:rPr>
        <w:t>单台</w:t>
      </w:r>
      <w:r>
        <w:rPr>
          <w:rFonts w:hint="eastAsia" w:ascii="楷体" w:hAnsi="楷体" w:eastAsia="楷体"/>
          <w:b/>
          <w:bCs/>
          <w:color w:val="auto"/>
          <w:sz w:val="24"/>
          <w:szCs w:val="24"/>
          <w:highlight w:val="none"/>
        </w:rPr>
        <w:t>设</w:t>
      </w:r>
      <w:r>
        <w:rPr>
          <w:rFonts w:hint="eastAsia" w:ascii="楷体" w:hAnsi="楷体" w:eastAsia="楷体"/>
          <w:b/>
          <w:color w:val="auto"/>
          <w:sz w:val="24"/>
          <w:szCs w:val="24"/>
          <w:highlight w:val="none"/>
        </w:rPr>
        <w:t>备</w:t>
      </w:r>
      <w:r>
        <w:rPr>
          <w:rFonts w:hint="eastAsia" w:ascii="楷体" w:hAnsi="楷体" w:eastAsia="楷体"/>
          <w:b/>
          <w:color w:val="auto"/>
          <w:sz w:val="24"/>
          <w:szCs w:val="24"/>
          <w:highlight w:val="none"/>
          <w:lang w:eastAsia="zh-CN"/>
        </w:rPr>
        <w:t>最高</w:t>
      </w:r>
      <w:r>
        <w:rPr>
          <w:rFonts w:hint="eastAsia" w:ascii="楷体" w:hAnsi="楷体" w:eastAsia="楷体"/>
          <w:b/>
          <w:bCs w:val="0"/>
          <w:color w:val="auto"/>
          <w:sz w:val="24"/>
          <w:szCs w:val="24"/>
          <w:highlight w:val="none"/>
          <w:lang w:eastAsia="zh-CN"/>
        </w:rPr>
        <w:t>限价</w:t>
      </w:r>
      <w:r>
        <w:rPr>
          <w:rFonts w:hint="eastAsia" w:ascii="楷体" w:hAnsi="楷体" w:eastAsia="楷体"/>
          <w:b/>
          <w:bCs w:val="0"/>
          <w:color w:val="auto"/>
          <w:sz w:val="24"/>
          <w:szCs w:val="24"/>
          <w:highlight w:val="none"/>
        </w:rPr>
        <w:t>为</w:t>
      </w:r>
      <w:r>
        <w:rPr>
          <w:rFonts w:hint="eastAsia" w:ascii="楷体" w:hAnsi="楷体" w:eastAsia="楷体"/>
          <w:b/>
          <w:bCs w:val="0"/>
          <w:color w:val="auto"/>
          <w:sz w:val="24"/>
          <w:szCs w:val="24"/>
          <w:highlight w:val="none"/>
          <w:lang w:val="en-US" w:eastAsia="zh-CN"/>
        </w:rPr>
        <w:t>14</w:t>
      </w:r>
      <w:r>
        <w:rPr>
          <w:rFonts w:hint="eastAsia" w:ascii="楷体" w:hAnsi="楷体" w:eastAsia="楷体"/>
          <w:b/>
          <w:bCs w:val="0"/>
          <w:color w:val="auto"/>
          <w:sz w:val="24"/>
          <w:szCs w:val="24"/>
          <w:highlight w:val="none"/>
        </w:rPr>
        <w:t>万元/台，数量为2台，合计总</w:t>
      </w:r>
      <w:r>
        <w:rPr>
          <w:rFonts w:hint="eastAsia" w:ascii="楷体" w:hAnsi="楷体" w:eastAsia="楷体"/>
          <w:b/>
          <w:bCs w:val="0"/>
          <w:color w:val="auto"/>
          <w:sz w:val="24"/>
          <w:szCs w:val="24"/>
          <w:highlight w:val="none"/>
          <w:lang w:eastAsia="zh-CN"/>
        </w:rPr>
        <w:t>最高限价</w:t>
      </w:r>
      <w:r>
        <w:rPr>
          <w:rFonts w:hint="eastAsia" w:ascii="楷体" w:hAnsi="楷体" w:eastAsia="楷体"/>
          <w:b/>
          <w:bCs w:val="0"/>
          <w:color w:val="auto"/>
          <w:sz w:val="24"/>
          <w:szCs w:val="24"/>
          <w:highlight w:val="none"/>
        </w:rPr>
        <w:t>为</w:t>
      </w:r>
      <w:r>
        <w:rPr>
          <w:rFonts w:hint="eastAsia" w:ascii="楷体" w:hAnsi="楷体" w:eastAsia="楷体"/>
          <w:b/>
          <w:bCs w:val="0"/>
          <w:color w:val="auto"/>
          <w:sz w:val="24"/>
          <w:szCs w:val="24"/>
          <w:highlight w:val="none"/>
          <w:lang w:val="en-US" w:eastAsia="zh-CN"/>
        </w:rPr>
        <w:t>28</w:t>
      </w:r>
      <w:r>
        <w:rPr>
          <w:rFonts w:hint="eastAsia" w:ascii="楷体" w:hAnsi="楷体" w:eastAsia="楷体"/>
          <w:b/>
          <w:bCs w:val="0"/>
          <w:color w:val="auto"/>
          <w:sz w:val="24"/>
          <w:szCs w:val="24"/>
          <w:highlight w:val="none"/>
        </w:rPr>
        <w:t>万元，最终报价不得超过</w:t>
      </w:r>
      <w:r>
        <w:rPr>
          <w:rFonts w:hint="eastAsia" w:ascii="楷体" w:hAnsi="楷体" w:eastAsia="楷体"/>
          <w:b/>
          <w:bCs w:val="0"/>
          <w:color w:val="auto"/>
          <w:sz w:val="24"/>
          <w:szCs w:val="24"/>
          <w:highlight w:val="none"/>
          <w:lang w:eastAsia="zh-CN"/>
        </w:rPr>
        <w:t>限价</w:t>
      </w:r>
      <w:r>
        <w:rPr>
          <w:rFonts w:hint="eastAsia" w:ascii="楷体" w:hAnsi="楷体" w:eastAsia="楷体"/>
          <w:b/>
          <w:bCs w:val="0"/>
          <w:color w:val="auto"/>
          <w:sz w:val="24"/>
          <w:szCs w:val="24"/>
          <w:highlight w:val="none"/>
        </w:rPr>
        <w:t>，否</w:t>
      </w:r>
      <w:r>
        <w:rPr>
          <w:rFonts w:hint="eastAsia" w:ascii="楷体" w:hAnsi="楷体" w:eastAsia="楷体"/>
          <w:b/>
          <w:color w:val="auto"/>
          <w:sz w:val="24"/>
          <w:szCs w:val="24"/>
          <w:highlight w:val="none"/>
        </w:rPr>
        <w:t>则为“无效比选”。</w:t>
      </w:r>
    </w:p>
    <w:p w14:paraId="1C0AAC4A">
      <w:pPr>
        <w:pStyle w:val="3"/>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4397"/>
      <w:bookmarkStart w:id="22" w:name="_Toc102227313"/>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3"/>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11848753">
      <w:pPr>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（二）凡有意参加的供应商，请于</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3</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28</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4</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24:00（法定公休日、法定节假日除外）</w:t>
      </w:r>
      <w:r>
        <w:rPr>
          <w:rFonts w:hint="eastAsia" w:ascii="楷体" w:hAnsi="楷体" w:eastAsia="楷体"/>
          <w:b/>
          <w:color w:val="auto"/>
          <w:sz w:val="30"/>
          <w:szCs w:val="30"/>
          <w:highlight w:val="none"/>
        </w:rPr>
        <w:t>顺丰邮寄纸质版资质文件报名</w:t>
      </w:r>
      <w:r>
        <w:rPr>
          <w:rFonts w:hint="eastAsia" w:ascii="楷体" w:hAnsi="楷体" w:eastAsia="楷体"/>
          <w:color w:val="auto"/>
          <w:sz w:val="24"/>
          <w:szCs w:val="24"/>
          <w:highlight w:val="none"/>
        </w:rPr>
        <w:t>。</w:t>
      </w:r>
    </w:p>
    <w:p w14:paraId="627BBEAA">
      <w:pPr>
        <w:spacing w:line="400" w:lineRule="exact"/>
        <w:ind w:firstLine="602" w:firstLineChars="200"/>
        <w:rPr>
          <w:rFonts w:hint="eastAsia" w:ascii="楷体" w:hAnsi="楷体" w:eastAsia="楷体"/>
          <w:b/>
          <w:color w:val="auto"/>
          <w:sz w:val="24"/>
          <w:szCs w:val="24"/>
          <w:highlight w:val="none"/>
        </w:rPr>
      </w:pPr>
      <w:r>
        <w:rPr>
          <w:rFonts w:hint="eastAsia" w:ascii="楷体" w:hAnsi="楷体" w:eastAsia="楷体"/>
          <w:b/>
          <w:color w:val="auto"/>
          <w:sz w:val="30"/>
          <w:szCs w:val="30"/>
          <w:highlight w:val="none"/>
        </w:rPr>
        <w:t>报名方式：</w:t>
      </w:r>
      <w:r>
        <w:rPr>
          <w:rFonts w:ascii="楷体" w:hAnsi="楷体" w:eastAsia="楷体"/>
          <w:b/>
          <w:color w:val="auto"/>
          <w:sz w:val="24"/>
          <w:szCs w:val="24"/>
          <w:highlight w:val="none"/>
        </w:rPr>
        <w:fldChar w:fldCharType="begin"/>
      </w:r>
      <w:r>
        <w:rPr>
          <w:rFonts w:ascii="楷体" w:hAnsi="楷体" w:eastAsia="楷体"/>
          <w:b/>
          <w:color w:val="auto"/>
          <w:sz w:val="24"/>
          <w:szCs w:val="24"/>
          <w:highlight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highlight w:val="none"/>
        </w:rPr>
        <w:fldChar w:fldCharType="separate"/>
      </w:r>
      <w:r>
        <w:rPr>
          <w:rStyle w:val="64"/>
          <w:rFonts w:hint="eastAsia" w:ascii="楷体" w:hAnsi="楷体" w:eastAsia="楷体"/>
          <w:color w:val="auto"/>
          <w:sz w:val="24"/>
          <w:szCs w:val="24"/>
          <w:highlight w:val="none"/>
          <w:u w:val="none"/>
        </w:rPr>
        <w:fldChar w:fldCharType="begin"/>
      </w:r>
      <w:r>
        <w:rPr>
          <w:rStyle w:val="64"/>
          <w:rFonts w:hint="eastAsia" w:ascii="楷体" w:hAnsi="楷体" w:eastAsia="楷体"/>
          <w:color w:val="auto"/>
          <w:sz w:val="24"/>
          <w:szCs w:val="24"/>
          <w:highlight w:val="none"/>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highlight w:val="none"/>
          <w:u w:val="none"/>
        </w:rPr>
        <w:fldChar w:fldCharType="separate"/>
      </w:r>
      <w:r>
        <w:rPr>
          <w:rStyle w:val="64"/>
          <w:rFonts w:hint="eastAsia" w:ascii="楷体" w:hAnsi="楷体" w:eastAsia="楷体"/>
          <w:color w:val="auto"/>
          <w:sz w:val="24"/>
          <w:szCs w:val="24"/>
          <w:highlight w:val="none"/>
          <w:u w:val="none"/>
        </w:rPr>
        <w:t>请务必将</w:t>
      </w:r>
      <w:r>
        <w:rPr>
          <w:rStyle w:val="64"/>
          <w:rFonts w:hint="eastAsia" w:ascii="楷体" w:hAnsi="楷体" w:eastAsia="楷体"/>
          <w:b/>
          <w:color w:val="auto"/>
          <w:sz w:val="24"/>
          <w:szCs w:val="24"/>
          <w:highlight w:val="none"/>
          <w:u w:val="none"/>
        </w:rPr>
        <w:t>1份报名文件</w:t>
      </w:r>
      <w:r>
        <w:rPr>
          <w:rStyle w:val="64"/>
          <w:rFonts w:hint="eastAsia" w:ascii="楷体" w:hAnsi="楷体" w:eastAsia="楷体"/>
          <w:color w:val="auto"/>
          <w:sz w:val="24"/>
          <w:szCs w:val="24"/>
          <w:highlight w:val="none"/>
          <w:u w:val="none"/>
        </w:rPr>
        <w:t>，内含：采购项目名称及采购</w:t>
      </w:r>
      <w:r>
        <w:rPr>
          <w:rStyle w:val="64"/>
          <w:rFonts w:hint="eastAsia" w:ascii="楷体" w:hAnsi="楷体" w:eastAsia="楷体"/>
          <w:b/>
          <w:color w:val="auto"/>
          <w:sz w:val="24"/>
          <w:szCs w:val="24"/>
          <w:highlight w:val="none"/>
          <w:u w:val="none"/>
        </w:rPr>
        <w:t>项目编号</w:t>
      </w:r>
      <w:r>
        <w:rPr>
          <w:rStyle w:val="64"/>
          <w:rFonts w:hint="eastAsia" w:ascii="楷体" w:hAnsi="楷体" w:eastAsia="楷体"/>
          <w:color w:val="auto"/>
          <w:sz w:val="24"/>
          <w:szCs w:val="24"/>
          <w:highlight w:val="none"/>
          <w:u w:val="none"/>
        </w:rPr>
        <w:t>、供应商名称、报名时间</w:t>
      </w:r>
      <w:r>
        <w:rPr>
          <w:rStyle w:val="64"/>
          <w:rFonts w:hint="eastAsia" w:ascii="楷体" w:hAnsi="楷体" w:eastAsia="楷体"/>
          <w:b/>
          <w:color w:val="auto"/>
          <w:sz w:val="24"/>
          <w:szCs w:val="24"/>
          <w:highlight w:val="none"/>
          <w:u w:val="none"/>
        </w:rPr>
        <w:t>、</w:t>
      </w:r>
      <w:r>
        <w:rPr>
          <w:rStyle w:val="64"/>
          <w:rFonts w:hint="eastAsia" w:ascii="楷体" w:hAnsi="楷体" w:eastAsia="楷体"/>
          <w:color w:val="auto"/>
          <w:sz w:val="24"/>
          <w:szCs w:val="24"/>
          <w:highlight w:val="none"/>
          <w:u w:val="none"/>
        </w:rPr>
        <w:t>联系人名称及联系方式、电子邮箱地址写在封面上，</w:t>
      </w:r>
      <w:r>
        <w:rPr>
          <w:rStyle w:val="64"/>
          <w:rFonts w:hint="eastAsia" w:ascii="楷体" w:hAnsi="楷体" w:eastAsia="楷体"/>
          <w:b/>
          <w:color w:val="auto"/>
          <w:sz w:val="24"/>
          <w:szCs w:val="24"/>
          <w:highlight w:val="none"/>
          <w:u w:val="none"/>
        </w:rPr>
        <w:t>报名文件内需要包含</w:t>
      </w:r>
      <w:r>
        <w:rPr>
          <w:rStyle w:val="64"/>
          <w:rFonts w:hint="eastAsia" w:ascii="楷体" w:hAnsi="楷体" w:eastAsia="楷体"/>
          <w:color w:val="auto"/>
          <w:sz w:val="24"/>
          <w:szCs w:val="24"/>
          <w:highlight w:val="none"/>
          <w:u w:val="none"/>
        </w:rPr>
        <w:t>供应商、代理商、制造商一般资质、授权书和特定资格要求等相关资料，盖鲜章后的清晰</w:t>
      </w:r>
      <w:r>
        <w:rPr>
          <w:rStyle w:val="64"/>
          <w:rFonts w:hint="eastAsia" w:ascii="楷体" w:hAnsi="楷体" w:eastAsia="楷体"/>
          <w:b/>
          <w:color w:val="auto"/>
          <w:sz w:val="30"/>
          <w:szCs w:val="30"/>
          <w:highlight w:val="none"/>
          <w:u w:val="none"/>
        </w:rPr>
        <w:t>纸质版文件通过顺丰邮寄</w:t>
      </w:r>
      <w:r>
        <w:rPr>
          <w:rStyle w:val="64"/>
          <w:rFonts w:hint="eastAsia" w:ascii="楷体" w:hAnsi="楷体" w:eastAsia="楷体"/>
          <w:color w:val="auto"/>
          <w:sz w:val="24"/>
          <w:szCs w:val="24"/>
          <w:highlight w:val="none"/>
          <w:u w:val="none"/>
        </w:rPr>
        <w:t>给采购办彭老师收</w:t>
      </w:r>
      <w:r>
        <w:rPr>
          <w:rStyle w:val="64"/>
          <w:rFonts w:hint="eastAsia" w:ascii="楷体" w:hAnsi="楷体" w:eastAsia="楷体"/>
          <w:b/>
          <w:color w:val="auto"/>
          <w:sz w:val="24"/>
          <w:szCs w:val="24"/>
          <w:highlight w:val="none"/>
          <w:u w:val="none"/>
        </w:rPr>
        <w:t>(收件地址:重庆市永川区萱花路439号采购办,彭老师:023-85385105,请一定使用顺丰邮寄)</w:t>
      </w:r>
      <w:r>
        <w:rPr>
          <w:rStyle w:val="64"/>
          <w:rFonts w:hint="eastAsia" w:ascii="楷体" w:hAnsi="楷体" w:eastAsia="楷体"/>
          <w:color w:val="auto"/>
          <w:sz w:val="24"/>
          <w:szCs w:val="24"/>
          <w:highlight w:val="none"/>
          <w:u w:val="none"/>
        </w:rPr>
        <w:fldChar w:fldCharType="end"/>
      </w:r>
      <w:r>
        <w:rPr>
          <w:rStyle w:val="64"/>
          <w:rFonts w:hint="eastAsia" w:ascii="楷体" w:hAnsi="楷体" w:eastAsia="楷体"/>
          <w:color w:val="auto"/>
          <w:sz w:val="24"/>
          <w:szCs w:val="24"/>
          <w:highlight w:val="none"/>
          <w:u w:val="none"/>
        </w:rPr>
        <w:t>，不需要邮寄“一正三副”的响应文件，响应文件是后期由供应商带到采购现场的。</w:t>
      </w:r>
      <w:r>
        <w:rPr>
          <w:rFonts w:ascii="楷体" w:hAnsi="楷体" w:eastAsia="楷体"/>
          <w:b/>
          <w:color w:val="auto"/>
          <w:sz w:val="24"/>
          <w:szCs w:val="24"/>
          <w:highlight w:val="none"/>
        </w:rPr>
        <w:fldChar w:fldCharType="end"/>
      </w:r>
    </w:p>
    <w:p w14:paraId="3F882D5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报名的单位名称必须与响应人名称相同，只有按上述规定报名后，才具备响应资格。</w:t>
      </w:r>
    </w:p>
    <w:p w14:paraId="0F4C68F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（三）比选公告期限：自采购公告发布之日（</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3</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28</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）起三个工作日。</w:t>
      </w:r>
    </w:p>
    <w:p w14:paraId="1244390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（四）获取比选文件时间：</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3</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28</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4</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24:00</w:t>
      </w:r>
    </w:p>
    <w:p w14:paraId="573E5DB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（五）比选地点：重庆医科大学附属永川医院综合楼4楼会议室（地址：重庆市永川区萱花路439号）    </w:t>
      </w:r>
    </w:p>
    <w:p w14:paraId="15262E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（六）提交报名文件截止时间：</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4</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24:00</w:t>
      </w:r>
    </w:p>
    <w:p w14:paraId="3368486E">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3"/>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373860294"/>
      <w:bookmarkStart w:id="26" w:name="_Toc54171062"/>
      <w:bookmarkStart w:id="27" w:name="_Toc54718176"/>
    </w:p>
    <w:bookmarkEnd w:id="25"/>
    <w:bookmarkEnd w:id="26"/>
    <w:bookmarkEnd w:id="27"/>
    <w:p w14:paraId="2EFE6BF9">
      <w:pPr>
        <w:pStyle w:val="3"/>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3"/>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480466700"/>
      <w:bookmarkStart w:id="33" w:name="_Toc54171064"/>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w:t>
      </w:r>
      <w:r>
        <w:rPr>
          <w:rFonts w:hint="eastAsia" w:ascii="楷体" w:hAnsi="楷体" w:eastAsia="楷体"/>
          <w:color w:val="auto"/>
          <w:sz w:val="24"/>
          <w:szCs w:val="24"/>
          <w:highlight w:val="none"/>
          <w:lang w:eastAsia="zh-CN"/>
        </w:rPr>
        <w:t>建议</w:t>
      </w:r>
      <w:r>
        <w:rPr>
          <w:rFonts w:hint="eastAsia" w:ascii="楷体" w:hAnsi="楷体" w:eastAsia="楷体"/>
          <w:color w:val="auto"/>
          <w:sz w:val="24"/>
          <w:szCs w:val="24"/>
          <w:highlight w:val="none"/>
        </w:rPr>
        <w:t>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（可以不是由本项目响应供应商签订的；但务必要清晰完整、真实,合同价格务必要保留,</w:t>
      </w:r>
      <w:r>
        <w:rPr>
          <w:rFonts w:hint="eastAsia" w:ascii="楷体" w:hAnsi="楷体" w:eastAsia="楷体"/>
          <w:color w:val="auto"/>
          <w:sz w:val="24"/>
          <w:szCs w:val="24"/>
          <w:highlight w:val="none"/>
          <w:lang w:eastAsia="zh-CN"/>
        </w:rPr>
        <w:t>不能</w:t>
      </w:r>
      <w:r>
        <w:rPr>
          <w:rFonts w:hint="eastAsia" w:ascii="楷体" w:hAnsi="楷体" w:eastAsia="楷体"/>
          <w:color w:val="auto"/>
          <w:sz w:val="24"/>
          <w:szCs w:val="24"/>
          <w:highlight w:val="none"/>
        </w:rPr>
        <w:t xml:space="preserve">“打码”处理）。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3"/>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2"/>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3"/>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经颅磁刺激治疗仪</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lang w:eastAsia="zh-CN"/>
              </w:rPr>
            </w:pPr>
            <w:r>
              <w:rPr>
                <w:rFonts w:hint="eastAsia" w:ascii="楷体" w:hAnsi="楷体" w:eastAsia="楷体" w:cs="楷体"/>
                <w:color w:val="auto"/>
                <w:kern w:val="0"/>
                <w:sz w:val="24"/>
                <w:szCs w:val="24"/>
                <w:highlight w:val="none"/>
                <w:lang w:val="en-US" w:eastAsia="zh-CN"/>
              </w:rPr>
              <w:t>2</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3"/>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color w:val="auto"/>
          <w:sz w:val="24"/>
          <w:szCs w:val="24"/>
          <w:highlight w:val="none"/>
        </w:rPr>
      </w:pPr>
      <w:bookmarkStart w:id="39" w:name="_Toc178405948"/>
      <w:r>
        <w:rPr>
          <w:rFonts w:hint="eastAsia"/>
          <w:color w:val="auto"/>
          <w:highlight w:val="none"/>
        </w:rPr>
        <w:t>二</w:t>
      </w:r>
      <w:r>
        <w:rPr>
          <w:rFonts w:hint="eastAsia" w:ascii="楷体" w:hAnsi="楷体" w:eastAsia="楷体" w:cs="楷体"/>
          <w:color w:val="auto"/>
          <w:sz w:val="24"/>
          <w:szCs w:val="24"/>
          <w:highlight w:val="none"/>
        </w:rPr>
        <w:t>、设备功能及技术需求</w:t>
      </w:r>
      <w:bookmarkEnd w:id="39"/>
    </w:p>
    <w:p w14:paraId="42EB4C02">
      <w:pPr>
        <w:pStyle w:val="145"/>
        <w:keepNext w:val="0"/>
        <w:keepLines w:val="0"/>
        <w:pageBreakBefore w:val="0"/>
        <w:widowControl w:val="0"/>
        <w:numPr>
          <w:ilvl w:val="0"/>
          <w:numId w:val="13"/>
        </w:numPr>
        <w:kinsoku/>
        <w:wordWrap/>
        <w:overflowPunct/>
        <w:topLinePunct w:val="0"/>
        <w:autoSpaceDE/>
        <w:autoSpaceDN/>
        <w:bidi w:val="0"/>
        <w:adjustRightInd/>
        <w:snapToGrid/>
        <w:spacing w:line="400" w:lineRule="exact"/>
        <w:ind w:firstLineChars="0"/>
        <w:textAlignment w:val="auto"/>
        <w:rPr>
          <w:rFonts w:hint="eastAsia" w:ascii="楷体" w:hAnsi="楷体" w:eastAsia="楷体" w:cs="楷体"/>
          <w:sz w:val="24"/>
          <w:szCs w:val="24"/>
        </w:rPr>
      </w:pPr>
      <w:bookmarkStart w:id="40" w:name="_Toc178405369"/>
      <w:bookmarkStart w:id="41" w:name="_Toc178405949"/>
      <w:r>
        <w:rPr>
          <w:rFonts w:hint="eastAsia" w:ascii="楷体" w:hAnsi="楷体" w:eastAsia="楷体" w:cs="楷体"/>
          <w:sz w:val="24"/>
          <w:szCs w:val="24"/>
        </w:rPr>
        <w:t>功能用途：刺激人体中枢神经和外周神经,用于人体中枢神经和外周神经功能的检测、评定、改善，对脑神经及神经损伤性疾病的辅助治疗。</w:t>
      </w:r>
    </w:p>
    <w:p w14:paraId="4E1ABAE3">
      <w:pPr>
        <w:pStyle w:val="145"/>
        <w:keepNext w:val="0"/>
        <w:keepLines w:val="0"/>
        <w:pageBreakBefore w:val="0"/>
        <w:widowControl w:val="0"/>
        <w:numPr>
          <w:ilvl w:val="0"/>
          <w:numId w:val="13"/>
        </w:numPr>
        <w:kinsoku/>
        <w:wordWrap/>
        <w:overflowPunct/>
        <w:topLinePunct w:val="0"/>
        <w:autoSpaceDE/>
        <w:autoSpaceDN/>
        <w:bidi w:val="0"/>
        <w:adjustRightInd/>
        <w:snapToGrid/>
        <w:spacing w:line="400" w:lineRule="exact"/>
        <w:ind w:firstLineChars="0"/>
        <w:textAlignment w:val="auto"/>
        <w:rPr>
          <w:rFonts w:hint="eastAsia" w:ascii="楷体" w:hAnsi="楷体" w:eastAsia="楷体" w:cs="楷体"/>
          <w:sz w:val="24"/>
          <w:szCs w:val="24"/>
        </w:rPr>
      </w:pPr>
      <w:r>
        <w:rPr>
          <w:rFonts w:hint="eastAsia" w:ascii="楷体" w:hAnsi="楷体" w:eastAsia="楷体" w:cs="楷体"/>
          <w:sz w:val="24"/>
          <w:szCs w:val="24"/>
        </w:rPr>
        <w:t>具体技术需求</w:t>
      </w:r>
    </w:p>
    <w:p w14:paraId="6FB3D9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b/>
          <w:bCs/>
          <w:kern w:val="2"/>
          <w:sz w:val="24"/>
          <w:szCs w:val="24"/>
          <w:lang w:val="en-US" w:eastAsia="zh-CN" w:bidi="ar-SA"/>
        </w:rPr>
      </w:pPr>
      <w:bookmarkStart w:id="42" w:name="OLE_LINK11"/>
      <w:r>
        <w:rPr>
          <w:rFonts w:hint="eastAsia" w:ascii="楷体" w:hAnsi="楷体" w:eastAsia="楷体" w:cs="楷体"/>
          <w:b/>
          <w:bCs/>
          <w:kern w:val="2"/>
          <w:sz w:val="24"/>
          <w:szCs w:val="24"/>
          <w:lang w:val="en-US" w:eastAsia="zh-CN" w:bidi="ar-SA"/>
        </w:rPr>
        <w:t>2.1主机：</w:t>
      </w:r>
    </w:p>
    <w:p w14:paraId="1DD8AA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2.1.1外观结构：一体式治疗主机，冷却系统脉冲源高度集成。</w:t>
      </w:r>
    </w:p>
    <w:p w14:paraId="38C7C04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2.1.2冷却系统：液态内循环冷却系统，非风冷或静态液冷；</w:t>
      </w:r>
    </w:p>
    <w:bookmarkEnd w:id="42"/>
    <w:p w14:paraId="0E6A98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2.1.3刺激线圈最大磁感应强度：1.0T~6T</w:t>
      </w:r>
    </w:p>
    <w:p w14:paraId="6126BE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2.1.4磁感应强度的最大变化率：</w:t>
      </w:r>
      <w:bookmarkStart w:id="43" w:name="OLE_LINK5"/>
      <w:r>
        <w:rPr>
          <w:rFonts w:hint="eastAsia" w:ascii="楷体" w:hAnsi="楷体" w:eastAsia="楷体" w:cs="楷体"/>
          <w:kern w:val="2"/>
          <w:sz w:val="24"/>
          <w:szCs w:val="24"/>
          <w:lang w:val="en-US" w:eastAsia="zh-CN" w:bidi="ar-SA"/>
        </w:rPr>
        <w:t>至少包括</w:t>
      </w:r>
      <w:bookmarkEnd w:id="43"/>
      <w:r>
        <w:rPr>
          <w:rFonts w:hint="eastAsia" w:ascii="楷体" w:hAnsi="楷体" w:eastAsia="楷体" w:cs="楷体"/>
          <w:kern w:val="2"/>
          <w:sz w:val="24"/>
          <w:szCs w:val="24"/>
          <w:lang w:val="en-US" w:eastAsia="zh-CN" w:bidi="ar-SA"/>
        </w:rPr>
        <w:t>20KT/s~80KT/s</w:t>
      </w:r>
    </w:p>
    <w:p w14:paraId="676A5D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2.1.5脉冲上升时间：至少包括60μs±10μs</w:t>
      </w:r>
    </w:p>
    <w:p w14:paraId="75A07C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2.1.6输出脉冲宽度：至少包括340μs±20μs</w:t>
      </w:r>
    </w:p>
    <w:p w14:paraId="5465964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2.1.7输出脉冲频率：0Hz~50Hz可调</w:t>
      </w:r>
    </w:p>
    <w:p w14:paraId="45059A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2.1.8脉冲频率允差值：±2%</w:t>
      </w:r>
    </w:p>
    <w:p w14:paraId="3541B1F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2.1.9电介质强度：主机内部高压储能电容安全可靠，电介质强度可达4000V</w:t>
      </w:r>
      <w:bookmarkStart w:id="44" w:name="OLE_LINK2"/>
      <w:r>
        <w:rPr>
          <w:rFonts w:hint="eastAsia" w:ascii="楷体" w:hAnsi="楷体" w:eastAsia="楷体" w:cs="楷体"/>
          <w:kern w:val="2"/>
          <w:sz w:val="24"/>
          <w:szCs w:val="24"/>
          <w:lang w:val="en-US" w:eastAsia="zh-CN" w:bidi="ar-SA"/>
        </w:rPr>
        <w:t>AC</w:t>
      </w:r>
      <w:bookmarkEnd w:id="44"/>
      <w:r>
        <w:rPr>
          <w:rFonts w:hint="eastAsia" w:ascii="楷体" w:hAnsi="楷体" w:eastAsia="楷体" w:cs="楷体"/>
          <w:kern w:val="2"/>
          <w:sz w:val="24"/>
          <w:szCs w:val="24"/>
          <w:lang w:val="en-US" w:eastAsia="zh-CN" w:bidi="ar-SA"/>
        </w:rPr>
        <w:t>。</w:t>
      </w:r>
    </w:p>
    <w:p w14:paraId="0D513A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楷体" w:hAnsi="楷体" w:eastAsia="楷体" w:cs="楷体"/>
          <w:b/>
          <w:bCs/>
          <w:kern w:val="2"/>
          <w:sz w:val="24"/>
          <w:szCs w:val="24"/>
          <w:lang w:val="en-US" w:eastAsia="zh-CN" w:bidi="ar-SA"/>
        </w:rPr>
      </w:pPr>
      <w:bookmarkStart w:id="45" w:name="OLE_LINK13"/>
      <w:r>
        <w:rPr>
          <w:rFonts w:hint="eastAsia" w:ascii="楷体" w:hAnsi="楷体" w:eastAsia="楷体" w:cs="楷体"/>
          <w:b/>
          <w:bCs/>
          <w:kern w:val="2"/>
          <w:sz w:val="24"/>
          <w:szCs w:val="24"/>
          <w:lang w:val="en-US" w:eastAsia="zh-CN" w:bidi="ar-SA"/>
        </w:rPr>
        <w:t>2.2安全预警：</w:t>
      </w:r>
    </w:p>
    <w:bookmarkEnd w:id="45"/>
    <w:p w14:paraId="2D3652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2.2.1冷却系统流量过低，产品会弹出异常信息的提示文字，并自动关闭产品停止输出。</w:t>
      </w:r>
    </w:p>
    <w:p w14:paraId="1E61D62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2.2.2在设备连续工作中，可以通过按下设备面板上的停止开关，仪器立即停止输出。</w:t>
      </w:r>
    </w:p>
    <w:p w14:paraId="117B07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2.2.3磁刺激线圈表面温度≤40℃</w:t>
      </w:r>
    </w:p>
    <w:p w14:paraId="3B668E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2.2.4刺激线圈：</w:t>
      </w:r>
    </w:p>
    <w:p w14:paraId="50C9E1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bookmarkStart w:id="46" w:name="OLE_LINK14"/>
      <w:r>
        <w:rPr>
          <w:rFonts w:hint="eastAsia" w:ascii="楷体" w:hAnsi="楷体" w:eastAsia="楷体" w:cs="楷体"/>
          <w:kern w:val="2"/>
          <w:sz w:val="24"/>
          <w:szCs w:val="24"/>
          <w:lang w:val="en-US" w:eastAsia="zh-CN" w:bidi="ar-SA"/>
        </w:rPr>
        <w:t>2.2.4.1圆形或8字形线圈，能实现双面双向刺激（需出具刺激线圈图样，线圈背部加装冷却系统的不具备此功能）</w:t>
      </w:r>
      <w:bookmarkEnd w:id="46"/>
      <w:bookmarkStart w:id="47" w:name="OLE_LINK15"/>
    </w:p>
    <w:p w14:paraId="785E082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2.2.4.2线圈全封闭一体式工艺，无孔设计，加工一次成型</w:t>
      </w:r>
      <w:bookmarkEnd w:id="47"/>
      <w:bookmarkStart w:id="48" w:name="OLE_LINK8"/>
      <w:bookmarkStart w:id="49" w:name="OLE_LINK17"/>
      <w:r>
        <w:rPr>
          <w:rFonts w:hint="eastAsia" w:ascii="楷体" w:hAnsi="楷体" w:eastAsia="楷体" w:cs="楷体"/>
          <w:kern w:val="2"/>
          <w:sz w:val="24"/>
          <w:szCs w:val="24"/>
          <w:lang w:val="en-US" w:eastAsia="zh-CN" w:bidi="ar-SA"/>
        </w:rPr>
        <w:t>，无加工缝隙。</w:t>
      </w:r>
      <w:bookmarkEnd w:id="48"/>
    </w:p>
    <w:p w14:paraId="242192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2.2.4.3可扩展临床用线圈拍包括：圆形，8字形、双锥（蝶）形、儿童型；</w:t>
      </w:r>
    </w:p>
    <w:bookmarkEnd w:id="49"/>
    <w:p w14:paraId="40388C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2.2.4.4可扩展科研用线圈拍包括：凹面型、动物型、盔式深部型、</w:t>
      </w:r>
    </w:p>
    <w:p w14:paraId="7F4E9E7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2.2.4.5具有电动吸液和电动排液功能。</w:t>
      </w:r>
    </w:p>
    <w:p w14:paraId="00D851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bookmarkStart w:id="50" w:name="OLE_LINK18"/>
      <w:r>
        <w:rPr>
          <w:rFonts w:hint="eastAsia" w:ascii="楷体" w:hAnsi="楷体" w:eastAsia="楷体" w:cs="楷体"/>
          <w:kern w:val="2"/>
          <w:sz w:val="24"/>
          <w:szCs w:val="24"/>
          <w:lang w:val="en-US" w:eastAsia="zh-CN" w:bidi="ar-SA"/>
        </w:rPr>
        <w:t>2.2.5检测模式：</w:t>
      </w:r>
    </w:p>
    <w:bookmarkEnd w:id="50"/>
    <w:p w14:paraId="4301E6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2.2.5.1检测项目：支持运动阈值（MT）、运动诱发电位（MEP）、中枢神经传导时间（CMCT）、静息期检测等的检测功能。</w:t>
      </w:r>
    </w:p>
    <w:p w14:paraId="0C5AE7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2.2.5.2检测记录：运动阈值与治疗方案自动记忆功能，可对保存文档中波形与数据进行复现。</w:t>
      </w:r>
    </w:p>
    <w:p w14:paraId="0A2E6F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2.2.5.3具备自动计算神经传导时间功能</w:t>
      </w:r>
    </w:p>
    <w:p w14:paraId="4C9891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2.2.5.4具备运动诱发电位（MEP），用于捕捉肌电信号（EMG），</w:t>
      </w:r>
      <w:bookmarkStart w:id="51" w:name="OLE_LINK16"/>
      <w:r>
        <w:rPr>
          <w:rFonts w:hint="eastAsia" w:ascii="楷体" w:hAnsi="楷体" w:eastAsia="楷体" w:cs="楷体"/>
          <w:kern w:val="2"/>
          <w:sz w:val="24"/>
          <w:szCs w:val="24"/>
          <w:lang w:val="en-US" w:eastAsia="zh-CN" w:bidi="ar-SA"/>
        </w:rPr>
        <w:t>并可以在显示器上显示波形。</w:t>
      </w:r>
      <w:bookmarkEnd w:id="51"/>
    </w:p>
    <w:p w14:paraId="4A3599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2.2.5.5通道数：2通道</w:t>
      </w:r>
    </w:p>
    <w:p w14:paraId="0A5662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2.2.5.6采样率：100KHz±10%</w:t>
      </w:r>
    </w:p>
    <w:p w14:paraId="6CB6B1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2.2.5.7传输方式：有线传输内置MEP模块，信号稳定无需充电（非外挂式无线MEP模块）。</w:t>
      </w:r>
    </w:p>
    <w:p w14:paraId="1DA2DD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2.2.5.8最小分辨率：≤0.1μV，频率测量范围：1Hz~25KHz。</w:t>
      </w:r>
    </w:p>
    <w:p w14:paraId="7D6B49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2.2.6刺激模式</w:t>
      </w:r>
    </w:p>
    <w:p w14:paraId="20E6905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2.2.6.1单脉冲（sTMS）、重复脉冲（rTMS）、复合刺激（TBS）、成对脉冲输出（pTMS）等多种刺激模式自由调整。</w:t>
      </w:r>
    </w:p>
    <w:p w14:paraId="2FD4112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bookmarkStart w:id="52" w:name="OLE_LINK19"/>
      <w:r>
        <w:rPr>
          <w:rFonts w:hint="eastAsia" w:ascii="楷体" w:hAnsi="楷体" w:eastAsia="楷体" w:cs="楷体"/>
          <w:kern w:val="2"/>
          <w:sz w:val="24"/>
          <w:szCs w:val="24"/>
          <w:lang w:val="en-US" w:eastAsia="zh-CN" w:bidi="ar-SA"/>
        </w:rPr>
        <w:t>2.2.6.2具有手动刺激和按程序程控刺激的功能。</w:t>
      </w:r>
      <w:bookmarkEnd w:id="52"/>
    </w:p>
    <w:p w14:paraId="323C968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2.2.6.3定时时间按照方案的需要设置，在预定时间（方案的总时间）到达后设备自动终止磁场输出，允差：±10%。</w:t>
      </w:r>
    </w:p>
    <w:p w14:paraId="03561B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2.2.6.4治疗方案提供详细图文描述，配合定位帽标识，刺激部位360度呈现，提供精准靶点指导。</w:t>
      </w:r>
      <w:bookmarkStart w:id="53" w:name="OLE_LINK12"/>
    </w:p>
    <w:p w14:paraId="11F950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2.2.6.5触发输出：触发脉冲波宽350μs±50μs，幅度5V±0.5V。</w:t>
      </w:r>
    </w:p>
    <w:p w14:paraId="177BA0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2.2.6.6触发输入：输入脉冲波宽≥16μs，幅度5V±0.5V的信号，能被触发。</w:t>
      </w:r>
    </w:p>
    <w:p w14:paraId="4B704C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2.2.6.7操作软件上调节触发输入延时时间，软件在0~500ms范围可调，步长0.1ms。</w:t>
      </w:r>
    </w:p>
    <w:p w14:paraId="33D27E2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2.2.6.8操作软件上调节触发输出延时时间，软件在-500~500ms范围可调，步长0.1ms。</w:t>
      </w:r>
    </w:p>
    <w:bookmarkEnd w:id="53"/>
    <w:p w14:paraId="5B9159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kern w:val="2"/>
          <w:sz w:val="24"/>
          <w:szCs w:val="24"/>
          <w:lang w:val="en-US" w:eastAsia="zh-CN" w:bidi="ar-SA"/>
        </w:rPr>
        <w:t>2.2.7开放式的技术平台，可与电刺激、近红外、导航等设备兼容。</w:t>
      </w:r>
    </w:p>
    <w:p w14:paraId="7C12D6A8">
      <w:pPr>
        <w:pStyle w:val="3"/>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三、其他要求</w:t>
      </w:r>
      <w:bookmarkEnd w:id="40"/>
      <w:bookmarkEnd w:id="41"/>
    </w:p>
    <w:p w14:paraId="7E65364F">
      <w:pPr>
        <w:pStyle w:val="145"/>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响应单位提供与采购人信息系统连接接口，在采购人现有相关信息系统及相关硬件接口开放的基础上，响应单位提供的软、硬件须无条件实现与采购人现有相关信息系统和硬件对接，响应单位承担第三方软件厂商开放接口所收取的费用。</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2.在远程服务或系统升级服务时，响应单位必须向采购人提出申请同意后才能实施，且响应单位对采购人的信息安全和数据安全负全责，在服务工作中造成的影响或损失由响应单位负全责。</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3.设备所提供的软件需正版化或取得相应的授权资料。</w:t>
      </w:r>
    </w:p>
    <w:p w14:paraId="103AFC15">
      <w:pPr>
        <w:pStyle w:val="2"/>
        <w:rPr>
          <w:rFonts w:hint="eastAsia"/>
          <w:color w:val="auto"/>
          <w:highlight w:val="none"/>
        </w:rPr>
      </w:pPr>
      <w:r>
        <w:rPr>
          <w:color w:val="auto"/>
          <w:highlight w:val="none"/>
        </w:rPr>
        <w:br w:type="page"/>
      </w:r>
      <w:bookmarkStart w:id="54" w:name="_Toc178405950"/>
      <w:r>
        <w:rPr>
          <w:rFonts w:hint="eastAsia"/>
          <w:color w:val="auto"/>
          <w:highlight w:val="none"/>
        </w:rPr>
        <w:t xml:space="preserve">第三篇  </w:t>
      </w:r>
      <w:bookmarkEnd w:id="38"/>
      <w:r>
        <w:rPr>
          <w:rFonts w:hint="eastAsia"/>
          <w:color w:val="auto"/>
          <w:highlight w:val="none"/>
        </w:rPr>
        <w:t>项目商务要求</w:t>
      </w:r>
      <w:bookmarkEnd w:id="54"/>
    </w:p>
    <w:p w14:paraId="513A7F1A">
      <w:pPr>
        <w:pStyle w:val="3"/>
        <w:ind w:firstLine="482"/>
        <w:rPr>
          <w:rFonts w:hint="eastAsia"/>
          <w:color w:val="auto"/>
          <w:highlight w:val="none"/>
        </w:rPr>
      </w:pPr>
      <w:bookmarkStart w:id="55" w:name="_Toc178405951"/>
      <w:bookmarkStart w:id="56" w:name="_Toc65660342"/>
      <w:r>
        <w:rPr>
          <w:rFonts w:hint="eastAsia"/>
          <w:color w:val="auto"/>
          <w:highlight w:val="none"/>
        </w:rPr>
        <w:t>一、主要商务条款</w:t>
      </w:r>
      <w:bookmarkEnd w:id="55"/>
    </w:p>
    <w:p w14:paraId="6C254612">
      <w:pPr>
        <w:spacing w:line="400" w:lineRule="exact"/>
        <w:ind w:firstLine="480" w:firstLineChars="200"/>
        <w:rPr>
          <w:rFonts w:hint="eastAsia" w:ascii="楷体" w:hAnsi="楷体" w:eastAsia="楷体" w:cs="楷体"/>
          <w:color w:val="auto"/>
          <w:sz w:val="24"/>
          <w:szCs w:val="24"/>
          <w:highlight w:val="none"/>
        </w:rPr>
      </w:pPr>
      <w:bookmarkStart w:id="57" w:name="_Toc178405952"/>
      <w:r>
        <w:rPr>
          <w:rFonts w:hint="eastAsia" w:ascii="楷体" w:hAnsi="楷体" w:eastAsia="楷体" w:cs="楷体"/>
          <w:color w:val="auto"/>
          <w:sz w:val="24"/>
          <w:szCs w:val="24"/>
          <w:highlight w:val="none"/>
        </w:rPr>
        <w:t>1.设备整机质保期：≥5年。</w:t>
      </w:r>
    </w:p>
    <w:p w14:paraId="69CD88D2">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2.设备质保期内，出现不可修复的质量问题需无条件更换全新机器，修复期超过五天时需提供备用机。</w:t>
      </w:r>
    </w:p>
    <w:p w14:paraId="63CB2B2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3.合同期内不得随意变更配送单位。</w:t>
      </w:r>
    </w:p>
    <w:p w14:paraId="2A4AC99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4.若有配套易损件或封闭专用耗材（专机专用）的，需同时报价，否则视为标配。</w:t>
      </w:r>
    </w:p>
    <w:p w14:paraId="345203DD">
      <w:pPr>
        <w:spacing w:line="400" w:lineRule="exact"/>
        <w:ind w:firstLine="480" w:firstLineChars="200"/>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rPr>
        <w:t>5.设备到货期：设备质保期内，每年提供巡检保养服务2次，即每半年1次</w:t>
      </w:r>
      <w:r>
        <w:rPr>
          <w:rFonts w:hint="eastAsia" w:ascii="楷体" w:hAnsi="楷体" w:eastAsia="楷体" w:cs="楷体"/>
          <w:color w:val="auto"/>
          <w:sz w:val="24"/>
          <w:szCs w:val="24"/>
          <w:highlight w:val="none"/>
          <w:lang w:eastAsia="zh-CN"/>
        </w:rPr>
        <w:t>。</w:t>
      </w:r>
    </w:p>
    <w:p w14:paraId="7F0958E0">
      <w:pPr>
        <w:pStyle w:val="3"/>
        <w:ind w:firstLine="482"/>
        <w:rPr>
          <w:rFonts w:hint="eastAsia"/>
          <w:color w:val="auto"/>
          <w:highlight w:val="none"/>
        </w:rPr>
      </w:pPr>
      <w:r>
        <w:rPr>
          <w:rFonts w:hint="eastAsia"/>
          <w:color w:val="auto"/>
          <w:highlight w:val="none"/>
        </w:rPr>
        <w:t>二、交货时间、地点及验收方式</w:t>
      </w:r>
      <w:bookmarkEnd w:id="56"/>
      <w:bookmarkEnd w:id="57"/>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w:t>
      </w:r>
      <w:r>
        <w:rPr>
          <w:rFonts w:hint="eastAsia" w:ascii="楷体" w:hAnsi="楷体" w:eastAsia="楷体" w:cs="楷体"/>
          <w:b/>
          <w:color w:val="auto"/>
          <w:sz w:val="24"/>
          <w:szCs w:val="24"/>
          <w:highlight w:val="none"/>
          <w:lang w:val="en-US" w:eastAsia="zh-CN"/>
        </w:rPr>
        <w:t>15</w:t>
      </w:r>
      <w:r>
        <w:rPr>
          <w:rFonts w:hint="eastAsia" w:ascii="楷体" w:hAnsi="楷体" w:eastAsia="楷体" w:cs="楷体"/>
          <w:b/>
          <w:color w:val="auto"/>
          <w:sz w:val="24"/>
          <w:szCs w:val="24"/>
          <w:highlight w:val="none"/>
        </w:rPr>
        <w:t>天内交货，并完成安装调试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3"/>
        <w:ind w:firstLine="482"/>
        <w:rPr>
          <w:rFonts w:hint="eastAsia"/>
          <w:color w:val="auto"/>
          <w:highlight w:val="none"/>
        </w:rPr>
      </w:pPr>
      <w:bookmarkStart w:id="58" w:name="_Toc178405953"/>
      <w:bookmarkStart w:id="59" w:name="_Toc65660343"/>
      <w:r>
        <w:rPr>
          <w:rFonts w:hint="eastAsia"/>
          <w:color w:val="auto"/>
          <w:highlight w:val="none"/>
        </w:rPr>
        <w:t>三、质量保证及售后服务</w:t>
      </w:r>
      <w:bookmarkEnd w:id="58"/>
      <w:bookmarkEnd w:id="59"/>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3"/>
        <w:ind w:firstLine="482"/>
        <w:rPr>
          <w:rFonts w:hint="eastAsia"/>
          <w:color w:val="auto"/>
          <w:highlight w:val="none"/>
        </w:rPr>
      </w:pPr>
      <w:bookmarkStart w:id="60" w:name="_Toc178405954"/>
      <w:bookmarkStart w:id="61" w:name="_Toc65660344"/>
      <w:r>
        <w:rPr>
          <w:rFonts w:hint="eastAsia"/>
          <w:color w:val="auto"/>
          <w:highlight w:val="none"/>
        </w:rPr>
        <w:t>四、报价要求</w:t>
      </w:r>
      <w:bookmarkEnd w:id="60"/>
      <w:bookmarkEnd w:id="61"/>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3"/>
        <w:ind w:firstLine="482"/>
        <w:rPr>
          <w:rFonts w:hint="eastAsia"/>
          <w:color w:val="auto"/>
          <w:highlight w:val="none"/>
        </w:rPr>
      </w:pPr>
      <w:bookmarkStart w:id="62" w:name="_Toc178405955"/>
      <w:bookmarkStart w:id="63" w:name="_Toc65660345"/>
      <w:r>
        <w:rPr>
          <w:rFonts w:hint="eastAsia"/>
          <w:color w:val="auto"/>
          <w:highlight w:val="none"/>
        </w:rPr>
        <w:t>五、付款方式</w:t>
      </w:r>
      <w:bookmarkEnd w:id="62"/>
      <w:bookmarkEnd w:id="63"/>
    </w:p>
    <w:p w14:paraId="039306FD">
      <w:pPr>
        <w:spacing w:line="440" w:lineRule="exact"/>
        <w:ind w:firstLine="482" w:firstLineChars="200"/>
        <w:rPr>
          <w:rFonts w:ascii="楷体" w:hAnsi="楷体" w:eastAsia="楷体" w:cs="宋体"/>
          <w:b/>
          <w:color w:val="auto"/>
          <w:sz w:val="24"/>
          <w:highlight w:val="none"/>
        </w:rPr>
      </w:pPr>
      <w:bookmarkStart w:id="64"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4"/>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3"/>
        <w:ind w:firstLine="482"/>
        <w:rPr>
          <w:rFonts w:hint="eastAsia"/>
          <w:color w:val="auto"/>
          <w:highlight w:val="none"/>
        </w:rPr>
      </w:pPr>
      <w:bookmarkStart w:id="65" w:name="_Toc178405956"/>
      <w:r>
        <w:rPr>
          <w:rFonts w:hint="eastAsia"/>
          <w:color w:val="auto"/>
          <w:highlight w:val="none"/>
        </w:rPr>
        <w:t>六、知识产权</w:t>
      </w:r>
      <w:bookmarkEnd w:id="64"/>
      <w:bookmarkEnd w:id="65"/>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3"/>
        <w:ind w:firstLine="482"/>
        <w:rPr>
          <w:rFonts w:hint="eastAsia"/>
          <w:color w:val="auto"/>
          <w:highlight w:val="none"/>
        </w:rPr>
      </w:pPr>
      <w:bookmarkStart w:id="66" w:name="_Toc178405957"/>
      <w:bookmarkStart w:id="67" w:name="_Toc65660347"/>
      <w:r>
        <w:rPr>
          <w:rFonts w:hint="eastAsia"/>
          <w:color w:val="auto"/>
          <w:highlight w:val="none"/>
        </w:rPr>
        <w:t>七、培训</w:t>
      </w:r>
      <w:bookmarkEnd w:id="66"/>
      <w:bookmarkEnd w:id="67"/>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3"/>
        <w:ind w:firstLine="482"/>
        <w:rPr>
          <w:rFonts w:hint="eastAsia"/>
          <w:color w:val="auto"/>
          <w:highlight w:val="none"/>
        </w:rPr>
      </w:pPr>
      <w:bookmarkStart w:id="68" w:name="_Toc178405958"/>
      <w:bookmarkStart w:id="69" w:name="_Toc65660348"/>
      <w:r>
        <w:rPr>
          <w:rFonts w:hint="eastAsia"/>
          <w:color w:val="auto"/>
          <w:highlight w:val="none"/>
        </w:rPr>
        <w:t>八、其他</w:t>
      </w:r>
      <w:bookmarkEnd w:id="68"/>
      <w:bookmarkEnd w:id="69"/>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2"/>
        <w:rPr>
          <w:rFonts w:hint="eastAsia"/>
          <w:color w:val="auto"/>
          <w:highlight w:val="none"/>
        </w:rPr>
      </w:pPr>
      <w:bookmarkStart w:id="70" w:name="_Toc65660349"/>
      <w:r>
        <w:rPr>
          <w:color w:val="auto"/>
          <w:highlight w:val="none"/>
        </w:rPr>
        <w:br w:type="page"/>
      </w:r>
      <w:bookmarkStart w:id="71" w:name="_Toc178405959"/>
      <w:r>
        <w:rPr>
          <w:rFonts w:hint="eastAsia"/>
          <w:color w:val="auto"/>
          <w:highlight w:val="none"/>
        </w:rPr>
        <w:t>第四篇  采购程序、评审标准、无效响应和采购终止</w:t>
      </w:r>
      <w:bookmarkEnd w:id="70"/>
      <w:bookmarkEnd w:id="71"/>
    </w:p>
    <w:p w14:paraId="449989E1">
      <w:pPr>
        <w:pStyle w:val="3"/>
        <w:ind w:firstLine="482"/>
        <w:rPr>
          <w:rFonts w:hint="eastAsia"/>
          <w:color w:val="auto"/>
          <w:highlight w:val="none"/>
        </w:rPr>
      </w:pPr>
      <w:bookmarkStart w:id="72" w:name="_Toc65660350"/>
      <w:bookmarkStart w:id="73" w:name="_Toc64732012"/>
      <w:bookmarkStart w:id="74" w:name="_Toc178405960"/>
      <w:r>
        <w:rPr>
          <w:rFonts w:hint="eastAsia"/>
          <w:color w:val="auto"/>
          <w:highlight w:val="none"/>
        </w:rPr>
        <w:t>一、采购程序</w:t>
      </w:r>
      <w:bookmarkEnd w:id="72"/>
      <w:bookmarkEnd w:id="73"/>
      <w:r>
        <w:rPr>
          <w:rFonts w:hint="eastAsia"/>
          <w:color w:val="auto"/>
          <w:highlight w:val="none"/>
        </w:rPr>
        <w:t>及评审标准</w:t>
      </w:r>
      <w:bookmarkEnd w:id="74"/>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75" w:name="_Toc75252326"/>
      <w:bookmarkStart w:id="76" w:name="_Toc10474389"/>
      <w:r>
        <w:rPr>
          <w:rFonts w:hint="eastAsia" w:ascii="楷体" w:hAnsi="楷体" w:eastAsia="楷体"/>
          <w:color w:val="auto"/>
          <w:sz w:val="24"/>
          <w:szCs w:val="24"/>
          <w:highlight w:val="none"/>
        </w:rPr>
        <w:t>评审方法</w:t>
      </w:r>
      <w:bookmarkEnd w:id="75"/>
      <w:bookmarkEnd w:id="76"/>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77"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3"/>
        <w:ind w:firstLine="482"/>
        <w:rPr>
          <w:rFonts w:hint="eastAsia"/>
          <w:color w:val="auto"/>
          <w:highlight w:val="none"/>
        </w:rPr>
      </w:pPr>
      <w:bookmarkStart w:id="78" w:name="_Toc178405961"/>
      <w:r>
        <w:rPr>
          <w:rFonts w:hint="eastAsia"/>
          <w:color w:val="auto"/>
          <w:highlight w:val="none"/>
        </w:rPr>
        <w:t>二、无效</w:t>
      </w:r>
      <w:bookmarkEnd w:id="77"/>
      <w:r>
        <w:rPr>
          <w:rFonts w:hint="eastAsia"/>
          <w:color w:val="auto"/>
          <w:highlight w:val="none"/>
        </w:rPr>
        <w:t>比选</w:t>
      </w:r>
      <w:bookmarkEnd w:id="78"/>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79" w:name="_Toc65660353"/>
    </w:p>
    <w:p w14:paraId="5EAE937C">
      <w:pPr>
        <w:pStyle w:val="3"/>
        <w:ind w:firstLine="482"/>
        <w:rPr>
          <w:rFonts w:hint="eastAsia"/>
          <w:color w:val="auto"/>
          <w:highlight w:val="none"/>
        </w:rPr>
      </w:pPr>
      <w:bookmarkStart w:id="80" w:name="_Toc178405962"/>
      <w:r>
        <w:rPr>
          <w:rFonts w:hint="eastAsia"/>
          <w:color w:val="auto"/>
          <w:highlight w:val="none"/>
        </w:rPr>
        <w:t>三、采购终止</w:t>
      </w:r>
      <w:bookmarkEnd w:id="79"/>
      <w:bookmarkEnd w:id="80"/>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2"/>
        <w:rPr>
          <w:rFonts w:hint="eastAsia"/>
          <w:color w:val="auto"/>
          <w:highlight w:val="none"/>
        </w:rPr>
      </w:pPr>
      <w:r>
        <w:rPr>
          <w:color w:val="auto"/>
          <w:highlight w:val="none"/>
        </w:rPr>
        <w:br w:type="page"/>
      </w:r>
      <w:bookmarkStart w:id="81" w:name="_Toc178405963"/>
      <w:r>
        <w:rPr>
          <w:rFonts w:hint="eastAsia"/>
          <w:color w:val="auto"/>
          <w:highlight w:val="none"/>
        </w:rPr>
        <w:t>第五篇  供应商须知</w:t>
      </w:r>
      <w:bookmarkEnd w:id="21"/>
      <w:bookmarkEnd w:id="22"/>
      <w:bookmarkEnd w:id="81"/>
      <w:bookmarkStart w:id="82" w:name="_Toc342913389"/>
    </w:p>
    <w:p w14:paraId="4E12B0B5">
      <w:pPr>
        <w:pStyle w:val="3"/>
        <w:ind w:firstLine="482"/>
        <w:rPr>
          <w:rFonts w:hint="eastAsia"/>
          <w:color w:val="auto"/>
          <w:highlight w:val="none"/>
        </w:rPr>
      </w:pPr>
      <w:bookmarkStart w:id="83" w:name="_Toc54718180"/>
      <w:bookmarkStart w:id="84" w:name="_Toc8780"/>
      <w:bookmarkStart w:id="85" w:name="_Toc22907"/>
      <w:bookmarkStart w:id="86" w:name="_Toc178405964"/>
      <w:r>
        <w:rPr>
          <w:rFonts w:hint="eastAsia"/>
          <w:color w:val="auto"/>
          <w:highlight w:val="none"/>
        </w:rPr>
        <w:t>一、比选费用</w:t>
      </w:r>
      <w:bookmarkEnd w:id="82"/>
      <w:bookmarkEnd w:id="83"/>
      <w:bookmarkEnd w:id="84"/>
      <w:bookmarkEnd w:id="85"/>
      <w:bookmarkEnd w:id="86"/>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87" w:name="_Toc342913391"/>
    </w:p>
    <w:p w14:paraId="23C19285">
      <w:pPr>
        <w:pStyle w:val="3"/>
        <w:ind w:firstLine="482"/>
        <w:rPr>
          <w:rFonts w:hint="eastAsia"/>
          <w:color w:val="auto"/>
          <w:highlight w:val="none"/>
        </w:rPr>
      </w:pPr>
      <w:bookmarkStart w:id="88" w:name="_Toc178405965"/>
      <w:r>
        <w:rPr>
          <w:rFonts w:hint="eastAsia"/>
          <w:color w:val="auto"/>
          <w:highlight w:val="none"/>
        </w:rPr>
        <w:t>二、比选文件</w:t>
      </w:r>
      <w:bookmarkEnd w:id="87"/>
      <w:bookmarkEnd w:id="88"/>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89" w:name="_Toc318159780"/>
      <w:bookmarkStart w:id="90" w:name="_Toc318159349"/>
      <w:bookmarkStart w:id="91" w:name="_Toc318159160"/>
      <w:bookmarkStart w:id="92" w:name="_Toc318166429"/>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89"/>
      <w:bookmarkEnd w:id="90"/>
      <w:bookmarkEnd w:id="91"/>
      <w:bookmarkEnd w:id="92"/>
      <w:bookmarkStart w:id="93" w:name="_Toc102227318"/>
      <w:bookmarkStart w:id="94" w:name="_Toc179714297"/>
      <w:bookmarkStart w:id="95" w:name="_Toc342913392"/>
    </w:p>
    <w:p w14:paraId="6CC0E4BB">
      <w:pPr>
        <w:pStyle w:val="3"/>
        <w:ind w:firstLine="482"/>
        <w:rPr>
          <w:rFonts w:hint="eastAsia"/>
          <w:color w:val="auto"/>
          <w:highlight w:val="none"/>
        </w:rPr>
      </w:pPr>
      <w:bookmarkStart w:id="96" w:name="_Toc178405966"/>
      <w:bookmarkStart w:id="97" w:name="_Toc54718182"/>
      <w:r>
        <w:rPr>
          <w:rFonts w:hint="eastAsia"/>
          <w:color w:val="auto"/>
          <w:highlight w:val="none"/>
        </w:rPr>
        <w:t>三、比选要求</w:t>
      </w:r>
      <w:bookmarkEnd w:id="93"/>
      <w:bookmarkEnd w:id="94"/>
      <w:bookmarkEnd w:id="95"/>
      <w:bookmarkEnd w:id="96"/>
      <w:bookmarkEnd w:id="97"/>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98" w:name="_Toc65660358"/>
      <w:bookmarkStart w:id="99" w:name="_Toc102227319"/>
      <w:bookmarkStart w:id="100" w:name="_Toc342913393"/>
      <w:bookmarkStart w:id="101" w:name="_Toc179714298"/>
    </w:p>
    <w:p w14:paraId="3A3ED785">
      <w:pPr>
        <w:pStyle w:val="3"/>
        <w:ind w:firstLine="482"/>
        <w:rPr>
          <w:rFonts w:hint="eastAsia"/>
          <w:color w:val="auto"/>
          <w:highlight w:val="none"/>
        </w:rPr>
      </w:pPr>
      <w:bookmarkStart w:id="102" w:name="_Toc178405967"/>
      <w:r>
        <w:rPr>
          <w:rFonts w:hint="eastAsia"/>
          <w:color w:val="auto"/>
          <w:highlight w:val="none"/>
        </w:rPr>
        <w:t>四、成交供应商的确定和变更</w:t>
      </w:r>
      <w:bookmarkEnd w:id="98"/>
      <w:bookmarkEnd w:id="102"/>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103" w:name="_Toc65660359"/>
    </w:p>
    <w:p w14:paraId="2C29A2E1">
      <w:pPr>
        <w:pStyle w:val="3"/>
        <w:ind w:firstLine="482"/>
        <w:rPr>
          <w:rFonts w:hint="eastAsia"/>
          <w:color w:val="auto"/>
          <w:highlight w:val="none"/>
        </w:rPr>
      </w:pPr>
      <w:bookmarkStart w:id="104" w:name="_Toc178405968"/>
      <w:r>
        <w:rPr>
          <w:rFonts w:hint="eastAsia"/>
          <w:color w:val="auto"/>
          <w:highlight w:val="none"/>
        </w:rPr>
        <w:t>五、成交通知</w:t>
      </w:r>
      <w:bookmarkEnd w:id="103"/>
      <w:bookmarkEnd w:id="104"/>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3"/>
        <w:ind w:firstLine="482"/>
        <w:rPr>
          <w:rFonts w:hint="eastAsia"/>
          <w:color w:val="auto"/>
          <w:highlight w:val="none"/>
        </w:rPr>
      </w:pPr>
      <w:bookmarkStart w:id="105" w:name="_Toc178405969"/>
      <w:bookmarkStart w:id="106" w:name="_Toc65660360"/>
      <w:r>
        <w:rPr>
          <w:rFonts w:hint="eastAsia"/>
          <w:color w:val="auto"/>
          <w:highlight w:val="none"/>
        </w:rPr>
        <w:t>六、关于质疑和投诉</w:t>
      </w:r>
      <w:bookmarkEnd w:id="105"/>
      <w:bookmarkEnd w:id="106"/>
    </w:p>
    <w:p w14:paraId="5005A162">
      <w:pPr>
        <w:snapToGrid w:val="0"/>
        <w:spacing w:line="400" w:lineRule="exact"/>
        <w:ind w:firstLine="482" w:firstLineChars="200"/>
        <w:rPr>
          <w:rFonts w:hint="eastAsia" w:ascii="楷体" w:hAnsi="楷体" w:eastAsia="楷体"/>
          <w:b/>
          <w:color w:val="auto"/>
          <w:sz w:val="24"/>
          <w:szCs w:val="24"/>
          <w:highlight w:val="none"/>
        </w:rPr>
      </w:pPr>
      <w:bookmarkStart w:id="107"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3"/>
        <w:ind w:firstLine="482"/>
        <w:rPr>
          <w:rFonts w:hint="eastAsia"/>
          <w:color w:val="auto"/>
          <w:highlight w:val="none"/>
        </w:rPr>
      </w:pPr>
      <w:bookmarkStart w:id="108" w:name="_Toc178405970"/>
      <w:r>
        <w:rPr>
          <w:rFonts w:hint="eastAsia"/>
          <w:color w:val="auto"/>
          <w:highlight w:val="none"/>
        </w:rPr>
        <w:t>七、签订合同</w:t>
      </w:r>
      <w:bookmarkEnd w:id="107"/>
      <w:bookmarkEnd w:id="108"/>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99"/>
    <w:bookmarkEnd w:id="100"/>
    <w:bookmarkEnd w:id="101"/>
    <w:p w14:paraId="63D1A0CF">
      <w:pPr>
        <w:pStyle w:val="2"/>
        <w:rPr>
          <w:rFonts w:hint="eastAsia" w:ascii="楷体" w:hAnsi="楷体"/>
          <w:color w:val="auto"/>
          <w:highlight w:val="none"/>
        </w:rPr>
      </w:pPr>
      <w:bookmarkStart w:id="109" w:name="_Toc12789059"/>
      <w:bookmarkStart w:id="110" w:name="_Toc11641055"/>
      <w:r>
        <w:rPr>
          <w:rFonts w:hint="eastAsia" w:ascii="楷体" w:hAnsi="楷体"/>
          <w:color w:val="auto"/>
          <w:highlight w:val="none"/>
        </w:rPr>
        <w:br w:type="page"/>
      </w:r>
      <w:bookmarkStart w:id="111" w:name="_Toc178405971"/>
      <w:r>
        <w:rPr>
          <w:rFonts w:hint="eastAsia" w:ascii="楷体" w:hAnsi="楷体"/>
          <w:color w:val="auto"/>
          <w:highlight w:val="none"/>
        </w:rPr>
        <w:t xml:space="preserve">第六篇  </w:t>
      </w:r>
      <w:bookmarkEnd w:id="109"/>
      <w:bookmarkEnd w:id="110"/>
      <w:r>
        <w:rPr>
          <w:rFonts w:hint="eastAsia" w:ascii="楷体" w:hAnsi="楷体"/>
          <w:color w:val="auto"/>
          <w:highlight w:val="none"/>
        </w:rPr>
        <w:t>合同草案条款</w:t>
      </w:r>
      <w:bookmarkEnd w:id="111"/>
    </w:p>
    <w:p w14:paraId="2FEE5FF9">
      <w:pPr>
        <w:pStyle w:val="3"/>
        <w:ind w:firstLine="482"/>
        <w:rPr>
          <w:rFonts w:hint="eastAsia"/>
          <w:color w:val="auto"/>
          <w:highlight w:val="none"/>
        </w:rPr>
      </w:pPr>
      <w:bookmarkStart w:id="112" w:name="_Toc178405972"/>
      <w:r>
        <w:rPr>
          <w:rFonts w:hint="eastAsia"/>
          <w:color w:val="auto"/>
          <w:highlight w:val="none"/>
        </w:rPr>
        <w:t>一、定义</w:t>
      </w:r>
      <w:bookmarkEnd w:id="112"/>
    </w:p>
    <w:p w14:paraId="3485CCEE">
      <w:pPr>
        <w:snapToGrid w:val="0"/>
        <w:spacing w:line="400" w:lineRule="exact"/>
        <w:ind w:firstLine="480" w:firstLineChars="200"/>
        <w:rPr>
          <w:rFonts w:hint="eastAsia" w:ascii="楷体" w:hAnsi="楷体" w:eastAsia="楷体"/>
          <w:color w:val="auto"/>
          <w:sz w:val="24"/>
          <w:szCs w:val="24"/>
          <w:highlight w:val="none"/>
        </w:rPr>
      </w:pPr>
      <w:bookmarkStart w:id="113" w:name="_Toc988"/>
      <w:r>
        <w:rPr>
          <w:rFonts w:hint="eastAsia" w:ascii="楷体" w:hAnsi="楷体" w:eastAsia="楷体"/>
          <w:color w:val="auto"/>
          <w:sz w:val="24"/>
          <w:szCs w:val="24"/>
          <w:highlight w:val="none"/>
        </w:rPr>
        <w:t>（一）甲方（需方）即重庆医科大学附属永川医院。</w:t>
      </w:r>
      <w:bookmarkEnd w:id="113"/>
    </w:p>
    <w:p w14:paraId="15E05804">
      <w:pPr>
        <w:snapToGrid w:val="0"/>
        <w:spacing w:line="400" w:lineRule="exact"/>
        <w:ind w:firstLine="480" w:firstLineChars="200"/>
        <w:rPr>
          <w:rFonts w:hint="eastAsia" w:ascii="楷体" w:hAnsi="楷体" w:eastAsia="楷体"/>
          <w:color w:val="auto"/>
          <w:sz w:val="24"/>
          <w:szCs w:val="24"/>
          <w:highlight w:val="none"/>
        </w:rPr>
      </w:pPr>
      <w:bookmarkStart w:id="114"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14"/>
    </w:p>
    <w:p w14:paraId="2CF0119E">
      <w:pPr>
        <w:snapToGrid w:val="0"/>
        <w:spacing w:line="400" w:lineRule="exact"/>
        <w:ind w:firstLine="480" w:firstLineChars="200"/>
        <w:rPr>
          <w:rFonts w:hint="eastAsia" w:ascii="楷体" w:hAnsi="楷体" w:eastAsia="楷体"/>
          <w:color w:val="auto"/>
          <w:sz w:val="24"/>
          <w:szCs w:val="24"/>
          <w:highlight w:val="none"/>
        </w:rPr>
      </w:pPr>
      <w:bookmarkStart w:id="115"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15"/>
    </w:p>
    <w:p w14:paraId="3267F5E9">
      <w:pPr>
        <w:snapToGrid w:val="0"/>
        <w:spacing w:line="400" w:lineRule="exact"/>
        <w:ind w:firstLine="480" w:firstLineChars="200"/>
        <w:rPr>
          <w:rFonts w:hint="eastAsia" w:ascii="楷体" w:hAnsi="楷体" w:eastAsia="楷体"/>
          <w:color w:val="auto"/>
          <w:sz w:val="24"/>
          <w:szCs w:val="24"/>
          <w:highlight w:val="none"/>
        </w:rPr>
      </w:pPr>
      <w:bookmarkStart w:id="116"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16"/>
    </w:p>
    <w:p w14:paraId="05BB179B">
      <w:pPr>
        <w:snapToGrid w:val="0"/>
        <w:spacing w:line="400" w:lineRule="exact"/>
        <w:ind w:firstLine="480" w:firstLineChars="200"/>
        <w:rPr>
          <w:rFonts w:hint="eastAsia" w:ascii="楷体" w:hAnsi="楷体" w:eastAsia="楷体"/>
          <w:color w:val="auto"/>
          <w:sz w:val="24"/>
          <w:szCs w:val="24"/>
          <w:highlight w:val="none"/>
        </w:rPr>
      </w:pPr>
      <w:bookmarkStart w:id="117"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17"/>
    </w:p>
    <w:p w14:paraId="14443F73">
      <w:pPr>
        <w:pStyle w:val="3"/>
        <w:ind w:firstLine="482"/>
        <w:rPr>
          <w:rFonts w:hint="eastAsia"/>
          <w:color w:val="auto"/>
          <w:highlight w:val="none"/>
        </w:rPr>
      </w:pPr>
      <w:bookmarkStart w:id="118" w:name="_Toc178405973"/>
      <w:r>
        <w:rPr>
          <w:rFonts w:hint="eastAsia"/>
          <w:color w:val="auto"/>
          <w:highlight w:val="none"/>
        </w:rPr>
        <w:t>二、货物内容</w:t>
      </w:r>
      <w:bookmarkEnd w:id="118"/>
    </w:p>
    <w:p w14:paraId="64BBA98F">
      <w:pPr>
        <w:snapToGrid w:val="0"/>
        <w:spacing w:line="400" w:lineRule="exact"/>
        <w:ind w:firstLine="480" w:firstLineChars="200"/>
        <w:rPr>
          <w:rFonts w:hint="eastAsia" w:ascii="楷体" w:hAnsi="楷体" w:eastAsia="楷体"/>
          <w:color w:val="auto"/>
          <w:sz w:val="24"/>
          <w:szCs w:val="24"/>
          <w:highlight w:val="none"/>
        </w:rPr>
      </w:pPr>
      <w:bookmarkStart w:id="119" w:name="_Toc28967"/>
      <w:r>
        <w:rPr>
          <w:rFonts w:hint="eastAsia" w:ascii="楷体" w:hAnsi="楷体" w:eastAsia="楷体"/>
          <w:color w:val="auto"/>
          <w:sz w:val="24"/>
          <w:szCs w:val="24"/>
          <w:highlight w:val="none"/>
        </w:rPr>
        <w:t>合同包括以下内容：货物名称、型号规格、技术参数、数量（单位）等内容。</w:t>
      </w:r>
      <w:bookmarkEnd w:id="119"/>
    </w:p>
    <w:p w14:paraId="7C65F820">
      <w:pPr>
        <w:pStyle w:val="3"/>
        <w:ind w:firstLine="482"/>
        <w:rPr>
          <w:rFonts w:hint="eastAsia"/>
          <w:color w:val="auto"/>
          <w:highlight w:val="none"/>
        </w:rPr>
      </w:pPr>
      <w:bookmarkStart w:id="120" w:name="_Toc178405974"/>
      <w:r>
        <w:rPr>
          <w:rFonts w:hint="eastAsia"/>
          <w:color w:val="auto"/>
          <w:highlight w:val="none"/>
        </w:rPr>
        <w:t>三、合同价格</w:t>
      </w:r>
      <w:bookmarkEnd w:id="120"/>
    </w:p>
    <w:p w14:paraId="378E1D83">
      <w:pPr>
        <w:snapToGrid w:val="0"/>
        <w:spacing w:line="400" w:lineRule="exact"/>
        <w:ind w:firstLine="480" w:firstLineChars="200"/>
        <w:rPr>
          <w:rFonts w:hint="eastAsia" w:ascii="楷体" w:hAnsi="楷体" w:eastAsia="楷体"/>
          <w:color w:val="auto"/>
          <w:sz w:val="24"/>
          <w:szCs w:val="24"/>
          <w:highlight w:val="none"/>
        </w:rPr>
      </w:pPr>
      <w:bookmarkStart w:id="121" w:name="_Toc25177"/>
      <w:r>
        <w:rPr>
          <w:rFonts w:hint="eastAsia" w:ascii="楷体" w:hAnsi="楷体" w:eastAsia="楷体"/>
          <w:color w:val="auto"/>
          <w:sz w:val="24"/>
          <w:szCs w:val="24"/>
          <w:highlight w:val="none"/>
        </w:rPr>
        <w:t>（一）合同价格即合同总价。</w:t>
      </w:r>
      <w:bookmarkEnd w:id="121"/>
    </w:p>
    <w:p w14:paraId="4C33B1CD">
      <w:pPr>
        <w:snapToGrid w:val="0"/>
        <w:spacing w:line="400" w:lineRule="exact"/>
        <w:ind w:firstLine="480" w:firstLineChars="200"/>
        <w:rPr>
          <w:rFonts w:hint="eastAsia" w:ascii="楷体" w:hAnsi="楷体" w:eastAsia="楷体"/>
          <w:color w:val="auto"/>
          <w:sz w:val="24"/>
          <w:szCs w:val="24"/>
          <w:highlight w:val="none"/>
        </w:rPr>
      </w:pPr>
      <w:bookmarkStart w:id="122"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22"/>
    </w:p>
    <w:p w14:paraId="258141F8">
      <w:pPr>
        <w:snapToGrid w:val="0"/>
        <w:spacing w:line="400" w:lineRule="exact"/>
        <w:ind w:firstLine="480" w:firstLineChars="200"/>
        <w:rPr>
          <w:rFonts w:hint="eastAsia" w:ascii="楷体" w:hAnsi="楷体" w:eastAsia="楷体"/>
          <w:color w:val="auto"/>
          <w:sz w:val="24"/>
          <w:szCs w:val="24"/>
          <w:highlight w:val="none"/>
        </w:rPr>
      </w:pPr>
      <w:bookmarkStart w:id="123" w:name="_Toc19296"/>
      <w:r>
        <w:rPr>
          <w:rFonts w:hint="eastAsia" w:ascii="楷体" w:hAnsi="楷体" w:eastAsia="楷体"/>
          <w:color w:val="auto"/>
          <w:sz w:val="24"/>
          <w:szCs w:val="24"/>
          <w:highlight w:val="none"/>
        </w:rPr>
        <w:t>（三）合同货物单价为不变价。</w:t>
      </w:r>
      <w:bookmarkEnd w:id="123"/>
    </w:p>
    <w:p w14:paraId="49B91533">
      <w:pPr>
        <w:pStyle w:val="3"/>
        <w:ind w:firstLine="482"/>
        <w:rPr>
          <w:rFonts w:hint="eastAsia"/>
          <w:color w:val="auto"/>
          <w:highlight w:val="none"/>
        </w:rPr>
      </w:pPr>
      <w:bookmarkStart w:id="124" w:name="_Toc178405975"/>
      <w:r>
        <w:rPr>
          <w:rFonts w:hint="eastAsia"/>
          <w:color w:val="auto"/>
          <w:highlight w:val="none"/>
        </w:rPr>
        <w:t>四、转包或分包</w:t>
      </w:r>
      <w:bookmarkEnd w:id="124"/>
    </w:p>
    <w:p w14:paraId="5DE3AD7E">
      <w:pPr>
        <w:snapToGrid w:val="0"/>
        <w:spacing w:line="400" w:lineRule="exact"/>
        <w:ind w:firstLine="480" w:firstLineChars="200"/>
        <w:rPr>
          <w:rFonts w:hint="eastAsia" w:ascii="楷体" w:hAnsi="楷体" w:eastAsia="楷体"/>
          <w:color w:val="auto"/>
          <w:sz w:val="24"/>
          <w:szCs w:val="24"/>
          <w:highlight w:val="none"/>
        </w:rPr>
      </w:pPr>
      <w:bookmarkStart w:id="125" w:name="_Toc8161"/>
      <w:r>
        <w:rPr>
          <w:rFonts w:hint="eastAsia" w:ascii="楷体" w:hAnsi="楷体" w:eastAsia="楷体"/>
          <w:color w:val="auto"/>
          <w:sz w:val="24"/>
          <w:szCs w:val="24"/>
          <w:highlight w:val="none"/>
        </w:rPr>
        <w:t>（一）本合同范围的货物，应由乙方直接供应，不得转让他人供应；</w:t>
      </w:r>
      <w:bookmarkEnd w:id="125"/>
    </w:p>
    <w:p w14:paraId="17426702">
      <w:pPr>
        <w:snapToGrid w:val="0"/>
        <w:spacing w:line="400" w:lineRule="exact"/>
        <w:ind w:firstLine="480" w:firstLineChars="200"/>
        <w:rPr>
          <w:rFonts w:hint="eastAsia" w:ascii="楷体" w:hAnsi="楷体" w:eastAsia="楷体"/>
          <w:color w:val="auto"/>
          <w:sz w:val="24"/>
          <w:szCs w:val="24"/>
          <w:highlight w:val="none"/>
        </w:rPr>
      </w:pPr>
      <w:bookmarkStart w:id="126"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26"/>
    </w:p>
    <w:p w14:paraId="43B41485">
      <w:pPr>
        <w:snapToGrid w:val="0"/>
        <w:spacing w:line="400" w:lineRule="exact"/>
        <w:ind w:firstLine="480" w:firstLineChars="200"/>
        <w:rPr>
          <w:rFonts w:hint="eastAsia" w:ascii="楷体" w:hAnsi="楷体" w:eastAsia="楷体"/>
          <w:color w:val="auto"/>
          <w:sz w:val="24"/>
          <w:szCs w:val="24"/>
          <w:highlight w:val="none"/>
        </w:rPr>
      </w:pPr>
      <w:bookmarkStart w:id="127"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27"/>
    </w:p>
    <w:p w14:paraId="369439EB">
      <w:pPr>
        <w:pStyle w:val="3"/>
        <w:ind w:firstLine="482"/>
        <w:rPr>
          <w:rFonts w:hint="eastAsia"/>
          <w:color w:val="auto"/>
          <w:highlight w:val="none"/>
        </w:rPr>
      </w:pPr>
      <w:bookmarkStart w:id="128" w:name="_Toc178405976"/>
      <w:r>
        <w:rPr>
          <w:rFonts w:hint="eastAsia"/>
          <w:color w:val="auto"/>
          <w:highlight w:val="none"/>
        </w:rPr>
        <w:t>五、质量保证及售后服务</w:t>
      </w:r>
      <w:bookmarkEnd w:id="128"/>
    </w:p>
    <w:p w14:paraId="2C662547">
      <w:pPr>
        <w:snapToGrid w:val="0"/>
        <w:spacing w:line="400" w:lineRule="exact"/>
        <w:ind w:firstLine="480" w:firstLineChars="200"/>
        <w:rPr>
          <w:rFonts w:hint="eastAsia" w:ascii="楷体" w:hAnsi="楷体" w:eastAsia="楷体"/>
          <w:color w:val="auto"/>
          <w:sz w:val="24"/>
          <w:szCs w:val="24"/>
          <w:highlight w:val="none"/>
        </w:rPr>
      </w:pPr>
      <w:bookmarkStart w:id="129"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29"/>
    </w:p>
    <w:p w14:paraId="723FF170">
      <w:pPr>
        <w:snapToGrid w:val="0"/>
        <w:spacing w:line="400" w:lineRule="exact"/>
        <w:ind w:firstLine="480" w:firstLineChars="200"/>
        <w:rPr>
          <w:rFonts w:hint="eastAsia" w:ascii="楷体" w:hAnsi="楷体" w:eastAsia="楷体"/>
          <w:color w:val="auto"/>
          <w:sz w:val="24"/>
          <w:szCs w:val="24"/>
          <w:highlight w:val="none"/>
        </w:rPr>
      </w:pPr>
      <w:bookmarkStart w:id="130"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30"/>
    </w:p>
    <w:p w14:paraId="39EA8492">
      <w:pPr>
        <w:snapToGrid w:val="0"/>
        <w:spacing w:line="400" w:lineRule="exact"/>
        <w:ind w:firstLine="480" w:firstLineChars="200"/>
        <w:rPr>
          <w:rFonts w:hint="eastAsia" w:ascii="楷体" w:hAnsi="楷体" w:eastAsia="楷体"/>
          <w:color w:val="auto"/>
          <w:sz w:val="24"/>
          <w:szCs w:val="24"/>
          <w:highlight w:val="none"/>
        </w:rPr>
      </w:pPr>
      <w:bookmarkStart w:id="131" w:name="_Toc7117"/>
      <w:r>
        <w:rPr>
          <w:rFonts w:hint="eastAsia" w:ascii="楷体" w:hAnsi="楷体" w:eastAsia="楷体"/>
          <w:color w:val="auto"/>
          <w:sz w:val="24"/>
          <w:szCs w:val="24"/>
          <w:highlight w:val="none"/>
        </w:rPr>
        <w:t>1、更换：由乙方承担所发生的全部费用。</w:t>
      </w:r>
      <w:bookmarkEnd w:id="131"/>
    </w:p>
    <w:p w14:paraId="2ADDA70C">
      <w:pPr>
        <w:snapToGrid w:val="0"/>
        <w:spacing w:line="400" w:lineRule="exact"/>
        <w:ind w:firstLine="480" w:firstLineChars="200"/>
        <w:rPr>
          <w:rFonts w:hint="eastAsia" w:ascii="楷体" w:hAnsi="楷体" w:eastAsia="楷体"/>
          <w:color w:val="auto"/>
          <w:sz w:val="24"/>
          <w:szCs w:val="24"/>
          <w:highlight w:val="none"/>
        </w:rPr>
      </w:pPr>
      <w:bookmarkStart w:id="132" w:name="_Toc10071"/>
      <w:r>
        <w:rPr>
          <w:rFonts w:hint="eastAsia" w:ascii="楷体" w:hAnsi="楷体" w:eastAsia="楷体"/>
          <w:color w:val="auto"/>
          <w:sz w:val="24"/>
          <w:szCs w:val="24"/>
          <w:highlight w:val="none"/>
        </w:rPr>
        <w:t>2、贬值处理：由甲乙双方合议定价。</w:t>
      </w:r>
      <w:bookmarkEnd w:id="132"/>
    </w:p>
    <w:p w14:paraId="2C13FDE5">
      <w:pPr>
        <w:snapToGrid w:val="0"/>
        <w:spacing w:line="400" w:lineRule="exact"/>
        <w:ind w:firstLine="480" w:firstLineChars="200"/>
        <w:rPr>
          <w:rFonts w:hint="eastAsia" w:ascii="楷体" w:hAnsi="楷体" w:eastAsia="楷体"/>
          <w:color w:val="auto"/>
          <w:sz w:val="24"/>
          <w:szCs w:val="24"/>
          <w:highlight w:val="none"/>
        </w:rPr>
      </w:pPr>
      <w:bookmarkStart w:id="133"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33"/>
    </w:p>
    <w:p w14:paraId="0404D083">
      <w:pPr>
        <w:snapToGrid w:val="0"/>
        <w:spacing w:line="400" w:lineRule="exact"/>
        <w:ind w:firstLine="480" w:firstLineChars="200"/>
        <w:rPr>
          <w:rFonts w:hint="eastAsia" w:ascii="楷体" w:hAnsi="楷体" w:eastAsia="楷体"/>
          <w:color w:val="auto"/>
          <w:sz w:val="24"/>
          <w:szCs w:val="24"/>
          <w:highlight w:val="none"/>
        </w:rPr>
      </w:pPr>
      <w:bookmarkStart w:id="134"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34"/>
    </w:p>
    <w:p w14:paraId="7D1E09B1">
      <w:pPr>
        <w:snapToGrid w:val="0"/>
        <w:spacing w:line="400" w:lineRule="exact"/>
        <w:ind w:firstLine="480" w:firstLineChars="200"/>
        <w:rPr>
          <w:rFonts w:hint="eastAsia" w:ascii="楷体" w:hAnsi="楷体" w:eastAsia="楷体"/>
          <w:color w:val="auto"/>
          <w:sz w:val="24"/>
          <w:szCs w:val="24"/>
          <w:highlight w:val="none"/>
        </w:rPr>
      </w:pPr>
      <w:bookmarkStart w:id="135"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35"/>
    </w:p>
    <w:p w14:paraId="653999FC">
      <w:pPr>
        <w:pStyle w:val="3"/>
        <w:ind w:firstLine="482"/>
        <w:rPr>
          <w:rFonts w:hint="eastAsia"/>
          <w:color w:val="auto"/>
          <w:highlight w:val="none"/>
        </w:rPr>
      </w:pPr>
      <w:bookmarkStart w:id="136" w:name="_Toc178405977"/>
      <w:r>
        <w:rPr>
          <w:rFonts w:hint="eastAsia"/>
          <w:color w:val="auto"/>
          <w:highlight w:val="none"/>
        </w:rPr>
        <w:t>六、付款</w:t>
      </w:r>
      <w:bookmarkEnd w:id="136"/>
    </w:p>
    <w:p w14:paraId="7BAE3439">
      <w:pPr>
        <w:snapToGrid w:val="0"/>
        <w:spacing w:line="400" w:lineRule="exact"/>
        <w:ind w:firstLine="480" w:firstLineChars="200"/>
        <w:rPr>
          <w:rFonts w:hint="eastAsia" w:ascii="楷体" w:hAnsi="楷体" w:eastAsia="楷体"/>
          <w:color w:val="auto"/>
          <w:sz w:val="24"/>
          <w:szCs w:val="24"/>
          <w:highlight w:val="none"/>
        </w:rPr>
      </w:pPr>
      <w:bookmarkStart w:id="137" w:name="_Toc23183"/>
      <w:r>
        <w:rPr>
          <w:rFonts w:hint="eastAsia" w:ascii="楷体" w:hAnsi="楷体" w:eastAsia="楷体"/>
          <w:color w:val="auto"/>
          <w:sz w:val="24"/>
          <w:szCs w:val="24"/>
          <w:highlight w:val="none"/>
        </w:rPr>
        <w:t>（一）本合同使用货币币制如未作特别说明均为人民币。</w:t>
      </w:r>
      <w:bookmarkEnd w:id="137"/>
    </w:p>
    <w:p w14:paraId="41564CB4">
      <w:pPr>
        <w:snapToGrid w:val="0"/>
        <w:spacing w:line="400" w:lineRule="exact"/>
        <w:ind w:firstLine="480" w:firstLineChars="200"/>
        <w:rPr>
          <w:rFonts w:hint="eastAsia" w:ascii="楷体" w:hAnsi="楷体" w:eastAsia="楷体"/>
          <w:color w:val="auto"/>
          <w:sz w:val="24"/>
          <w:szCs w:val="24"/>
          <w:highlight w:val="none"/>
        </w:rPr>
      </w:pPr>
      <w:bookmarkStart w:id="138" w:name="_Toc8880"/>
      <w:r>
        <w:rPr>
          <w:rFonts w:hint="eastAsia" w:ascii="楷体" w:hAnsi="楷体" w:eastAsia="楷体"/>
          <w:color w:val="auto"/>
          <w:sz w:val="24"/>
          <w:szCs w:val="24"/>
          <w:highlight w:val="none"/>
        </w:rPr>
        <w:t>（二）付款方式：银行转账。</w:t>
      </w:r>
      <w:bookmarkEnd w:id="138"/>
    </w:p>
    <w:p w14:paraId="2F56994C">
      <w:pPr>
        <w:snapToGrid w:val="0"/>
        <w:spacing w:line="400" w:lineRule="exact"/>
        <w:ind w:firstLine="480" w:firstLineChars="200"/>
        <w:rPr>
          <w:rFonts w:hint="eastAsia" w:ascii="楷体" w:hAnsi="楷体" w:eastAsia="楷体"/>
          <w:color w:val="auto"/>
          <w:sz w:val="24"/>
          <w:szCs w:val="24"/>
          <w:highlight w:val="none"/>
        </w:rPr>
      </w:pPr>
      <w:bookmarkStart w:id="139" w:name="_Toc28037"/>
      <w:r>
        <w:rPr>
          <w:rFonts w:hint="eastAsia" w:ascii="楷体" w:hAnsi="楷体" w:eastAsia="楷体"/>
          <w:color w:val="auto"/>
          <w:sz w:val="24"/>
          <w:szCs w:val="24"/>
          <w:highlight w:val="none"/>
        </w:rPr>
        <w:t>（三）付款方法：同本项目“第三篇 项目商务要求”中关于付款方式的约定。</w:t>
      </w:r>
      <w:bookmarkEnd w:id="139"/>
    </w:p>
    <w:p w14:paraId="6F7EFA6E">
      <w:pPr>
        <w:pStyle w:val="3"/>
        <w:ind w:firstLine="482"/>
        <w:rPr>
          <w:rFonts w:hint="eastAsia"/>
          <w:color w:val="auto"/>
          <w:highlight w:val="none"/>
        </w:rPr>
      </w:pPr>
      <w:bookmarkStart w:id="140" w:name="_Toc178405978"/>
      <w:bookmarkStart w:id="141" w:name="_Toc54718208"/>
      <w:r>
        <w:rPr>
          <w:rFonts w:hint="eastAsia"/>
          <w:color w:val="auto"/>
          <w:highlight w:val="none"/>
        </w:rPr>
        <w:t>七、检查验收</w:t>
      </w:r>
      <w:bookmarkEnd w:id="140"/>
      <w:bookmarkEnd w:id="141"/>
    </w:p>
    <w:p w14:paraId="636F98A2">
      <w:pPr>
        <w:snapToGrid w:val="0"/>
        <w:spacing w:line="400" w:lineRule="exact"/>
        <w:ind w:firstLine="480" w:firstLineChars="200"/>
        <w:rPr>
          <w:rFonts w:hint="eastAsia" w:ascii="楷体" w:hAnsi="楷体" w:eastAsia="楷体"/>
          <w:color w:val="auto"/>
          <w:sz w:val="24"/>
          <w:szCs w:val="24"/>
          <w:highlight w:val="none"/>
        </w:rPr>
      </w:pPr>
      <w:bookmarkStart w:id="142"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42"/>
    </w:p>
    <w:p w14:paraId="608E923F">
      <w:pPr>
        <w:snapToGrid w:val="0"/>
        <w:spacing w:line="400" w:lineRule="exact"/>
        <w:ind w:firstLine="480" w:firstLineChars="200"/>
        <w:rPr>
          <w:rFonts w:hint="eastAsia" w:ascii="楷体" w:hAnsi="楷体" w:eastAsia="楷体"/>
          <w:color w:val="auto"/>
          <w:sz w:val="24"/>
          <w:szCs w:val="24"/>
          <w:highlight w:val="none"/>
        </w:rPr>
      </w:pPr>
      <w:bookmarkStart w:id="143" w:name="_Toc16103"/>
      <w:r>
        <w:rPr>
          <w:rFonts w:hint="eastAsia" w:ascii="楷体" w:hAnsi="楷体" w:eastAsia="楷体"/>
          <w:color w:val="auto"/>
          <w:sz w:val="24"/>
          <w:szCs w:val="24"/>
          <w:highlight w:val="none"/>
        </w:rPr>
        <w:t>（二）货物验收</w:t>
      </w:r>
      <w:bookmarkEnd w:id="143"/>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44" w:name="_Toc32038"/>
      <w:r>
        <w:rPr>
          <w:rFonts w:hint="eastAsia" w:ascii="楷体" w:hAnsi="楷体" w:eastAsia="楷体"/>
          <w:color w:val="auto"/>
          <w:sz w:val="24"/>
          <w:szCs w:val="24"/>
          <w:highlight w:val="none"/>
        </w:rPr>
        <w:t>（三）货物验收报告应由需方、供方经办人签字，以此作为支付凭据。</w:t>
      </w:r>
      <w:bookmarkEnd w:id="144"/>
    </w:p>
    <w:p w14:paraId="6353571D">
      <w:pPr>
        <w:pStyle w:val="3"/>
        <w:ind w:firstLine="482"/>
        <w:rPr>
          <w:rFonts w:hint="eastAsia"/>
          <w:color w:val="auto"/>
          <w:highlight w:val="none"/>
        </w:rPr>
      </w:pPr>
      <w:bookmarkStart w:id="145" w:name="_Toc54718209"/>
      <w:bookmarkStart w:id="146" w:name="_Toc178405979"/>
      <w:r>
        <w:rPr>
          <w:rFonts w:hint="eastAsia"/>
          <w:color w:val="auto"/>
          <w:highlight w:val="none"/>
        </w:rPr>
        <w:t>八、索赔</w:t>
      </w:r>
      <w:bookmarkEnd w:id="145"/>
      <w:bookmarkEnd w:id="146"/>
    </w:p>
    <w:p w14:paraId="087201E0">
      <w:pPr>
        <w:snapToGrid w:val="0"/>
        <w:spacing w:line="400" w:lineRule="exact"/>
        <w:ind w:firstLine="480" w:firstLineChars="200"/>
        <w:rPr>
          <w:rFonts w:hint="eastAsia" w:ascii="楷体" w:hAnsi="楷体" w:eastAsia="楷体"/>
          <w:color w:val="auto"/>
          <w:sz w:val="24"/>
          <w:szCs w:val="24"/>
          <w:highlight w:val="none"/>
        </w:rPr>
      </w:pPr>
      <w:bookmarkStart w:id="147"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47"/>
    </w:p>
    <w:p w14:paraId="09727CD3">
      <w:pPr>
        <w:snapToGrid w:val="0"/>
        <w:spacing w:line="400" w:lineRule="exact"/>
        <w:ind w:firstLine="480" w:firstLineChars="200"/>
        <w:rPr>
          <w:rFonts w:hint="eastAsia" w:ascii="楷体" w:hAnsi="楷体" w:eastAsia="楷体"/>
          <w:color w:val="auto"/>
          <w:sz w:val="24"/>
          <w:szCs w:val="24"/>
          <w:highlight w:val="none"/>
        </w:rPr>
      </w:pPr>
      <w:bookmarkStart w:id="148"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48"/>
    </w:p>
    <w:p w14:paraId="2746D910">
      <w:pPr>
        <w:snapToGrid w:val="0"/>
        <w:spacing w:line="400" w:lineRule="exact"/>
        <w:ind w:firstLine="480" w:firstLineChars="200"/>
        <w:rPr>
          <w:rFonts w:hint="eastAsia" w:ascii="楷体" w:hAnsi="楷体" w:eastAsia="楷体"/>
          <w:color w:val="auto"/>
          <w:sz w:val="24"/>
          <w:szCs w:val="24"/>
          <w:highlight w:val="none"/>
        </w:rPr>
      </w:pPr>
      <w:bookmarkStart w:id="149"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49"/>
    </w:p>
    <w:p w14:paraId="1AD26080">
      <w:pPr>
        <w:pStyle w:val="3"/>
        <w:ind w:firstLine="482"/>
        <w:rPr>
          <w:rFonts w:hint="eastAsia"/>
          <w:color w:val="auto"/>
          <w:highlight w:val="none"/>
        </w:rPr>
      </w:pPr>
      <w:bookmarkStart w:id="150" w:name="_Toc178405980"/>
      <w:bookmarkStart w:id="151" w:name="_Toc54718210"/>
      <w:r>
        <w:rPr>
          <w:rFonts w:hint="eastAsia"/>
          <w:color w:val="auto"/>
          <w:highlight w:val="none"/>
        </w:rPr>
        <w:t>九、知识产权</w:t>
      </w:r>
      <w:bookmarkEnd w:id="150"/>
      <w:bookmarkEnd w:id="151"/>
    </w:p>
    <w:p w14:paraId="363D0C3E">
      <w:pPr>
        <w:snapToGrid w:val="0"/>
        <w:spacing w:line="400" w:lineRule="exact"/>
        <w:ind w:firstLine="480" w:firstLineChars="200"/>
        <w:rPr>
          <w:rFonts w:hint="eastAsia" w:ascii="楷体" w:hAnsi="楷体" w:eastAsia="楷体"/>
          <w:color w:val="auto"/>
          <w:sz w:val="24"/>
          <w:szCs w:val="24"/>
          <w:highlight w:val="none"/>
        </w:rPr>
      </w:pPr>
      <w:bookmarkStart w:id="152"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52"/>
    </w:p>
    <w:p w14:paraId="57C78357">
      <w:pPr>
        <w:snapToGrid w:val="0"/>
        <w:spacing w:line="400" w:lineRule="exact"/>
        <w:ind w:firstLine="480" w:firstLineChars="200"/>
        <w:rPr>
          <w:rFonts w:hint="eastAsia" w:ascii="楷体" w:hAnsi="楷体" w:eastAsia="楷体"/>
          <w:color w:val="auto"/>
          <w:sz w:val="24"/>
          <w:szCs w:val="24"/>
          <w:highlight w:val="none"/>
        </w:rPr>
      </w:pPr>
      <w:bookmarkStart w:id="153" w:name="_Toc17287"/>
      <w:r>
        <w:rPr>
          <w:rFonts w:hint="eastAsia" w:ascii="楷体" w:hAnsi="楷体" w:eastAsia="楷体"/>
          <w:color w:val="auto"/>
          <w:sz w:val="24"/>
          <w:szCs w:val="24"/>
          <w:highlight w:val="none"/>
        </w:rPr>
        <w:t>（二）若涉及软件开发等服务类项目知识产权的，知识产权归医院所有。</w:t>
      </w:r>
      <w:bookmarkEnd w:id="153"/>
    </w:p>
    <w:p w14:paraId="2BA787EF">
      <w:pPr>
        <w:pStyle w:val="3"/>
        <w:ind w:firstLine="482"/>
        <w:rPr>
          <w:rFonts w:hint="eastAsia"/>
          <w:color w:val="auto"/>
          <w:highlight w:val="none"/>
        </w:rPr>
      </w:pPr>
      <w:bookmarkStart w:id="154" w:name="_Toc54718211"/>
      <w:bookmarkStart w:id="155" w:name="_Toc178405981"/>
      <w:r>
        <w:rPr>
          <w:rFonts w:hint="eastAsia"/>
          <w:color w:val="auto"/>
          <w:highlight w:val="none"/>
        </w:rPr>
        <w:t>十、合同争议的解决</w:t>
      </w:r>
      <w:bookmarkEnd w:id="154"/>
      <w:bookmarkEnd w:id="155"/>
    </w:p>
    <w:p w14:paraId="720566EA">
      <w:pPr>
        <w:snapToGrid w:val="0"/>
        <w:spacing w:line="400" w:lineRule="exact"/>
        <w:ind w:firstLine="480" w:firstLineChars="200"/>
        <w:rPr>
          <w:rFonts w:hint="eastAsia" w:ascii="楷体" w:hAnsi="楷体" w:eastAsia="楷体"/>
          <w:color w:val="auto"/>
          <w:sz w:val="24"/>
          <w:szCs w:val="24"/>
          <w:highlight w:val="none"/>
        </w:rPr>
      </w:pPr>
      <w:bookmarkStart w:id="156" w:name="_Toc5382"/>
      <w:r>
        <w:rPr>
          <w:rFonts w:hint="eastAsia" w:ascii="楷体" w:hAnsi="楷体" w:eastAsia="楷体"/>
          <w:color w:val="auto"/>
          <w:sz w:val="24"/>
          <w:szCs w:val="24"/>
          <w:highlight w:val="none"/>
        </w:rPr>
        <w:t>（一）当事人友好协商达成一致</w:t>
      </w:r>
      <w:bookmarkEnd w:id="156"/>
    </w:p>
    <w:p w14:paraId="1D4890A7">
      <w:pPr>
        <w:snapToGrid w:val="0"/>
        <w:spacing w:line="400" w:lineRule="exact"/>
        <w:ind w:firstLine="480" w:firstLineChars="200"/>
        <w:rPr>
          <w:rFonts w:hint="eastAsia" w:ascii="楷体" w:hAnsi="楷体" w:eastAsia="楷体"/>
          <w:color w:val="auto"/>
          <w:sz w:val="24"/>
          <w:szCs w:val="24"/>
          <w:highlight w:val="none"/>
        </w:rPr>
      </w:pPr>
      <w:bookmarkStart w:id="157" w:name="_Toc29926"/>
      <w:r>
        <w:rPr>
          <w:rFonts w:hint="eastAsia" w:ascii="楷体" w:hAnsi="楷体" w:eastAsia="楷体"/>
          <w:color w:val="auto"/>
          <w:sz w:val="24"/>
          <w:szCs w:val="24"/>
          <w:highlight w:val="none"/>
        </w:rPr>
        <w:t>（二）在60天内当事人协商不能达成协议的，可提请医院当地仲裁机构仲裁。</w:t>
      </w:r>
      <w:bookmarkEnd w:id="157"/>
    </w:p>
    <w:p w14:paraId="4E8C4874">
      <w:pPr>
        <w:pStyle w:val="3"/>
        <w:ind w:firstLine="482"/>
        <w:rPr>
          <w:rFonts w:hint="eastAsia"/>
          <w:color w:val="auto"/>
          <w:highlight w:val="none"/>
        </w:rPr>
      </w:pPr>
      <w:bookmarkStart w:id="158" w:name="_Toc54718212"/>
      <w:bookmarkStart w:id="159" w:name="_Toc178405982"/>
      <w:r>
        <w:rPr>
          <w:rFonts w:hint="eastAsia"/>
          <w:color w:val="auto"/>
          <w:highlight w:val="none"/>
        </w:rPr>
        <w:t>十一、违约责任</w:t>
      </w:r>
      <w:bookmarkEnd w:id="158"/>
      <w:bookmarkEnd w:id="159"/>
    </w:p>
    <w:p w14:paraId="62741012">
      <w:pPr>
        <w:snapToGrid w:val="0"/>
        <w:spacing w:line="400" w:lineRule="exact"/>
        <w:ind w:firstLine="480" w:firstLineChars="200"/>
        <w:rPr>
          <w:rFonts w:hint="eastAsia" w:ascii="楷体" w:hAnsi="楷体" w:eastAsia="楷体"/>
          <w:color w:val="auto"/>
          <w:sz w:val="24"/>
          <w:szCs w:val="24"/>
          <w:highlight w:val="none"/>
        </w:rPr>
      </w:pPr>
      <w:bookmarkStart w:id="160" w:name="_Toc54718213"/>
      <w:r>
        <w:rPr>
          <w:rFonts w:hint="eastAsia" w:ascii="楷体" w:hAnsi="楷体" w:eastAsia="楷体"/>
          <w:color w:val="auto"/>
          <w:sz w:val="24"/>
          <w:szCs w:val="24"/>
          <w:highlight w:val="none"/>
        </w:rPr>
        <w:t>按《中华人民共和国民法典》有关条款，或由供需双方约定。</w:t>
      </w:r>
    </w:p>
    <w:p w14:paraId="4E98482F">
      <w:pPr>
        <w:pStyle w:val="3"/>
        <w:ind w:firstLine="482"/>
        <w:rPr>
          <w:rFonts w:hint="eastAsia"/>
          <w:color w:val="auto"/>
          <w:highlight w:val="none"/>
        </w:rPr>
      </w:pPr>
      <w:bookmarkStart w:id="161" w:name="_Toc178405983"/>
      <w:r>
        <w:rPr>
          <w:rFonts w:hint="eastAsia"/>
          <w:color w:val="auto"/>
          <w:highlight w:val="none"/>
        </w:rPr>
        <w:t>十二、合同生效及其它</w:t>
      </w:r>
      <w:bookmarkEnd w:id="160"/>
      <w:bookmarkEnd w:id="161"/>
    </w:p>
    <w:p w14:paraId="341B152A">
      <w:pPr>
        <w:snapToGrid w:val="0"/>
        <w:spacing w:line="400" w:lineRule="exact"/>
        <w:ind w:firstLine="480" w:firstLineChars="200"/>
        <w:rPr>
          <w:rFonts w:hint="eastAsia" w:ascii="楷体" w:hAnsi="楷体" w:eastAsia="楷体"/>
          <w:color w:val="auto"/>
          <w:sz w:val="24"/>
          <w:szCs w:val="24"/>
          <w:highlight w:val="none"/>
        </w:rPr>
      </w:pPr>
      <w:bookmarkStart w:id="162" w:name="_Toc7071"/>
      <w:r>
        <w:rPr>
          <w:rFonts w:hint="eastAsia" w:ascii="楷体" w:hAnsi="楷体" w:eastAsia="楷体"/>
          <w:color w:val="auto"/>
          <w:sz w:val="24"/>
          <w:szCs w:val="24"/>
          <w:highlight w:val="none"/>
        </w:rPr>
        <w:t>（一）合同生效及其效力应符合《中华人民共和国民法典》有关规定。</w:t>
      </w:r>
      <w:bookmarkEnd w:id="162"/>
    </w:p>
    <w:p w14:paraId="0540CA13">
      <w:pPr>
        <w:snapToGrid w:val="0"/>
        <w:spacing w:line="400" w:lineRule="exact"/>
        <w:ind w:firstLine="480" w:firstLineChars="200"/>
        <w:rPr>
          <w:rFonts w:hint="eastAsia" w:ascii="楷体" w:hAnsi="楷体" w:eastAsia="楷体"/>
          <w:color w:val="auto"/>
          <w:sz w:val="24"/>
          <w:szCs w:val="24"/>
          <w:highlight w:val="none"/>
        </w:rPr>
      </w:pPr>
      <w:bookmarkStart w:id="163" w:name="_Toc26923"/>
      <w:r>
        <w:rPr>
          <w:rFonts w:hint="eastAsia" w:ascii="楷体" w:hAnsi="楷体" w:eastAsia="楷体"/>
          <w:color w:val="auto"/>
          <w:sz w:val="24"/>
          <w:szCs w:val="24"/>
          <w:highlight w:val="none"/>
        </w:rPr>
        <w:t>（二）合同应经当事人法定代表人或委托代理人签字，加盖双方合同专用章或公章。</w:t>
      </w:r>
      <w:bookmarkEnd w:id="163"/>
    </w:p>
    <w:p w14:paraId="742EB226">
      <w:pPr>
        <w:snapToGrid w:val="0"/>
        <w:spacing w:line="400" w:lineRule="exact"/>
        <w:ind w:firstLine="480" w:firstLineChars="200"/>
        <w:rPr>
          <w:rFonts w:hint="eastAsia" w:ascii="楷体" w:hAnsi="楷体" w:eastAsia="楷体"/>
          <w:color w:val="auto"/>
          <w:sz w:val="24"/>
          <w:szCs w:val="24"/>
          <w:highlight w:val="none"/>
        </w:rPr>
      </w:pPr>
      <w:bookmarkStart w:id="164" w:name="_Toc21580"/>
      <w:r>
        <w:rPr>
          <w:rFonts w:hint="eastAsia" w:ascii="楷体" w:hAnsi="楷体" w:eastAsia="楷体"/>
          <w:color w:val="auto"/>
          <w:sz w:val="24"/>
          <w:szCs w:val="24"/>
          <w:highlight w:val="none"/>
        </w:rPr>
        <w:t>（三）合同所包括附件，是合同不可分割的一部分，具有同等法法律效力。</w:t>
      </w:r>
      <w:bookmarkEnd w:id="164"/>
    </w:p>
    <w:p w14:paraId="46F10DAE">
      <w:pPr>
        <w:snapToGrid w:val="0"/>
        <w:spacing w:line="400" w:lineRule="exact"/>
        <w:ind w:firstLine="480" w:firstLineChars="200"/>
        <w:rPr>
          <w:rFonts w:hint="eastAsia" w:ascii="楷体" w:hAnsi="楷体" w:eastAsia="楷体"/>
          <w:color w:val="auto"/>
          <w:sz w:val="24"/>
          <w:szCs w:val="24"/>
          <w:highlight w:val="none"/>
        </w:rPr>
      </w:pPr>
      <w:bookmarkStart w:id="165" w:name="_Toc28233"/>
      <w:r>
        <w:rPr>
          <w:rFonts w:hint="eastAsia" w:ascii="楷体" w:hAnsi="楷体" w:eastAsia="楷体"/>
          <w:color w:val="auto"/>
          <w:sz w:val="24"/>
          <w:szCs w:val="24"/>
          <w:highlight w:val="none"/>
        </w:rPr>
        <w:t>（四）合同需提供担保的，按《中华人民共和国担保法》规定执行。</w:t>
      </w:r>
      <w:bookmarkEnd w:id="165"/>
    </w:p>
    <w:p w14:paraId="27CDC4C8">
      <w:pPr>
        <w:snapToGrid w:val="0"/>
        <w:spacing w:line="400" w:lineRule="exact"/>
        <w:ind w:firstLine="480" w:firstLineChars="200"/>
        <w:rPr>
          <w:rFonts w:hint="eastAsia" w:ascii="楷体" w:hAnsi="楷体" w:eastAsia="楷体"/>
          <w:color w:val="auto"/>
          <w:sz w:val="24"/>
          <w:szCs w:val="24"/>
          <w:highlight w:val="none"/>
        </w:rPr>
      </w:pPr>
      <w:bookmarkStart w:id="166" w:name="_Toc18983"/>
      <w:r>
        <w:rPr>
          <w:rFonts w:hint="eastAsia" w:ascii="楷体" w:hAnsi="楷体" w:eastAsia="楷体"/>
          <w:color w:val="auto"/>
          <w:sz w:val="24"/>
          <w:szCs w:val="24"/>
          <w:highlight w:val="none"/>
        </w:rPr>
        <w:t>（五）本合同条件未尽事宜依照《中华人民共和国民法典》，由供需双方共同协商确定。</w:t>
      </w:r>
      <w:bookmarkEnd w:id="166"/>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2"/>
        <w:rPr>
          <w:rFonts w:hint="eastAsia" w:ascii="楷体" w:hAnsi="楷体"/>
          <w:color w:val="auto"/>
          <w:szCs w:val="36"/>
          <w:highlight w:val="none"/>
        </w:rPr>
      </w:pPr>
      <w:bookmarkStart w:id="167" w:name="_Hlt41879464"/>
      <w:bookmarkEnd w:id="167"/>
      <w:bookmarkStart w:id="168" w:name="_Toc18852"/>
      <w:bookmarkStart w:id="169" w:name="_Toc12789072"/>
      <w:r>
        <w:rPr>
          <w:rFonts w:hint="eastAsia" w:ascii="楷体" w:hAnsi="楷体"/>
          <w:color w:val="auto"/>
          <w:szCs w:val="36"/>
          <w:highlight w:val="none"/>
        </w:rPr>
        <w:br w:type="page"/>
      </w:r>
      <w:bookmarkStart w:id="170" w:name="_Toc178405984"/>
      <w:r>
        <w:rPr>
          <w:rFonts w:hint="eastAsia" w:ascii="楷体" w:hAnsi="楷体"/>
          <w:color w:val="auto"/>
          <w:szCs w:val="36"/>
          <w:highlight w:val="none"/>
        </w:rPr>
        <w:t>第七篇  响应文件格式要求</w:t>
      </w:r>
      <w:bookmarkEnd w:id="168"/>
      <w:bookmarkEnd w:id="169"/>
      <w:bookmarkEnd w:id="170"/>
    </w:p>
    <w:p w14:paraId="64A738FE">
      <w:pPr>
        <w:pStyle w:val="3"/>
        <w:ind w:firstLine="482"/>
        <w:rPr>
          <w:rFonts w:hint="eastAsia"/>
          <w:color w:val="auto"/>
          <w:highlight w:val="none"/>
        </w:rPr>
      </w:pPr>
      <w:bookmarkStart w:id="171" w:name="_Toc178405985"/>
      <w:r>
        <w:rPr>
          <w:rFonts w:hint="eastAsia"/>
          <w:color w:val="auto"/>
          <w:highlight w:val="none"/>
        </w:rPr>
        <w:t>一、经济部分</w:t>
      </w:r>
      <w:bookmarkEnd w:id="171"/>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3"/>
        <w:ind w:firstLine="482"/>
        <w:rPr>
          <w:rFonts w:hint="eastAsia"/>
          <w:color w:val="auto"/>
          <w:highlight w:val="none"/>
        </w:rPr>
      </w:pPr>
      <w:bookmarkStart w:id="172" w:name="_Toc178405986"/>
      <w:r>
        <w:rPr>
          <w:rFonts w:hint="eastAsia"/>
          <w:color w:val="auto"/>
          <w:highlight w:val="none"/>
        </w:rPr>
        <w:t>二、技术（质量）部分</w:t>
      </w:r>
      <w:bookmarkEnd w:id="172"/>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3"/>
        <w:ind w:firstLine="482"/>
        <w:rPr>
          <w:rFonts w:hint="eastAsia"/>
          <w:color w:val="auto"/>
          <w:highlight w:val="none"/>
        </w:rPr>
      </w:pPr>
      <w:bookmarkStart w:id="173" w:name="_Toc178405987"/>
      <w:r>
        <w:rPr>
          <w:rFonts w:hint="eastAsia"/>
          <w:color w:val="auto"/>
          <w:highlight w:val="none"/>
        </w:rPr>
        <w:t>三、服务部分</w:t>
      </w:r>
      <w:bookmarkEnd w:id="173"/>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3"/>
        <w:ind w:firstLine="482"/>
        <w:rPr>
          <w:rFonts w:hint="eastAsia"/>
          <w:color w:val="auto"/>
          <w:highlight w:val="none"/>
        </w:rPr>
      </w:pPr>
      <w:bookmarkStart w:id="174" w:name="_Toc178405988"/>
      <w:r>
        <w:rPr>
          <w:rFonts w:hint="eastAsia"/>
          <w:color w:val="auto"/>
          <w:highlight w:val="none"/>
        </w:rPr>
        <w:t>四、资格条件及其他</w:t>
      </w:r>
      <w:bookmarkEnd w:id="174"/>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3"/>
        <w:ind w:firstLine="482"/>
        <w:rPr>
          <w:rFonts w:hint="eastAsia"/>
          <w:color w:val="auto"/>
          <w:highlight w:val="none"/>
        </w:rPr>
      </w:pPr>
      <w:bookmarkStart w:id="175" w:name="_Toc178405989"/>
      <w:r>
        <w:rPr>
          <w:rFonts w:hint="eastAsia"/>
          <w:color w:val="auto"/>
          <w:highlight w:val="none"/>
        </w:rPr>
        <w:t>五、其他应提供的资料</w:t>
      </w:r>
      <w:bookmarkEnd w:id="175"/>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26FD8894">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2"/>
        <w:rPr>
          <w:rFonts w:hint="eastAsia"/>
          <w:color w:val="auto"/>
          <w:highlight w:val="none"/>
        </w:rPr>
      </w:pPr>
      <w:bookmarkStart w:id="176" w:name="_Toc3025"/>
      <w:bookmarkStart w:id="177" w:name="_Toc283382454"/>
      <w:bookmarkStart w:id="178" w:name="_Toc313888360"/>
      <w:bookmarkStart w:id="179" w:name="_Toc178405990"/>
      <w:bookmarkStart w:id="180" w:name="_Toc313008356"/>
      <w:bookmarkStart w:id="181" w:name="_Toc12789073"/>
      <w:bookmarkStart w:id="182" w:name="_Toc342913419"/>
      <w:r>
        <w:rPr>
          <w:rFonts w:hint="eastAsia"/>
          <w:color w:val="auto"/>
          <w:highlight w:val="none"/>
        </w:rPr>
        <w:t>第八篇 附件</w:t>
      </w:r>
      <w:bookmarkEnd w:id="176"/>
      <w:bookmarkEnd w:id="177"/>
      <w:bookmarkEnd w:id="178"/>
      <w:bookmarkEnd w:id="179"/>
      <w:bookmarkEnd w:id="180"/>
      <w:bookmarkEnd w:id="181"/>
      <w:bookmarkEnd w:id="182"/>
      <w:bookmarkStart w:id="183"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w:t>
            </w:r>
            <w:r>
              <w:rPr>
                <w:rFonts w:hint="eastAsia" w:ascii="楷体" w:hAnsi="楷体" w:eastAsia="楷体"/>
                <w:color w:val="auto"/>
                <w:sz w:val="24"/>
                <w:szCs w:val="24"/>
                <w:highlight w:val="none"/>
                <w:lang w:val="en-US" w:eastAsia="zh-CN"/>
              </w:rPr>
              <w:t>/台</w:t>
            </w:r>
            <w:r>
              <w:rPr>
                <w:rFonts w:hint="eastAsia" w:ascii="楷体" w:hAnsi="楷体" w:eastAsia="楷体"/>
                <w:color w:val="auto"/>
                <w:sz w:val="24"/>
                <w:szCs w:val="24"/>
                <w:highlight w:val="none"/>
              </w:rPr>
              <w:t>；设备全保服务费用为***万元/年</w:t>
            </w:r>
            <w:r>
              <w:rPr>
                <w:rFonts w:hint="eastAsia" w:ascii="楷体" w:hAnsi="楷体" w:eastAsia="楷体"/>
                <w:color w:val="auto"/>
                <w:sz w:val="24"/>
                <w:szCs w:val="24"/>
                <w:highlight w:val="none"/>
                <w:lang w:val="en-US" w:eastAsia="zh-CN"/>
              </w:rPr>
              <w:t>/台</w:t>
            </w:r>
            <w:r>
              <w:rPr>
                <w:rFonts w:hint="eastAsia" w:ascii="楷体" w:hAnsi="楷体" w:eastAsia="楷体"/>
                <w:color w:val="auto"/>
                <w:sz w:val="24"/>
                <w:szCs w:val="24"/>
                <w:highlight w:val="none"/>
              </w:rPr>
              <w:t>。</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3"/>
        <w:ind w:firstLine="482"/>
        <w:rPr>
          <w:rFonts w:hint="eastAsia"/>
          <w:color w:val="auto"/>
          <w:highlight w:val="none"/>
        </w:rPr>
      </w:pPr>
      <w:r>
        <w:rPr>
          <w:color w:val="auto"/>
          <w:highlight w:val="none"/>
        </w:rPr>
        <w:br w:type="page"/>
      </w:r>
      <w:bookmarkStart w:id="184" w:name="_Toc178405991"/>
      <w:r>
        <w:rPr>
          <w:rFonts w:hint="eastAsia"/>
          <w:color w:val="auto"/>
          <w:highlight w:val="none"/>
        </w:rPr>
        <w:t>一、技术要求部分</w:t>
      </w:r>
      <w:bookmarkEnd w:id="183"/>
      <w:bookmarkEnd w:id="184"/>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3"/>
        <w:ind w:firstLine="482"/>
        <w:rPr>
          <w:rFonts w:hint="eastAsia" w:ascii="楷体" w:hAnsi="楷体"/>
          <w:color w:val="auto"/>
          <w:highlight w:val="none"/>
        </w:rPr>
      </w:pPr>
      <w:r>
        <w:rPr>
          <w:rFonts w:ascii="楷体" w:hAnsi="楷体"/>
          <w:color w:val="auto"/>
          <w:szCs w:val="24"/>
          <w:highlight w:val="none"/>
        </w:rPr>
        <w:br w:type="page"/>
      </w:r>
      <w:bookmarkStart w:id="185" w:name="_Toc178405992"/>
      <w:bookmarkStart w:id="186" w:name="_Toc35440429"/>
      <w:bookmarkStart w:id="187" w:name="_Toc69397518"/>
      <w:bookmarkStart w:id="188" w:name="_Toc530494756"/>
      <w:r>
        <w:rPr>
          <w:rFonts w:hint="eastAsia" w:ascii="楷体" w:hAnsi="楷体"/>
          <w:color w:val="auto"/>
          <w:szCs w:val="24"/>
          <w:highlight w:val="none"/>
        </w:rPr>
        <w:t>二</w:t>
      </w:r>
      <w:r>
        <w:rPr>
          <w:rFonts w:hint="eastAsia" w:ascii="楷体" w:hAnsi="楷体"/>
          <w:color w:val="auto"/>
          <w:highlight w:val="none"/>
        </w:rPr>
        <w:t>、商务部分</w:t>
      </w:r>
      <w:bookmarkEnd w:id="185"/>
      <w:bookmarkEnd w:id="186"/>
      <w:bookmarkEnd w:id="187"/>
      <w:bookmarkEnd w:id="188"/>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89"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3"/>
        <w:ind w:firstLine="482"/>
        <w:rPr>
          <w:rFonts w:hint="eastAsia"/>
          <w:color w:val="auto"/>
          <w:highlight w:val="none"/>
        </w:rPr>
      </w:pPr>
      <w:r>
        <w:rPr>
          <w:rFonts w:ascii="楷体" w:hAnsi="楷体"/>
          <w:color w:val="auto"/>
          <w:highlight w:val="none"/>
        </w:rPr>
        <w:br w:type="page"/>
      </w:r>
      <w:bookmarkEnd w:id="189"/>
      <w:bookmarkStart w:id="190" w:name="_Toc25929284"/>
      <w:bookmarkStart w:id="191" w:name="_Toc35440430"/>
      <w:bookmarkStart w:id="192" w:name="_Toc178405993"/>
      <w:bookmarkStart w:id="193" w:name="_Toc530494757"/>
      <w:bookmarkStart w:id="194" w:name="_Toc69397519"/>
      <w:r>
        <w:rPr>
          <w:rFonts w:hint="eastAsia"/>
          <w:color w:val="auto"/>
          <w:highlight w:val="none"/>
        </w:rPr>
        <w:t>三、资格条件及其他</w:t>
      </w:r>
      <w:bookmarkEnd w:id="190"/>
      <w:bookmarkEnd w:id="191"/>
      <w:bookmarkEnd w:id="192"/>
      <w:bookmarkEnd w:id="193"/>
      <w:bookmarkEnd w:id="194"/>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3"/>
        <w:ind w:firstLine="482"/>
        <w:rPr>
          <w:rFonts w:hint="eastAsia"/>
          <w:color w:val="auto"/>
          <w:highlight w:val="none"/>
        </w:rPr>
      </w:pPr>
      <w:r>
        <w:rPr>
          <w:color w:val="auto"/>
          <w:szCs w:val="24"/>
          <w:highlight w:val="none"/>
        </w:rPr>
        <w:br w:type="page"/>
      </w:r>
      <w:bookmarkStart w:id="195" w:name="_Toc65660383"/>
      <w:bookmarkStart w:id="196" w:name="_Toc2080"/>
      <w:bookmarkStart w:id="197" w:name="_Toc17010"/>
      <w:bookmarkStart w:id="198" w:name="_Toc15815"/>
      <w:bookmarkStart w:id="199" w:name="_Toc106034812"/>
      <w:bookmarkStart w:id="200" w:name="_Toc178405994"/>
      <w:r>
        <w:rPr>
          <w:rFonts w:hint="eastAsia"/>
          <w:color w:val="auto"/>
          <w:highlight w:val="none"/>
        </w:rPr>
        <w:t>四、其他资料</w:t>
      </w:r>
      <w:bookmarkEnd w:id="195"/>
      <w:bookmarkEnd w:id="196"/>
      <w:bookmarkEnd w:id="197"/>
      <w:bookmarkEnd w:id="198"/>
      <w:bookmarkEnd w:id="199"/>
      <w:bookmarkEnd w:id="200"/>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7570DE4"/>
    <w:multiLevelType w:val="multilevel"/>
    <w:tmpl w:val="17570DE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7008AB"/>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EE2638"/>
    <w:rsid w:val="140D3EAB"/>
    <w:rsid w:val="14B404CB"/>
    <w:rsid w:val="14FC201D"/>
    <w:rsid w:val="150D43F1"/>
    <w:rsid w:val="1519577B"/>
    <w:rsid w:val="15724FF7"/>
    <w:rsid w:val="16060F52"/>
    <w:rsid w:val="17F51899"/>
    <w:rsid w:val="180715CC"/>
    <w:rsid w:val="18E2296E"/>
    <w:rsid w:val="19697F31"/>
    <w:rsid w:val="1B164374"/>
    <w:rsid w:val="1C3D31D9"/>
    <w:rsid w:val="1C3D6D64"/>
    <w:rsid w:val="1C9E45E2"/>
    <w:rsid w:val="1D0E6058"/>
    <w:rsid w:val="1DF1193F"/>
    <w:rsid w:val="1E261C06"/>
    <w:rsid w:val="1E2B32E4"/>
    <w:rsid w:val="1E5324FF"/>
    <w:rsid w:val="1E8F40C9"/>
    <w:rsid w:val="1ED02718"/>
    <w:rsid w:val="1EEF661A"/>
    <w:rsid w:val="1F135C75"/>
    <w:rsid w:val="1F2E743E"/>
    <w:rsid w:val="1F62533A"/>
    <w:rsid w:val="1F986E32"/>
    <w:rsid w:val="1F9D6372"/>
    <w:rsid w:val="1F9F033C"/>
    <w:rsid w:val="201605FE"/>
    <w:rsid w:val="21041FB8"/>
    <w:rsid w:val="2158564A"/>
    <w:rsid w:val="21893052"/>
    <w:rsid w:val="226A270D"/>
    <w:rsid w:val="22990DAD"/>
    <w:rsid w:val="23B8294B"/>
    <w:rsid w:val="23D05BC5"/>
    <w:rsid w:val="241906BD"/>
    <w:rsid w:val="243279D1"/>
    <w:rsid w:val="245B32B8"/>
    <w:rsid w:val="246F76AB"/>
    <w:rsid w:val="248875F1"/>
    <w:rsid w:val="248E660C"/>
    <w:rsid w:val="24CA5E5B"/>
    <w:rsid w:val="25C00201"/>
    <w:rsid w:val="26C2328E"/>
    <w:rsid w:val="27201D6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4D7880"/>
    <w:rsid w:val="2C7B0D11"/>
    <w:rsid w:val="2DA800CA"/>
    <w:rsid w:val="2DBA5C97"/>
    <w:rsid w:val="2EA4771D"/>
    <w:rsid w:val="2ED84BF3"/>
    <w:rsid w:val="2EEF2EAE"/>
    <w:rsid w:val="2F237C74"/>
    <w:rsid w:val="2F57706B"/>
    <w:rsid w:val="304C1E1A"/>
    <w:rsid w:val="307D7684"/>
    <w:rsid w:val="30F92DEC"/>
    <w:rsid w:val="313D65EE"/>
    <w:rsid w:val="31503DFE"/>
    <w:rsid w:val="32836CE3"/>
    <w:rsid w:val="33181F24"/>
    <w:rsid w:val="337F76E3"/>
    <w:rsid w:val="33941B0E"/>
    <w:rsid w:val="33AD347F"/>
    <w:rsid w:val="34027414"/>
    <w:rsid w:val="34390907"/>
    <w:rsid w:val="36067A29"/>
    <w:rsid w:val="3615084C"/>
    <w:rsid w:val="365A2E21"/>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396C7C"/>
    <w:rsid w:val="3EF7594A"/>
    <w:rsid w:val="3F0C10F2"/>
    <w:rsid w:val="3F197B22"/>
    <w:rsid w:val="3F5356B7"/>
    <w:rsid w:val="3F830C89"/>
    <w:rsid w:val="401F4E55"/>
    <w:rsid w:val="403D6894"/>
    <w:rsid w:val="404A6F1A"/>
    <w:rsid w:val="40892B23"/>
    <w:rsid w:val="408F4FF3"/>
    <w:rsid w:val="414C48A8"/>
    <w:rsid w:val="41C20B0E"/>
    <w:rsid w:val="41EE3158"/>
    <w:rsid w:val="42876CE2"/>
    <w:rsid w:val="4311195E"/>
    <w:rsid w:val="443B71C8"/>
    <w:rsid w:val="45034D45"/>
    <w:rsid w:val="45C30B36"/>
    <w:rsid w:val="46560C42"/>
    <w:rsid w:val="46734D44"/>
    <w:rsid w:val="46AF3DFB"/>
    <w:rsid w:val="46BF2520"/>
    <w:rsid w:val="471C5C4A"/>
    <w:rsid w:val="47C11835"/>
    <w:rsid w:val="47D12ED9"/>
    <w:rsid w:val="47F646ED"/>
    <w:rsid w:val="489F1C53"/>
    <w:rsid w:val="48CA7928"/>
    <w:rsid w:val="49290AF3"/>
    <w:rsid w:val="494E5765"/>
    <w:rsid w:val="495356DE"/>
    <w:rsid w:val="4964439B"/>
    <w:rsid w:val="4A5B700A"/>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792FDF"/>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820380"/>
    <w:rsid w:val="579B7B89"/>
    <w:rsid w:val="57B8690A"/>
    <w:rsid w:val="58675193"/>
    <w:rsid w:val="58AB43D1"/>
    <w:rsid w:val="596B73F9"/>
    <w:rsid w:val="599D5FA9"/>
    <w:rsid w:val="59CE6BED"/>
    <w:rsid w:val="59D9651C"/>
    <w:rsid w:val="5A8D1BDF"/>
    <w:rsid w:val="5A8E052B"/>
    <w:rsid w:val="5B24111A"/>
    <w:rsid w:val="5B9400AD"/>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5F8742B"/>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273D6E"/>
    <w:rsid w:val="6B4E7D77"/>
    <w:rsid w:val="6B563571"/>
    <w:rsid w:val="6CBC5656"/>
    <w:rsid w:val="6E7078D1"/>
    <w:rsid w:val="6E8A697A"/>
    <w:rsid w:val="6E97278C"/>
    <w:rsid w:val="6F0B2243"/>
    <w:rsid w:val="6F215100"/>
    <w:rsid w:val="6FA061ED"/>
    <w:rsid w:val="6FAA3E8C"/>
    <w:rsid w:val="6FC5169B"/>
    <w:rsid w:val="6FEC1DAE"/>
    <w:rsid w:val="70DA60AB"/>
    <w:rsid w:val="71066C3B"/>
    <w:rsid w:val="711461F7"/>
    <w:rsid w:val="711E68DF"/>
    <w:rsid w:val="71880AA7"/>
    <w:rsid w:val="71946BA2"/>
    <w:rsid w:val="721C3F61"/>
    <w:rsid w:val="725B146D"/>
    <w:rsid w:val="7292579A"/>
    <w:rsid w:val="72EB0A43"/>
    <w:rsid w:val="731563CB"/>
    <w:rsid w:val="733A0E3C"/>
    <w:rsid w:val="736D3D5D"/>
    <w:rsid w:val="745D5E3A"/>
    <w:rsid w:val="74BE4295"/>
    <w:rsid w:val="750B2811"/>
    <w:rsid w:val="75D73DE6"/>
    <w:rsid w:val="76B65008"/>
    <w:rsid w:val="777A6916"/>
    <w:rsid w:val="77C81353"/>
    <w:rsid w:val="77DD092F"/>
    <w:rsid w:val="785B7DC6"/>
    <w:rsid w:val="789D458E"/>
    <w:rsid w:val="789E5CA1"/>
    <w:rsid w:val="78B33E27"/>
    <w:rsid w:val="78D45B2D"/>
    <w:rsid w:val="79330A4E"/>
    <w:rsid w:val="794A5D98"/>
    <w:rsid w:val="79BC73A3"/>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42</Pages>
  <Words>15954</Words>
  <Characters>16732</Characters>
  <Lines>193</Lines>
  <Paragraphs>54</Paragraphs>
  <TotalTime>5</TotalTime>
  <ScaleCrop>false</ScaleCrop>
  <LinksUpToDate>false</LinksUpToDate>
  <CharactersWithSpaces>17163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Lee</cp:lastModifiedBy>
  <cp:lastPrinted>2025-03-27T00:14:07Z</cp:lastPrinted>
  <dcterms:modified xsi:type="dcterms:W3CDTF">2025-03-27T00:18:13Z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42EAACDC15D541EEB17B1BA3792EEB55_13</vt:lpwstr>
  </property>
  <property fmtid="{D5CDD505-2E9C-101B-9397-08002B2CF9AE}" pid="4" name="KSOTemplateDocerSaveRecord">
    <vt:lpwstr>eyJoZGlkIjoiMDY2MWFhMThkMjljNTE4NWExYjZkNTYxNDgxNzZjNTYiLCJ1c2VySWQiOiIyNzY2MzA5OTgifQ==</vt:lpwstr>
  </property>
</Properties>
</file>