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2025FW033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医疗美容中心2期改造升级服务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四月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3F492CA">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11641050"/>
      <w:bookmarkStart w:id="2" w:name="_Toc12789052"/>
      <w:bookmarkStart w:id="3"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17775178"/>
      <w:bookmarkStart w:id="5"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医疗美容中心2期改造升级服务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317775175"/>
      <w:bookmarkStart w:id="8" w:name="_Toc485108767"/>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医疗美容中心2期改造升级服务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：自筹资金,项目预算：201826.8元。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6"/>
      <w:bookmarkStart w:id="15" w:name="_Toc11958"/>
      <w:bookmarkStart w:id="16" w:name="_Toc485108774"/>
      <w:bookmarkStart w:id="17" w:name="_Toc102227313"/>
    </w:p>
    <w:p w14:paraId="05B35286">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建筑业企业资质证书</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建筑工程施工总承包贰级及以上、建筑装修装饰工程贰级及以上、建筑机电安装工程贰级及以上）。</w:t>
      </w:r>
    </w:p>
    <w:p w14:paraId="1FF45D5C">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r>
        <w:rPr>
          <w:rFonts w:hint="eastAsia" w:ascii="宋体" w:hAnsi="宋体" w:eastAsia="宋体" w:cs="宋体"/>
          <w:color w:val="FF0000"/>
          <w:sz w:val="24"/>
          <w:szCs w:val="24"/>
          <w:shd w:val="clear" w:color="auto" w:fill="auto"/>
          <w:lang w:eastAsia="zh-CN"/>
        </w:rPr>
        <w:t>。</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adjustRightInd w:val="0"/>
        <w:spacing w:line="5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投标人应充分考虑完成本工程的各种因素并满足甲方使用要求，除设计变更或采购方要求的改动内容外，总价不作调整。设计变更或采购方要求的改动内容执行上述定额按实结算，其中人工、材料价格按施工同期《重庆工程造价信息》发布价取算数平均值，造价信息没有的材料由双方共同认质认价</w:t>
      </w:r>
      <w:r>
        <w:rPr>
          <w:rFonts w:hint="eastAsia" w:ascii="宋体" w:hAnsi="宋体" w:eastAsia="宋体" w:cs="宋体"/>
          <w:color w:val="FF0000"/>
          <w:sz w:val="24"/>
          <w:szCs w:val="24"/>
          <w:shd w:val="clear" w:color="auto" w:fill="auto"/>
          <w:lang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3"/>
      <w:bookmarkStart w:id="34" w:name="OLE_LINK8"/>
      <w:bookmarkStart w:id="35"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79714298"/>
      <w:bookmarkStart w:id="37" w:name="_Toc342913393"/>
      <w:bookmarkStart w:id="38" w:name="_Toc18122"/>
      <w:bookmarkStart w:id="39" w:name="_Toc19143"/>
      <w:bookmarkStart w:id="40" w:name="_Toc102227319"/>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485108787"/>
      <w:bookmarkStart w:id="66" w:name="_Toc28327"/>
      <w:bookmarkStart w:id="67"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1、项目内容：</w:t>
      </w:r>
      <w:r>
        <w:rPr>
          <w:rFonts w:hint="eastAsia" w:ascii="宋体" w:hAnsi="宋体" w:eastAsia="宋体" w:cs="宋体"/>
          <w:color w:val="FF0000"/>
          <w:sz w:val="24"/>
          <w:szCs w:val="24"/>
          <w:shd w:val="clear" w:color="auto" w:fill="auto"/>
          <w:lang w:val="en-US" w:eastAsia="zh-CN"/>
        </w:rPr>
        <w:t>医疗美容中心2期改造升级大致内容为广告位改造（转角处）；正大门招牌及电动门改造；医美中心广告灯光改造等</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改造内容详见施工图。安全文明施工费、措施费等由各投标单位结合自身情况统一报价，招标前另行通知现场勘查</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勘察完成后发放图纸。不到现场勘察的投标人，一旦中标投标人不得以不完全了解施工现场情况为借口而提出额外赔偿，或延长工期的要求，造成一切损失由投标人承担。</w:t>
      </w:r>
    </w:p>
    <w:p w14:paraId="1F702FA8">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施工质量应达到国家相关规范、标准及要求，</w:t>
      </w:r>
      <w:r>
        <w:rPr>
          <w:rFonts w:hint="eastAsia" w:ascii="宋体" w:hAnsi="宋体" w:eastAsia="宋体" w:cs="宋体"/>
          <w:color w:val="FF0000"/>
          <w:sz w:val="24"/>
          <w:szCs w:val="24"/>
          <w:shd w:val="clear" w:color="auto" w:fill="auto"/>
          <w:lang w:val="en-US" w:eastAsia="zh-CN"/>
        </w:rPr>
        <w:t>其中广告位灯光改造要符合市政部门的相关规定，</w:t>
      </w:r>
      <w:r>
        <w:rPr>
          <w:rFonts w:hint="eastAsia" w:ascii="宋体" w:hAnsi="宋体" w:eastAsia="宋体" w:cs="宋体"/>
          <w:color w:val="FF0000"/>
          <w:sz w:val="24"/>
          <w:szCs w:val="24"/>
          <w:shd w:val="clear" w:color="auto" w:fill="auto"/>
        </w:rPr>
        <w:t>施工完成后提供完整的竣工资料</w:t>
      </w:r>
      <w:r>
        <w:rPr>
          <w:rFonts w:hint="eastAsia" w:ascii="宋体" w:hAnsi="宋体" w:eastAsia="宋体" w:cs="宋体"/>
          <w:color w:val="FF0000"/>
          <w:sz w:val="24"/>
          <w:szCs w:val="24"/>
          <w:shd w:val="clear" w:color="auto" w:fill="auto"/>
          <w:lang w:val="en-US" w:eastAsia="zh-CN"/>
        </w:rPr>
        <w:t>两</w:t>
      </w:r>
      <w:r>
        <w:rPr>
          <w:rFonts w:hint="eastAsia" w:ascii="宋体" w:hAnsi="宋体" w:eastAsia="宋体" w:cs="宋体"/>
          <w:color w:val="FF0000"/>
          <w:sz w:val="24"/>
          <w:szCs w:val="24"/>
          <w:shd w:val="clear" w:color="auto" w:fill="auto"/>
        </w:rPr>
        <w:t>份。</w:t>
      </w:r>
    </w:p>
    <w:p w14:paraId="5100324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3、人员要求：本项目涉及到焊接的部位，焊工需具有中华人民共和国应急管理部（原国家安全生产监督管理局）颁发的“焊接与热切割作业”证书，并且为本公司员工（提供社保证明）。</w:t>
      </w:r>
    </w:p>
    <w:p w14:paraId="7CECBE6E">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val="en-US" w:eastAsia="zh-CN"/>
        </w:rPr>
        <w:t>开工前责任科室需提交临时施工许可证申请，相关部门审核通过后并办理了临时施工许可证后方可进行施工。</w:t>
      </w:r>
      <w:r>
        <w:rPr>
          <w:rFonts w:hint="eastAsia" w:ascii="宋体" w:hAnsi="宋体" w:eastAsia="宋体" w:cs="宋体"/>
          <w:color w:val="FF0000"/>
          <w:sz w:val="24"/>
          <w:szCs w:val="24"/>
          <w:shd w:val="clear" w:color="auto" w:fill="auto"/>
        </w:rPr>
        <w:t>在施工过程中，中标方应采取有效的安全措施，保证施工人员和其他人员的人身安全，并承担因安全事故导致的一切经济和法律责任。如有损坏财产须照价赔偿。并遵守安全文明施工。</w:t>
      </w:r>
    </w:p>
    <w:p w14:paraId="056F45D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本项目完工后需做好各项售后服务。</w:t>
      </w:r>
    </w:p>
    <w:p w14:paraId="27EC054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6DDB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9F4389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B0105C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B1DAD0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75434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03569795"/>
      <w:bookmarkStart w:id="7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36E03296">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1.质保期：2年及以上。</w:t>
      </w:r>
    </w:p>
    <w:p w14:paraId="775ACB52">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2.工期：不大于25天</w:t>
      </w:r>
    </w:p>
    <w:p w14:paraId="5DC73C2C">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3.付款方式：本次采购无预付款，全部改造内容完成后，经我方验收合格，凭正式发票于60日内转账支付合同总价的92%，余款8%为履约保证金，在质保期满后无息支付。</w:t>
      </w:r>
    </w:p>
    <w:p w14:paraId="3D31DC54">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4.服务方需如实填写主材明细表。（见第六章，如有遗漏失去有效供应商资格）</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54718210"/>
      <w:bookmarkStart w:id="112" w:name="_Toc31719"/>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779E760C">
      <w:pPr>
        <w:adjustRightInd w:val="0"/>
        <w:spacing w:line="500" w:lineRule="exact"/>
        <w:rPr>
          <w:rFonts w:hint="eastAsia" w:ascii="仿宋" w:hAnsi="仿宋" w:eastAsia="仿宋"/>
          <w:b/>
          <w:bCs/>
          <w:sz w:val="32"/>
          <w:szCs w:val="32"/>
          <w:lang w:val="en-US" w:eastAsia="zh-CN"/>
        </w:rPr>
      </w:pPr>
      <w:bookmarkStart w:id="143" w:name="_Toc485108797"/>
      <w:bookmarkStart w:id="144" w:name="_Toc313888361"/>
      <w:bookmarkStart w:id="145" w:name="_Toc480979019"/>
      <w:bookmarkStart w:id="146" w:name="_Toc342913420"/>
      <w:bookmarkStart w:id="147" w:name="_Toc313008357"/>
    </w:p>
    <w:p w14:paraId="4FCDC65F">
      <w:pPr>
        <w:tabs>
          <w:tab w:val="left" w:pos="1134"/>
        </w:tabs>
        <w:jc w:val="center"/>
        <w:rPr>
          <w:rFonts w:ascii="黑体" w:hAnsi="黑体" w:eastAsia="黑体"/>
          <w:sz w:val="32"/>
          <w:szCs w:val="32"/>
        </w:rPr>
      </w:pPr>
      <w:r>
        <w:rPr>
          <w:rFonts w:hint="eastAsia" w:ascii="黑体" w:hAnsi="黑体" w:eastAsia="黑体"/>
          <w:sz w:val="32"/>
          <w:szCs w:val="32"/>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7BF9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atLeast"/>
        </w:trPr>
        <w:tc>
          <w:tcPr>
            <w:tcW w:w="3799" w:type="dxa"/>
            <w:vAlign w:val="center"/>
          </w:tcPr>
          <w:p w14:paraId="22C06E09">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1E12A2E7">
            <w:pPr>
              <w:spacing w:line="360" w:lineRule="auto"/>
              <w:jc w:val="center"/>
              <w:rPr>
                <w:rFonts w:ascii="宋体" w:hAnsi="宋体"/>
                <w:sz w:val="24"/>
              </w:rPr>
            </w:pPr>
            <w:r>
              <w:rPr>
                <w:rFonts w:hint="eastAsia" w:ascii="宋体" w:hAnsi="宋体"/>
                <w:sz w:val="24"/>
              </w:rPr>
              <w:t>费用（元）</w:t>
            </w:r>
          </w:p>
        </w:tc>
        <w:tc>
          <w:tcPr>
            <w:tcW w:w="2410" w:type="dxa"/>
            <w:vAlign w:val="center"/>
          </w:tcPr>
          <w:p w14:paraId="5ADE8A0C">
            <w:pPr>
              <w:spacing w:line="360" w:lineRule="auto"/>
              <w:jc w:val="center"/>
              <w:rPr>
                <w:rFonts w:ascii="宋体" w:hAnsi="宋体"/>
                <w:sz w:val="24"/>
              </w:rPr>
            </w:pPr>
            <w:r>
              <w:rPr>
                <w:rFonts w:hint="eastAsia" w:ascii="宋体" w:hAnsi="宋体"/>
                <w:sz w:val="24"/>
              </w:rPr>
              <w:t>备注</w:t>
            </w:r>
          </w:p>
        </w:tc>
      </w:tr>
      <w:tr w14:paraId="6C07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sz w:val="24"/>
                <w:lang w:val="en-US" w:eastAsia="zh-CN"/>
              </w:rPr>
              <w:t>医疗美容中心2期改造升级</w:t>
            </w:r>
          </w:p>
        </w:tc>
        <w:tc>
          <w:tcPr>
            <w:tcW w:w="2693" w:type="dxa"/>
            <w:vAlign w:val="center"/>
          </w:tcPr>
          <w:p w14:paraId="701889DC">
            <w:pPr>
              <w:spacing w:line="360" w:lineRule="auto"/>
              <w:jc w:val="center"/>
              <w:rPr>
                <w:rFonts w:ascii="宋体" w:hAnsi="宋体"/>
                <w:sz w:val="24"/>
              </w:rPr>
            </w:pPr>
          </w:p>
        </w:tc>
        <w:tc>
          <w:tcPr>
            <w:tcW w:w="2410" w:type="dxa"/>
            <w:vAlign w:val="center"/>
          </w:tcPr>
          <w:p w14:paraId="03CA1F7C">
            <w:pPr>
              <w:spacing w:line="360" w:lineRule="auto"/>
              <w:jc w:val="center"/>
              <w:rPr>
                <w:rFonts w:ascii="宋体" w:hAnsi="宋体"/>
                <w:sz w:val="24"/>
              </w:rPr>
            </w:pPr>
          </w:p>
        </w:tc>
      </w:tr>
      <w:tr w14:paraId="3AC1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7E0CC8F1">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54A83CB1">
            <w:pPr>
              <w:spacing w:line="360" w:lineRule="auto"/>
              <w:jc w:val="center"/>
              <w:rPr>
                <w:rFonts w:ascii="宋体" w:hAnsi="宋体"/>
                <w:sz w:val="24"/>
              </w:rPr>
            </w:pPr>
          </w:p>
        </w:tc>
      </w:tr>
      <w:tr w14:paraId="1E4A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0D9A006C">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1EA039A8">
            <w:pPr>
              <w:spacing w:line="360" w:lineRule="auto"/>
              <w:jc w:val="center"/>
              <w:rPr>
                <w:rFonts w:ascii="宋体" w:hAnsi="宋体"/>
                <w:sz w:val="24"/>
              </w:rPr>
            </w:pPr>
          </w:p>
        </w:tc>
      </w:tr>
    </w:tbl>
    <w:p w14:paraId="46420D74">
      <w:pPr>
        <w:spacing w:line="360" w:lineRule="auto"/>
        <w:rPr>
          <w:rFonts w:hint="eastAsia" w:ascii="仿宋" w:hAnsi="仿宋" w:eastAsia="仿宋"/>
          <w:b/>
          <w:bCs/>
          <w:sz w:val="32"/>
          <w:szCs w:val="32"/>
        </w:rPr>
      </w:pPr>
      <w:r>
        <w:rPr>
          <w:rFonts w:hint="eastAsia" w:ascii="宋体" w:hAnsi="宋体"/>
          <w:sz w:val="28"/>
          <w:szCs w:val="28"/>
        </w:rPr>
        <w:t>备注：投标报价为包干价，包含但不限于材料费、人工费、运输费、搬运费、施工费、保险费、税费等各项费用。</w:t>
      </w:r>
    </w:p>
    <w:p w14:paraId="5DA0A10C">
      <w:pPr>
        <w:tabs>
          <w:tab w:val="left" w:pos="1134"/>
        </w:tabs>
        <w:jc w:val="center"/>
        <w:rPr>
          <w:rFonts w:hint="eastAsia" w:ascii="黑体" w:hAnsi="黑体" w:eastAsia="黑体"/>
          <w:sz w:val="32"/>
          <w:szCs w:val="32"/>
          <w:lang w:val="en-US" w:eastAsia="zh-CN"/>
        </w:rPr>
      </w:pPr>
    </w:p>
    <w:p w14:paraId="4AF4CC6B">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0C3F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4008B3A8">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1B349250">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1B53F494">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69D152C2">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5790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F1FFE2">
            <w:pPr>
              <w:tabs>
                <w:tab w:val="left" w:pos="1134"/>
              </w:tabs>
              <w:jc w:val="center"/>
              <w:rPr>
                <w:rFonts w:hint="default" w:ascii="黑体" w:hAnsi="黑体" w:eastAsia="黑体"/>
                <w:sz w:val="32"/>
                <w:szCs w:val="32"/>
                <w:vertAlign w:val="baseline"/>
                <w:lang w:val="en-US" w:eastAsia="zh-CN"/>
              </w:rPr>
            </w:pPr>
            <w:r>
              <w:rPr>
                <w:rFonts w:hint="eastAsia" w:ascii="宋体" w:hAnsi="宋体"/>
                <w:sz w:val="24"/>
                <w:lang w:val="en-US" w:eastAsia="zh-CN"/>
              </w:rPr>
              <w:t>钢化玻璃</w:t>
            </w:r>
          </w:p>
        </w:tc>
        <w:tc>
          <w:tcPr>
            <w:tcW w:w="1830" w:type="dxa"/>
            <w:vAlign w:val="center"/>
          </w:tcPr>
          <w:p w14:paraId="2FF57B4C">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102AC56">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9CD2B93">
            <w:pPr>
              <w:tabs>
                <w:tab w:val="left" w:pos="1134"/>
              </w:tabs>
              <w:jc w:val="center"/>
              <w:rPr>
                <w:rFonts w:hint="default" w:ascii="黑体" w:hAnsi="黑体" w:eastAsia="黑体"/>
                <w:sz w:val="32"/>
                <w:szCs w:val="32"/>
                <w:vertAlign w:val="baseline"/>
                <w:lang w:val="en-US" w:eastAsia="zh-CN"/>
              </w:rPr>
            </w:pPr>
          </w:p>
        </w:tc>
      </w:tr>
      <w:tr w14:paraId="2B55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0801E48">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铝单板</w:t>
            </w:r>
          </w:p>
        </w:tc>
        <w:tc>
          <w:tcPr>
            <w:tcW w:w="1830" w:type="dxa"/>
            <w:vAlign w:val="center"/>
          </w:tcPr>
          <w:p w14:paraId="2F14F51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1C810240">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E1E71A8">
            <w:pPr>
              <w:tabs>
                <w:tab w:val="left" w:pos="1134"/>
              </w:tabs>
              <w:jc w:val="center"/>
              <w:rPr>
                <w:rFonts w:hint="default" w:ascii="黑体" w:hAnsi="黑体" w:eastAsia="黑体"/>
                <w:sz w:val="32"/>
                <w:szCs w:val="32"/>
                <w:vertAlign w:val="baseline"/>
                <w:lang w:val="en-US" w:eastAsia="zh-CN"/>
              </w:rPr>
            </w:pPr>
          </w:p>
        </w:tc>
      </w:tr>
      <w:tr w14:paraId="2468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31271485">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雪弗板</w:t>
            </w:r>
          </w:p>
        </w:tc>
        <w:tc>
          <w:tcPr>
            <w:tcW w:w="1830" w:type="dxa"/>
            <w:vAlign w:val="center"/>
          </w:tcPr>
          <w:p w14:paraId="639982BC">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0271591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4A98D1A">
            <w:pPr>
              <w:tabs>
                <w:tab w:val="left" w:pos="1134"/>
              </w:tabs>
              <w:jc w:val="center"/>
              <w:rPr>
                <w:rFonts w:hint="default" w:ascii="黑体" w:hAnsi="黑体" w:eastAsia="黑体"/>
                <w:sz w:val="32"/>
                <w:szCs w:val="32"/>
                <w:vertAlign w:val="baseline"/>
                <w:lang w:val="en-US" w:eastAsia="zh-CN"/>
              </w:rPr>
            </w:pPr>
          </w:p>
        </w:tc>
      </w:tr>
      <w:tr w14:paraId="7008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732EF96">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漫反射灯条</w:t>
            </w:r>
          </w:p>
        </w:tc>
        <w:tc>
          <w:tcPr>
            <w:tcW w:w="1830" w:type="dxa"/>
            <w:vAlign w:val="center"/>
          </w:tcPr>
          <w:p w14:paraId="0AB57E46">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36C0E356">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D8D351C">
            <w:pPr>
              <w:tabs>
                <w:tab w:val="left" w:pos="1134"/>
              </w:tabs>
              <w:jc w:val="center"/>
              <w:rPr>
                <w:rFonts w:hint="default" w:ascii="黑体" w:hAnsi="黑体" w:eastAsia="黑体"/>
                <w:sz w:val="32"/>
                <w:szCs w:val="32"/>
                <w:vertAlign w:val="baseline"/>
                <w:lang w:val="en-US" w:eastAsia="zh-CN"/>
              </w:rPr>
            </w:pPr>
          </w:p>
        </w:tc>
      </w:tr>
      <w:tr w14:paraId="37D1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6B7C456">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铜芯线</w:t>
            </w:r>
          </w:p>
        </w:tc>
        <w:tc>
          <w:tcPr>
            <w:tcW w:w="1830" w:type="dxa"/>
            <w:vAlign w:val="center"/>
          </w:tcPr>
          <w:p w14:paraId="4EA46CDB">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03360FB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784B534F">
            <w:pPr>
              <w:tabs>
                <w:tab w:val="left" w:pos="1134"/>
              </w:tabs>
              <w:jc w:val="center"/>
              <w:rPr>
                <w:rFonts w:hint="default" w:ascii="黑体" w:hAnsi="黑体" w:eastAsia="黑体"/>
                <w:sz w:val="32"/>
                <w:szCs w:val="32"/>
                <w:vertAlign w:val="baseline"/>
                <w:lang w:val="en-US" w:eastAsia="zh-CN"/>
              </w:rPr>
            </w:pPr>
          </w:p>
        </w:tc>
      </w:tr>
      <w:tr w14:paraId="2704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2F77D856">
            <w:pPr>
              <w:tabs>
                <w:tab w:val="left" w:pos="1134"/>
              </w:tabs>
              <w:jc w:val="center"/>
              <w:rPr>
                <w:rFonts w:hint="default" w:ascii="宋体" w:hAnsi="宋体" w:eastAsia="宋体" w:cs="宋体"/>
                <w:sz w:val="24"/>
                <w:szCs w:val="24"/>
                <w:vertAlign w:val="baseline"/>
                <w:lang w:val="en-US" w:eastAsia="zh-CN"/>
              </w:rPr>
            </w:pPr>
            <w:r>
              <w:rPr>
                <w:rFonts w:hint="eastAsia" w:ascii="宋体" w:hAnsi="宋体"/>
                <w:sz w:val="24"/>
                <w:lang w:val="en-US" w:eastAsia="zh-CN"/>
              </w:rPr>
              <w:t>铝塑板</w:t>
            </w:r>
          </w:p>
        </w:tc>
        <w:tc>
          <w:tcPr>
            <w:tcW w:w="1830" w:type="dxa"/>
            <w:vAlign w:val="center"/>
          </w:tcPr>
          <w:p w14:paraId="2E968506">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2465FE09">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4830610F">
            <w:pPr>
              <w:tabs>
                <w:tab w:val="left" w:pos="1134"/>
              </w:tabs>
              <w:jc w:val="center"/>
              <w:rPr>
                <w:rFonts w:hint="default" w:ascii="黑体" w:hAnsi="黑体" w:eastAsia="黑体"/>
                <w:sz w:val="32"/>
                <w:szCs w:val="32"/>
                <w:vertAlign w:val="baseline"/>
                <w:lang w:val="en-US" w:eastAsia="zh-CN"/>
              </w:rPr>
            </w:pPr>
          </w:p>
        </w:tc>
      </w:tr>
    </w:tbl>
    <w:p w14:paraId="6C85E591">
      <w:pPr>
        <w:rPr>
          <w:rFonts w:hint="eastAsia" w:ascii="宋体" w:hAnsi="宋体" w:eastAsia="宋体" w:cs="宋体"/>
          <w:b/>
          <w:color w:val="000000" w:themeColor="text1"/>
          <w:shd w:val="clear" w:color="auto" w:fill="auto"/>
          <w14:textFill>
            <w14:solidFill>
              <w14:schemeClr w14:val="tx1"/>
            </w14:solidFill>
          </w14:textFill>
        </w:rPr>
      </w:pPr>
    </w:p>
    <w:p w14:paraId="7EBCBAEA">
      <w:pPr>
        <w:rPr>
          <w:rFonts w:hint="default" w:ascii="宋体" w:hAnsi="宋体" w:eastAsia="宋体" w:cs="宋体"/>
          <w:b/>
          <w:color w:val="000000" w:themeColor="text1"/>
          <w:shd w:val="clear" w:color="auto" w:fill="auto"/>
          <w:lang w:val="en-US"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注：</w:t>
      </w:r>
      <w:r>
        <w:rPr>
          <w:rFonts w:hint="eastAsia" w:ascii="宋体" w:hAnsi="宋体" w:eastAsia="宋体" w:cs="宋体"/>
          <w:b/>
          <w:color w:val="000000" w:themeColor="text1"/>
          <w:shd w:val="clear" w:color="auto" w:fill="auto"/>
          <w:lang w:val="en-US" w:eastAsia="zh-CN"/>
          <w14:textFill>
            <w14:solidFill>
              <w14:schemeClr w14:val="tx1"/>
            </w14:solidFill>
          </w14:textFill>
        </w:rPr>
        <w:t>1.该表可拓展</w:t>
      </w:r>
    </w:p>
    <w:p w14:paraId="321156F6">
      <w:pPr>
        <w:rPr>
          <w:rFonts w:hint="eastAsia" w:ascii="宋体" w:hAnsi="宋体" w:eastAsia="宋体" w:cs="宋体"/>
          <w:b/>
          <w:color w:val="000000" w:themeColor="text1"/>
          <w:shd w:val="clear" w:color="auto" w:fill="auto"/>
          <w14:textFill>
            <w14:solidFill>
              <w14:schemeClr w14:val="tx1"/>
            </w14:solidFill>
          </w14:textFill>
        </w:rPr>
      </w:pPr>
    </w:p>
    <w:p w14:paraId="05A74EDE">
      <w:pPr>
        <w:rPr>
          <w:rFonts w:hint="eastAsia" w:ascii="宋体" w:hAnsi="宋体" w:eastAsia="宋体" w:cs="宋体"/>
          <w:b/>
          <w:color w:val="000000" w:themeColor="text1"/>
          <w:shd w:val="clear" w:color="auto" w:fill="auto"/>
          <w14:textFill>
            <w14:solidFill>
              <w14:schemeClr w14:val="tx1"/>
            </w14:solidFill>
          </w14:textFill>
        </w:rPr>
      </w:pP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200CC85F">
      <w:pPr>
        <w:rPr>
          <w:rFonts w:hint="eastAsia" w:ascii="宋体" w:hAnsi="宋体" w:eastAsia="宋体" w:cs="宋体"/>
          <w:b/>
          <w:color w:val="000000" w:themeColor="text1"/>
          <w:shd w:val="clear" w:color="auto" w:fill="auto"/>
          <w14:textFill>
            <w14:solidFill>
              <w14:schemeClr w14:val="tx1"/>
            </w14:solidFill>
          </w14:textFill>
        </w:rPr>
      </w:pPr>
    </w:p>
    <w:p w14:paraId="6E76235E">
      <w:pPr>
        <w:rPr>
          <w:rFonts w:hint="eastAsia" w:ascii="宋体" w:hAnsi="宋体" w:eastAsia="宋体" w:cs="宋体"/>
          <w:b/>
          <w:color w:val="000000" w:themeColor="text1"/>
          <w:shd w:val="clear" w:color="auto" w:fill="auto"/>
          <w14:textFill>
            <w14:solidFill>
              <w14:schemeClr w14:val="tx1"/>
            </w14:solidFill>
          </w14:textFill>
        </w:rPr>
      </w:pPr>
    </w:p>
    <w:p w14:paraId="1FA6AE67">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313008358"/>
      <w:bookmarkStart w:id="151" w:name="_Toc485108798"/>
      <w:bookmarkStart w:id="15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888363"/>
      <w:bookmarkStart w:id="155" w:name="_Toc342913422"/>
      <w:bookmarkStart w:id="156"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B9A5AD-24C7-4B54-884D-5BE5C26CEEA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8642FBE6-11B9-4A5C-B175-6D0BF97D15C6}"/>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DC3E8C4A-641B-4AF6-A4DA-92365567F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782A26"/>
    <w:rsid w:val="13141499"/>
    <w:rsid w:val="131D034D"/>
    <w:rsid w:val="134E0964"/>
    <w:rsid w:val="13653AA2"/>
    <w:rsid w:val="13D52C1B"/>
    <w:rsid w:val="13F41DC8"/>
    <w:rsid w:val="144B1714"/>
    <w:rsid w:val="14B95EDB"/>
    <w:rsid w:val="14C6168E"/>
    <w:rsid w:val="14C6556D"/>
    <w:rsid w:val="14E12006"/>
    <w:rsid w:val="1554725E"/>
    <w:rsid w:val="15604521"/>
    <w:rsid w:val="156125ED"/>
    <w:rsid w:val="158D32E0"/>
    <w:rsid w:val="16243DF1"/>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8A4B97"/>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28244C"/>
    <w:rsid w:val="529620AE"/>
    <w:rsid w:val="52EB291F"/>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C2767B"/>
    <w:rsid w:val="6D342244"/>
    <w:rsid w:val="6DAB4CCB"/>
    <w:rsid w:val="6DC70D5C"/>
    <w:rsid w:val="6DDA24A1"/>
    <w:rsid w:val="6DFC3BBF"/>
    <w:rsid w:val="6E0E1C83"/>
    <w:rsid w:val="6E45126B"/>
    <w:rsid w:val="6EA047F7"/>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683BAE"/>
    <w:rsid w:val="7CBD0742"/>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13717</Words>
  <Characters>14042</Characters>
  <Lines>182</Lines>
  <Paragraphs>51</Paragraphs>
  <TotalTime>0</TotalTime>
  <ScaleCrop>false</ScaleCrop>
  <LinksUpToDate>false</LinksUpToDate>
  <CharactersWithSpaces>14999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2025-04-01T00:07:33Z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