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2025FW014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眼科手术显微镜、视野分析仪和眼底成像系统全保服务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二月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C1DDEC">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_Toc2183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七、防疫要求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_Toc2183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C4201A8">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12789052"/>
      <w:bookmarkStart w:id="2" w:name="_Toc485108766"/>
      <w:bookmarkStart w:id="3"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眼科手术显微镜、视野分析仪和眼底成像系统全保服务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485108767"/>
      <w:bookmarkStart w:id="7" w:name="_Toc313893526"/>
      <w:bookmarkStart w:id="8" w:name="_Toc28443"/>
      <w:bookmarkStart w:id="9"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眼科手术显微镜、视野分析仪和眼底成像系统全保服务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服务：3年</w:t>
            </w:r>
          </w:p>
        </w:tc>
      </w:tr>
    </w:tbl>
    <w:p w14:paraId="00DB30B5">
      <w:pPr>
        <w:pStyle w:val="2"/>
        <w:numPr>
          <w:ilvl w:val="0"/>
          <w:numId w:val="0"/>
        </w:numPr>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与项目预算：医院自筹，项目预算：18.9万元/三年。</w:t>
      </w:r>
    </w:p>
    <w:p w14:paraId="7AA96D60">
      <w:pPr>
        <w:pStyle w:val="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102227313"/>
      <w:bookmarkStart w:id="17" w:name="_Toc485108774"/>
    </w:p>
    <w:p w14:paraId="627B4DB4">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１、经营该采购项目范围的营业执照、税务登记证、组织机构代码证（或三证合一）及法定代表人授权委托书、授权人和被授权人身份证复印件（被授权代表身份证原件随身携带备查）。</w:t>
      </w:r>
    </w:p>
    <w:p w14:paraId="627B4DB5">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2、必须具备医疗器械经营许可证或二类备案凭证。</w:t>
      </w:r>
    </w:p>
    <w:p w14:paraId="54D434CB">
      <w:pPr>
        <w:pStyle w:val="4"/>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4"/>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54171062"/>
      <w:bookmarkStart w:id="22" w:name="_Toc373860294"/>
      <w:bookmarkStart w:id="23" w:name="_Toc54718176"/>
    </w:p>
    <w:bookmarkEnd w:id="21"/>
    <w:bookmarkEnd w:id="22"/>
    <w:bookmarkEnd w:id="23"/>
    <w:p w14:paraId="1FD6A981">
      <w:pPr>
        <w:pStyle w:val="4"/>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50FCFCFA">
      <w:pPr>
        <w:pStyle w:val="3"/>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4"/>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rPr>
        <w:t>本次报价须为人民币报价，包括完成本项目所需的：</w:t>
      </w:r>
      <w:r>
        <w:rPr>
          <w:rFonts w:hint="eastAsia" w:ascii="宋体" w:hAnsi="宋体" w:eastAsia="宋体" w:cs="宋体"/>
          <w:color w:val="FF0000"/>
          <w:sz w:val="24"/>
          <w:szCs w:val="24"/>
          <w:lang w:eastAsia="zh-CN"/>
        </w:rPr>
        <w:t>维保费</w:t>
      </w:r>
      <w:r>
        <w:rPr>
          <w:rFonts w:hint="eastAsia" w:ascii="宋体" w:hAnsi="宋体" w:eastAsia="宋体" w:cs="宋体"/>
          <w:color w:val="FF0000"/>
          <w:sz w:val="24"/>
          <w:szCs w:val="24"/>
        </w:rPr>
        <w:t>、运输费（含装卸费）、保险费、安装费、调试费、售后服务费、税费、培训费与其他施工单位的配合费等货到医院指定地点的所有费用。因成交供应商自身原因造成漏报、少报皆由其自行承担责任，医院不再补偿。</w:t>
      </w:r>
      <w:r>
        <w:rPr>
          <w:rFonts w:hint="eastAsia" w:ascii="宋体" w:hAnsi="宋体" w:eastAsia="宋体" w:cs="宋体"/>
          <w:color w:val="FF0000"/>
          <w:sz w:val="24"/>
          <w:szCs w:val="24"/>
          <w:shd w:val="clear" w:color="auto" w:fill="auto"/>
          <w:lang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8"/>
      <w:bookmarkStart w:id="34" w:name="OLE_LINK9"/>
      <w:bookmarkStart w:id="35"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79714298"/>
      <w:bookmarkStart w:id="37" w:name="_Toc342913393"/>
      <w:bookmarkStart w:id="38" w:name="_Toc403569780"/>
      <w:bookmarkStart w:id="39" w:name="_Toc102227319"/>
      <w:bookmarkStart w:id="40" w:name="_Toc18122"/>
      <w:bookmarkStart w:id="41"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403569781"/>
      <w:bookmarkStart w:id="44" w:name="_Toc28776"/>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14816"/>
      <w:bookmarkStart w:id="48" w:name="_Toc403569782"/>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403569783"/>
      <w:bookmarkStart w:id="51" w:name="_Toc342913395"/>
      <w:bookmarkStart w:id="52" w:name="_Toc7135"/>
      <w:bookmarkStart w:id="53" w:name="_Toc102227321"/>
      <w:bookmarkStart w:id="54"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2880"/>
      <w:bookmarkStart w:id="57"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6381"/>
      <w:bookmarkStart w:id="60" w:name="_Toc403569785"/>
      <w:bookmarkStart w:id="61"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554E845">
      <w:pPr>
        <w:pStyle w:val="3"/>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spacing w:line="390" w:lineRule="exact"/>
        <w:ind w:firstLine="482"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12789058"/>
      <w:bookmarkStart w:id="66" w:name="_Toc485108787"/>
      <w:bookmarkStart w:id="67" w:name="_Toc2832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b/>
          <w:bCs/>
          <w:color w:val="000000" w:themeColor="text1"/>
          <w:sz w:val="24"/>
          <w:szCs w:val="24"/>
          <w:shd w:val="clear" w:color="auto" w:fill="auto"/>
          <w14:textFill>
            <w14:solidFill>
              <w14:schemeClr w14:val="tx1"/>
            </w14:solidFill>
          </w14:textFill>
        </w:rPr>
        <w:t>、服务要求</w:t>
      </w:r>
    </w:p>
    <w:p w14:paraId="627B4DA9">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1、设备品牌型号：</w:t>
      </w:r>
    </w:p>
    <w:p w14:paraId="627B4DA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眼科手术显微（OPMI Lumera T）</w:t>
      </w:r>
    </w:p>
    <w:p w14:paraId="627B4DAB">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视野分析仪（HFA3830）</w:t>
      </w:r>
    </w:p>
    <w:p w14:paraId="627B4DAC">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眼底成像系统（Resight700）</w:t>
      </w:r>
    </w:p>
    <w:p w14:paraId="627B4DAD">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2、数量:叁台。</w:t>
      </w:r>
    </w:p>
    <w:p w14:paraId="627B4DAE">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3、维保服务时间:36个月。</w:t>
      </w:r>
    </w:p>
    <w:p w14:paraId="627B4DAF">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4、维保服务地点：重庆医科大学附属永川医院。</w:t>
      </w:r>
    </w:p>
    <w:p w14:paraId="627B4DB0">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5、维保范围:设备整机全保（包含配套电脑、显示器、主机内各类电路板、显微镜底座、支架、手柄等所有配件。打印机、升降桌等第三方附件除外。眼内光纤、显微镜灯泡等耗材除外。人为损坏的配件除外） 。</w:t>
      </w:r>
    </w:p>
    <w:p w14:paraId="627B4DB1">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6、仪器因为外部因素（停用、召回、报废等），合同即刻中止，维保费用按实际服务天数计算。</w:t>
      </w:r>
    </w:p>
    <w:p w14:paraId="5594EDFD">
      <w:pPr>
        <w:snapToGrid w:val="0"/>
        <w:spacing w:line="400" w:lineRule="exact"/>
        <w:ind w:firstLine="480" w:firstLineChars="200"/>
        <w:jc w:val="left"/>
        <w:rPr>
          <w:rFonts w:hint="eastAsia"/>
        </w:rPr>
      </w:pPr>
      <w:r>
        <w:rPr>
          <w:rFonts w:hint="eastAsia" w:ascii="宋体" w:hAnsi="宋体" w:eastAsia="宋体" w:cs="宋体"/>
          <w:color w:val="FF0000"/>
          <w:sz w:val="24"/>
          <w:szCs w:val="24"/>
          <w:shd w:val="clear" w:color="auto" w:fill="auto"/>
          <w:lang w:val="en-US" w:eastAsia="zh-CN"/>
        </w:rPr>
        <w:t>7、参选</w:t>
      </w:r>
      <w:r>
        <w:rPr>
          <w:rFonts w:hint="eastAsia" w:ascii="宋体" w:hAnsi="宋体" w:eastAsia="宋体" w:cs="宋体"/>
          <w:color w:val="FF0000"/>
          <w:sz w:val="24"/>
          <w:szCs w:val="24"/>
          <w:shd w:val="clear" w:color="auto" w:fill="auto"/>
        </w:rPr>
        <w:t>供应商必须具备800或者400客户服务专线报修电话，电话响应时间2小时，若电话不能解决的，工程师现场响应时间为48小时内。到达现场处理故障的工程师需为具有专业维修资质的工程师，提供同类型产品培训证书和工作关系证明或社保证明。若延迟到达现场</w:t>
      </w:r>
      <w:r>
        <w:rPr>
          <w:rFonts w:hint="eastAsia" w:ascii="宋体" w:hAnsi="宋体" w:eastAsia="宋体" w:cs="宋体"/>
          <w:color w:val="FF0000"/>
          <w:sz w:val="24"/>
          <w:szCs w:val="24"/>
          <w:shd w:val="clear" w:color="auto" w:fill="auto"/>
          <w:lang w:val="en-US" w:eastAsia="zh-CN"/>
        </w:rPr>
        <w:t>,延迟一天，则维保合同期限延长7个日历日</w:t>
      </w:r>
      <w:r>
        <w:rPr>
          <w:rFonts w:hint="eastAsia" w:ascii="宋体" w:hAnsi="宋体" w:eastAsia="宋体" w:cs="宋体"/>
          <w:color w:val="FF0000"/>
          <w:sz w:val="24"/>
          <w:szCs w:val="24"/>
          <w:shd w:val="clear" w:color="auto" w:fill="auto"/>
        </w:rPr>
        <w:t>。</w:t>
      </w:r>
    </w:p>
    <w:p w14:paraId="627B4DB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每年不少于2次的定期维护，每次执行完成定期维护保养项目必须要有详细记录留存用户。</w:t>
      </w:r>
    </w:p>
    <w:p w14:paraId="627B4DB9">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9</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开机率承诺：在服务期内保证95%的开机率（按一年365日计算），对于开机率低于约定的开机率的每一个百分点，维保合同期限将延长7个日历日。其他意外灾害等不可抗力和人为恶意以及由于航空管制等特殊情况下配件等待引起的时间不含在内。</w:t>
      </w:r>
    </w:p>
    <w:p w14:paraId="627B4DB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10</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故障处置及备件更换：</w:t>
      </w:r>
    </w:p>
    <w:p w14:paraId="627B4DBB">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10</w:t>
      </w:r>
      <w:r>
        <w:rPr>
          <w:rFonts w:hint="eastAsia" w:ascii="宋体" w:hAnsi="宋体" w:eastAsia="宋体" w:cs="宋体"/>
          <w:color w:val="FF0000"/>
          <w:sz w:val="24"/>
          <w:szCs w:val="24"/>
          <w:shd w:val="clear" w:color="auto" w:fill="auto"/>
        </w:rPr>
        <w:t>.1</w:t>
      </w:r>
      <w:r>
        <w:rPr>
          <w:rFonts w:hint="eastAsia" w:ascii="宋体" w:hAnsi="宋体" w:eastAsia="宋体" w:cs="宋体"/>
          <w:color w:val="FF0000"/>
          <w:sz w:val="24"/>
          <w:szCs w:val="24"/>
          <w:shd w:val="clear" w:color="auto" w:fill="auto"/>
          <w:lang w:eastAsia="zh-CN"/>
        </w:rPr>
        <w:t>、参选</w:t>
      </w:r>
      <w:r>
        <w:rPr>
          <w:rFonts w:hint="eastAsia" w:ascii="宋体" w:hAnsi="宋体" w:eastAsia="宋体" w:cs="宋体"/>
          <w:color w:val="FF0000"/>
          <w:sz w:val="24"/>
          <w:szCs w:val="24"/>
          <w:shd w:val="clear" w:color="auto" w:fill="auto"/>
        </w:rPr>
        <w:t>供应商所提供的备件必须原厂原装合格的零备件以满足设备运行要求，不会给设备带来安全隐患。</w:t>
      </w:r>
    </w:p>
    <w:p w14:paraId="627B4DBC">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10</w:t>
      </w: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所有故障处置与备件更换不限次数。所有类型的故障处置完毕后必须留工作记录给</w:t>
      </w:r>
      <w:r>
        <w:rPr>
          <w:rFonts w:hint="eastAsia" w:ascii="宋体" w:hAnsi="宋体" w:eastAsia="宋体" w:cs="宋体"/>
          <w:color w:val="FF0000"/>
          <w:sz w:val="24"/>
          <w:szCs w:val="24"/>
          <w:shd w:val="clear" w:color="auto" w:fill="auto"/>
          <w:lang w:eastAsia="zh-CN"/>
        </w:rPr>
        <w:t>采购方</w:t>
      </w:r>
      <w:r>
        <w:rPr>
          <w:rFonts w:hint="eastAsia" w:ascii="宋体" w:hAnsi="宋体" w:eastAsia="宋体" w:cs="宋体"/>
          <w:color w:val="FF0000"/>
          <w:sz w:val="24"/>
          <w:szCs w:val="24"/>
          <w:shd w:val="clear" w:color="auto" w:fill="auto"/>
        </w:rPr>
        <w:t>备案。</w:t>
      </w:r>
    </w:p>
    <w:p w14:paraId="627B4DBD">
      <w:pPr>
        <w:numPr>
          <w:ilvl w:val="0"/>
          <w:numId w:val="0"/>
        </w:num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11、</w:t>
      </w:r>
      <w:r>
        <w:rPr>
          <w:rFonts w:hint="eastAsia" w:ascii="宋体" w:hAnsi="宋体" w:eastAsia="宋体" w:cs="宋体"/>
          <w:color w:val="FF0000"/>
          <w:sz w:val="24"/>
          <w:szCs w:val="24"/>
          <w:shd w:val="clear" w:color="auto" w:fill="auto"/>
        </w:rPr>
        <w:t>每年度维保服务完成后，维保单位提供一份完整的年度维保报告（电子版和纸字版各一份），需保养单位、使用科室和设备科分管工程师同时签字确认，否则不予以付费。</w:t>
      </w:r>
    </w:p>
    <w:p w14:paraId="4BDCB7E5">
      <w:pPr>
        <w:spacing w:line="39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12、成交供应商需签信息安全保密协议。</w:t>
      </w:r>
    </w:p>
    <w:p w14:paraId="300880D7">
      <w:pPr>
        <w:spacing w:line="39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13、在远程服务或系统升级服务时，供应商需对采购方的信息安全和数据安全负责，在服务工作中造成的影响或损失由成交供应商负责。</w:t>
      </w:r>
    </w:p>
    <w:p w14:paraId="5EF5AD4B">
      <w:pPr>
        <w:pStyle w:val="2"/>
        <w:ind w:firstLine="480" w:firstLineChars="200"/>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14、采购项目需求为本项目实质性要求，供应商必须响应参数需求并提供证明材料</w:t>
      </w:r>
    </w:p>
    <w:p w14:paraId="3BA30B7F">
      <w:pPr>
        <w:pStyle w:val="2"/>
        <w:numPr>
          <w:ilvl w:val="0"/>
          <w:numId w:val="0"/>
        </w:numPr>
        <w:rPr>
          <w:rFonts w:hint="eastAsia"/>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2789059"/>
      <w:bookmarkStart w:id="69" w:name="_Toc11641055"/>
    </w:p>
    <w:p w14:paraId="5642FEE9">
      <w:pPr>
        <w:pStyle w:val="4"/>
        <w:spacing w:line="240" w:lineRule="auto"/>
        <w:rPr>
          <w:rFonts w:hint="eastAsia" w:ascii="宋体" w:hAnsi="宋体" w:eastAsia="宋体" w:cs="宋体"/>
          <w:b/>
          <w:bCs/>
          <w:kern w:val="2"/>
          <w:sz w:val="24"/>
          <w:szCs w:val="24"/>
          <w:lang w:val="en-US" w:eastAsia="zh-CN" w:bidi="ar-SA"/>
        </w:rPr>
      </w:pPr>
      <w:bookmarkStart w:id="70" w:name="_Toc11645"/>
      <w:bookmarkStart w:id="71" w:name="_Toc485108793"/>
      <w:bookmarkStart w:id="72" w:name="_Toc403569795"/>
      <w:bookmarkStart w:id="73" w:name="_Toc7358"/>
      <w:r>
        <w:rPr>
          <w:rFonts w:hint="eastAsia" w:ascii="宋体" w:hAnsi="宋体" w:eastAsia="宋体" w:cs="宋体"/>
          <w:b/>
          <w:bCs/>
          <w:kern w:val="2"/>
          <w:sz w:val="24"/>
          <w:szCs w:val="24"/>
          <w:lang w:val="en-US" w:eastAsia="zh-CN" w:bidi="ar-SA"/>
        </w:rPr>
        <w:t>一、商务需求</w:t>
      </w:r>
    </w:p>
    <w:bookmarkEnd w:id="70"/>
    <w:bookmarkEnd w:id="71"/>
    <w:bookmarkEnd w:id="72"/>
    <w:bookmarkEnd w:id="73"/>
    <w:p w14:paraId="627B4DB2">
      <w:pPr>
        <w:spacing w:line="39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付款方式：每一年服务年度满后，凭发票、合同复印件、维护维俢报告60天内付当年维保费全款。如果出现大配件故障，停机时间≥一个月，维保费用按实际服务天数计算。若中标单位服务期内未提供巡检保养服务或服务次数不足，采购方不予以付费。</w:t>
      </w:r>
    </w:p>
    <w:p w14:paraId="5235ADBD">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2D0E702E">
      <w:pPr>
        <w:spacing w:line="39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85108794"/>
      <w:bookmarkStart w:id="75" w:name="_Toc14840"/>
      <w:bookmarkStart w:id="76" w:name="_Toc403569796"/>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54718202"/>
      <w:bookmarkStart w:id="8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17879"/>
      <w:bookmarkStart w:id="8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9053"/>
      <w:bookmarkStart w:id="10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31719"/>
      <w:bookmarkStart w:id="112" w:name="_Toc54718210"/>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75D005CD">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49EB035D">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313008356"/>
      <w:bookmarkStart w:id="137" w:name="_Toc485108796"/>
      <w:bookmarkStart w:id="138" w:name="_Toc342913419"/>
      <w:bookmarkStart w:id="139" w:name="_Toc480979018"/>
      <w:bookmarkStart w:id="140" w:name="_Toc313888360"/>
      <w:bookmarkStart w:id="141" w:name="_Toc283382454"/>
      <w:bookmarkStart w:id="142"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4110EE2D">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1D89714">
      <w:pPr>
        <w:pStyle w:val="51"/>
        <w:spacing w:before="0" w:beforeAutospacing="0" w:after="0" w:afterAutospacing="0" w:line="480" w:lineRule="exact"/>
        <w:jc w:val="center"/>
        <w:rPr>
          <w:rFonts w:hint="eastAsia" w:ascii="方正仿宋_GBK" w:hAnsi="Times New Roman" w:eastAsia="方正仿宋_GBK"/>
          <w:color w:val="000000" w:themeColor="text1"/>
          <w:kern w:val="2"/>
          <w:sz w:val="32"/>
          <w:szCs w:val="32"/>
          <w14:textFill>
            <w14:solidFill>
              <w14:schemeClr w14:val="tx1"/>
            </w14:solidFill>
          </w14:textFill>
        </w:rPr>
      </w:pPr>
      <w:bookmarkStart w:id="143" w:name="_Toc313888361"/>
      <w:bookmarkStart w:id="144" w:name="_Toc313008357"/>
      <w:bookmarkStart w:id="145" w:name="_Toc480979019"/>
      <w:bookmarkStart w:id="146" w:name="_Toc342913420"/>
      <w:bookmarkStart w:id="147" w:name="_Toc485108797"/>
      <w:r>
        <w:rPr>
          <w:rFonts w:hint="eastAsia" w:ascii="方正仿宋_GBK" w:hAnsi="Times New Roman" w:eastAsia="方正仿宋_GBK"/>
          <w:color w:val="000000" w:themeColor="text1"/>
          <w:kern w:val="2"/>
          <w:sz w:val="32"/>
          <w:szCs w:val="32"/>
          <w14:textFill>
            <w14:solidFill>
              <w14:schemeClr w14:val="tx1"/>
            </w14:solidFill>
          </w14:textFill>
        </w:rPr>
        <w:t>报 价 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2407"/>
        <w:gridCol w:w="2407"/>
        <w:gridCol w:w="2407"/>
      </w:tblGrid>
      <w:tr w14:paraId="035D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14:paraId="41B78708">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项目名称</w:t>
            </w:r>
          </w:p>
        </w:tc>
        <w:tc>
          <w:tcPr>
            <w:tcW w:w="2407" w:type="dxa"/>
          </w:tcPr>
          <w:p w14:paraId="056EA61D">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一年报价</w:t>
            </w:r>
            <w:r>
              <w:rPr>
                <w:rFonts w:hint="eastAsia" w:cs="宋体"/>
                <w:color w:val="000000" w:themeColor="text1"/>
                <w:sz w:val="28"/>
                <w:szCs w:val="28"/>
                <w:shd w:val="clear" w:color="auto" w:fill="auto"/>
                <w:lang w:val="en-US" w:eastAsia="zh-CN"/>
                <w14:textFill>
                  <w14:solidFill>
                    <w14:schemeClr w14:val="tx1"/>
                  </w14:solidFill>
                </w14:textFill>
              </w:rPr>
              <w:t>（万元）</w:t>
            </w:r>
          </w:p>
        </w:tc>
        <w:tc>
          <w:tcPr>
            <w:tcW w:w="2407" w:type="dxa"/>
          </w:tcPr>
          <w:p w14:paraId="01C8A209">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三年报价</w:t>
            </w:r>
            <w:r>
              <w:rPr>
                <w:rFonts w:hint="eastAsia" w:cs="宋体"/>
                <w:color w:val="000000" w:themeColor="text1"/>
                <w:sz w:val="28"/>
                <w:szCs w:val="28"/>
                <w:shd w:val="clear" w:color="auto" w:fill="auto"/>
                <w:lang w:val="en-US" w:eastAsia="zh-CN"/>
                <w14:textFill>
                  <w14:solidFill>
                    <w14:schemeClr w14:val="tx1"/>
                  </w14:solidFill>
                </w14:textFill>
              </w:rPr>
              <w:t>（万元）</w:t>
            </w:r>
          </w:p>
        </w:tc>
        <w:tc>
          <w:tcPr>
            <w:tcW w:w="2407" w:type="dxa"/>
          </w:tcPr>
          <w:p w14:paraId="664B351D">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备注</w:t>
            </w:r>
          </w:p>
        </w:tc>
      </w:tr>
      <w:tr w14:paraId="69DA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14:paraId="1F52D157">
            <w:pPr>
              <w:snapToGrid w:val="0"/>
              <w:spacing w:line="400" w:lineRule="exact"/>
              <w:jc w:val="left"/>
              <w:rPr>
                <w:rFonts w:hint="eastAsia" w:ascii="宋体" w:hAnsi="宋体" w:eastAsia="宋体" w:cs="宋体"/>
                <w:color w:val="000000" w:themeColor="text1"/>
                <w:kern w:val="0"/>
                <w:sz w:val="28"/>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0"/>
                <w:sz w:val="28"/>
                <w:szCs w:val="28"/>
                <w:shd w:val="clear" w:color="auto" w:fill="auto"/>
                <w:lang w:val="en-US" w:eastAsia="zh-CN" w:bidi="ar-SA"/>
                <w14:textFill>
                  <w14:solidFill>
                    <w14:schemeClr w14:val="tx1"/>
                  </w14:solidFill>
                </w14:textFill>
              </w:rPr>
              <w:t>眼科手术显微（OPMI Lumera T）</w:t>
            </w:r>
          </w:p>
        </w:tc>
        <w:tc>
          <w:tcPr>
            <w:tcW w:w="2407" w:type="dxa"/>
          </w:tcPr>
          <w:p w14:paraId="492704D5">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c>
          <w:tcPr>
            <w:tcW w:w="2407" w:type="dxa"/>
          </w:tcPr>
          <w:p w14:paraId="34C53D7A">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c>
          <w:tcPr>
            <w:tcW w:w="2407" w:type="dxa"/>
          </w:tcPr>
          <w:p w14:paraId="56F00D89">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r>
      <w:tr w14:paraId="1169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14:paraId="7B5F740C">
            <w:pPr>
              <w:snapToGrid w:val="0"/>
              <w:spacing w:line="400" w:lineRule="exact"/>
              <w:jc w:val="left"/>
              <w:rPr>
                <w:rFonts w:hint="eastAsia" w:ascii="宋体" w:hAnsi="宋体" w:eastAsia="宋体" w:cs="宋体"/>
                <w:color w:val="000000" w:themeColor="text1"/>
                <w:kern w:val="0"/>
                <w:sz w:val="28"/>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0"/>
                <w:sz w:val="28"/>
                <w:szCs w:val="28"/>
                <w:shd w:val="clear" w:color="auto" w:fill="auto"/>
                <w:lang w:val="en-US" w:eastAsia="zh-CN" w:bidi="ar-SA"/>
                <w14:textFill>
                  <w14:solidFill>
                    <w14:schemeClr w14:val="tx1"/>
                  </w14:solidFill>
                </w14:textFill>
              </w:rPr>
              <w:t>视野分析仪（HFA3830）</w:t>
            </w:r>
          </w:p>
        </w:tc>
        <w:tc>
          <w:tcPr>
            <w:tcW w:w="2407" w:type="dxa"/>
          </w:tcPr>
          <w:p w14:paraId="0BB7C13E">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c>
          <w:tcPr>
            <w:tcW w:w="2407" w:type="dxa"/>
          </w:tcPr>
          <w:p w14:paraId="38F04549">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c>
          <w:tcPr>
            <w:tcW w:w="2407" w:type="dxa"/>
          </w:tcPr>
          <w:p w14:paraId="21BA20E7">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r>
      <w:tr w14:paraId="0A83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14:paraId="5F250F56">
            <w:pPr>
              <w:snapToGrid w:val="0"/>
              <w:spacing w:line="400" w:lineRule="exact"/>
              <w:jc w:val="left"/>
              <w:rPr>
                <w:rFonts w:hint="eastAsia" w:ascii="宋体" w:hAnsi="宋体" w:eastAsia="宋体" w:cs="宋体"/>
                <w:color w:val="000000" w:themeColor="text1"/>
                <w:kern w:val="0"/>
                <w:sz w:val="28"/>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0"/>
                <w:sz w:val="28"/>
                <w:szCs w:val="28"/>
                <w:shd w:val="clear" w:color="auto" w:fill="auto"/>
                <w:lang w:val="en-US" w:eastAsia="zh-CN" w:bidi="ar-SA"/>
                <w14:textFill>
                  <w14:solidFill>
                    <w14:schemeClr w14:val="tx1"/>
                  </w14:solidFill>
                </w14:textFill>
              </w:rPr>
              <w:t>眼底成像系统（Resight700）</w:t>
            </w:r>
          </w:p>
        </w:tc>
        <w:tc>
          <w:tcPr>
            <w:tcW w:w="2407" w:type="dxa"/>
          </w:tcPr>
          <w:p w14:paraId="656FB3BF">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c>
          <w:tcPr>
            <w:tcW w:w="2407" w:type="dxa"/>
          </w:tcPr>
          <w:p w14:paraId="6760D82F">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c>
          <w:tcPr>
            <w:tcW w:w="2407" w:type="dxa"/>
          </w:tcPr>
          <w:p w14:paraId="00C1DBD6">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r>
      <w:tr w14:paraId="2199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4814" w:type="dxa"/>
            <w:gridSpan w:val="2"/>
          </w:tcPr>
          <w:p w14:paraId="0F4F4559">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cs="宋体"/>
                <w:color w:val="000000" w:themeColor="text1"/>
                <w:sz w:val="28"/>
                <w:szCs w:val="28"/>
                <w:shd w:val="clear" w:color="auto" w:fill="auto"/>
                <w:lang w:val="en-US" w:eastAsia="zh-CN"/>
                <w14:textFill>
                  <w14:solidFill>
                    <w14:schemeClr w14:val="tx1"/>
                  </w14:solidFill>
                </w14:textFill>
              </w:rPr>
              <w:t>总计：</w:t>
            </w:r>
          </w:p>
        </w:tc>
        <w:tc>
          <w:tcPr>
            <w:tcW w:w="4814" w:type="dxa"/>
            <w:gridSpan w:val="2"/>
          </w:tcPr>
          <w:p w14:paraId="618182AE">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cs="宋体"/>
                <w:color w:val="000000" w:themeColor="text1"/>
                <w:sz w:val="28"/>
                <w:szCs w:val="28"/>
                <w:shd w:val="clear" w:color="auto" w:fill="auto"/>
                <w:lang w:val="en-US" w:eastAsia="zh-CN"/>
                <w14:textFill>
                  <w14:solidFill>
                    <w14:schemeClr w14:val="tx1"/>
                  </w14:solidFill>
                </w14:textFill>
              </w:rPr>
              <w:t xml:space="preserve">                         （万元）</w:t>
            </w:r>
          </w:p>
        </w:tc>
      </w:tr>
    </w:tbl>
    <w:p w14:paraId="5A0625A8">
      <w:pPr>
        <w:pStyle w:val="269"/>
        <w:spacing w:line="560" w:lineRule="exact"/>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注1.本次报价须为人民币报价，包括完成本项目所需的：维保费、运输费（含装卸费）、保险费、安装费、调试费、售后服务费、税费、培训费与其他施工单位的配合费等货到医院指定地点的所有费用。因成交供应商自身原因造成漏报、少报皆由其自行承担责任，医院不再补偿。</w:t>
      </w:r>
    </w:p>
    <w:p w14:paraId="30FD6032">
      <w:pPr>
        <w:rPr>
          <w:rFonts w:hint="eastAsia" w:ascii="宋体" w:hAnsi="宋体" w:eastAsia="宋体" w:cs="宋体"/>
          <w:b/>
          <w:color w:val="000000" w:themeColor="text1"/>
          <w:shd w:val="clear" w:color="auto" w:fill="auto"/>
          <w14:textFill>
            <w14:solidFill>
              <w14:schemeClr w14:val="tx1"/>
            </w14:solidFill>
          </w14:textFill>
        </w:rPr>
      </w:pPr>
    </w:p>
    <w:p w14:paraId="1C77E34C">
      <w:pPr>
        <w:rPr>
          <w:rFonts w:hint="eastAsia" w:ascii="宋体" w:hAnsi="宋体" w:eastAsia="宋体" w:cs="宋体"/>
          <w:b/>
          <w:color w:val="000000" w:themeColor="text1"/>
          <w:shd w:val="clear" w:color="auto" w:fill="auto"/>
          <w14:textFill>
            <w14:solidFill>
              <w14:schemeClr w14:val="tx1"/>
            </w14:solidFill>
          </w14:textFill>
        </w:rPr>
      </w:pPr>
    </w:p>
    <w:p w14:paraId="3E36AD27">
      <w:pPr>
        <w:rPr>
          <w:rFonts w:hint="eastAsia" w:ascii="宋体" w:hAnsi="宋体" w:eastAsia="宋体" w:cs="宋体"/>
          <w:b/>
          <w:color w:val="000000" w:themeColor="text1"/>
          <w:shd w:val="clear" w:color="auto" w:fill="auto"/>
          <w14:textFill>
            <w14:solidFill>
              <w14:schemeClr w14:val="tx1"/>
            </w14:solidFill>
          </w14:textFill>
        </w:rPr>
      </w:pPr>
    </w:p>
    <w:p w14:paraId="7A4DBBA1">
      <w:pPr>
        <w:rPr>
          <w:rFonts w:hint="eastAsia" w:ascii="宋体" w:hAnsi="宋体" w:eastAsia="宋体" w:cs="宋体"/>
          <w:b/>
          <w:color w:val="000000" w:themeColor="text1"/>
          <w:shd w:val="clear" w:color="auto" w:fill="auto"/>
          <w14:textFill>
            <w14:solidFill>
              <w14:schemeClr w14:val="tx1"/>
            </w14:solidFill>
          </w14:textFill>
        </w:rPr>
      </w:pPr>
    </w:p>
    <w:p w14:paraId="1F801463">
      <w:pPr>
        <w:rPr>
          <w:rFonts w:hint="eastAsia" w:ascii="宋体" w:hAnsi="宋体" w:eastAsia="宋体" w:cs="宋体"/>
          <w:b/>
          <w:color w:val="000000" w:themeColor="text1"/>
          <w:shd w:val="clear" w:color="auto" w:fill="auto"/>
          <w14:textFill>
            <w14:solidFill>
              <w14:schemeClr w14:val="tx1"/>
            </w14:solidFill>
          </w14:textFill>
        </w:rPr>
      </w:pPr>
    </w:p>
    <w:p w14:paraId="2B3101E0">
      <w:pPr>
        <w:rPr>
          <w:rFonts w:hint="eastAsia" w:ascii="宋体" w:hAnsi="宋体" w:eastAsia="宋体" w:cs="宋体"/>
          <w:b/>
          <w:color w:val="000000" w:themeColor="text1"/>
          <w:shd w:val="clear" w:color="auto" w:fill="auto"/>
          <w14:textFill>
            <w14:solidFill>
              <w14:schemeClr w14:val="tx1"/>
            </w14:solidFill>
          </w14:textFill>
        </w:rPr>
      </w:pPr>
    </w:p>
    <w:p w14:paraId="7452FC15">
      <w:pPr>
        <w:rPr>
          <w:rFonts w:hint="eastAsia" w:ascii="宋体" w:hAnsi="宋体" w:eastAsia="宋体" w:cs="宋体"/>
          <w:b/>
          <w:color w:val="000000" w:themeColor="text1"/>
          <w:shd w:val="clear" w:color="auto" w:fill="auto"/>
          <w14:textFill>
            <w14:solidFill>
              <w14:schemeClr w14:val="tx1"/>
            </w14:solidFill>
          </w14:textFill>
        </w:rPr>
      </w:pPr>
    </w:p>
    <w:p w14:paraId="7B0857CC">
      <w:pPr>
        <w:rPr>
          <w:rFonts w:hint="eastAsia" w:ascii="宋体" w:hAnsi="宋体" w:eastAsia="宋体" w:cs="宋体"/>
          <w:b/>
          <w:color w:val="000000" w:themeColor="text1"/>
          <w:shd w:val="clear" w:color="auto" w:fill="auto"/>
          <w14:textFill>
            <w14:solidFill>
              <w14:schemeClr w14:val="tx1"/>
            </w14:solidFill>
          </w14:textFill>
        </w:rPr>
      </w:pPr>
    </w:p>
    <w:p w14:paraId="0ADC6EFC">
      <w:pPr>
        <w:rPr>
          <w:rFonts w:hint="eastAsia" w:ascii="宋体" w:hAnsi="宋体" w:eastAsia="宋体" w:cs="宋体"/>
          <w:b/>
          <w:color w:val="000000" w:themeColor="text1"/>
          <w:shd w:val="clear" w:color="auto" w:fill="auto"/>
          <w14:textFill>
            <w14:solidFill>
              <w14:schemeClr w14:val="tx1"/>
            </w14:solidFill>
          </w14:textFill>
        </w:rPr>
      </w:pPr>
    </w:p>
    <w:p w14:paraId="7BCEAC6C">
      <w:pPr>
        <w:pStyle w:val="2"/>
        <w:rPr>
          <w:rFonts w:hint="eastAsia" w:ascii="宋体" w:hAnsi="宋体" w:eastAsia="宋体" w:cs="宋体"/>
          <w:b/>
          <w:color w:val="000000" w:themeColor="text1"/>
          <w:shd w:val="clear" w:color="auto" w:fill="auto"/>
          <w14:textFill>
            <w14:solidFill>
              <w14:schemeClr w14:val="tx1"/>
            </w14:solidFill>
          </w14:textFill>
        </w:rPr>
      </w:pPr>
    </w:p>
    <w:p w14:paraId="7B2FA69C">
      <w:pPr>
        <w:rPr>
          <w:rFonts w:hint="eastAsia" w:ascii="宋体" w:hAnsi="宋体" w:eastAsia="宋体" w:cs="宋体"/>
          <w:b/>
          <w:color w:val="000000" w:themeColor="text1"/>
          <w:shd w:val="clear" w:color="auto" w:fill="auto"/>
          <w14:textFill>
            <w14:solidFill>
              <w14:schemeClr w14:val="tx1"/>
            </w14:solidFill>
          </w14:textFill>
        </w:rPr>
      </w:pPr>
    </w:p>
    <w:p w14:paraId="64707B82">
      <w:pPr>
        <w:pStyle w:val="2"/>
        <w:rPr>
          <w:rFonts w:hint="eastAsia" w:ascii="宋体" w:hAnsi="宋体" w:eastAsia="宋体" w:cs="宋体"/>
          <w:b/>
          <w:color w:val="000000" w:themeColor="text1"/>
          <w:shd w:val="clear" w:color="auto" w:fill="auto"/>
          <w14:textFill>
            <w14:solidFill>
              <w14:schemeClr w14:val="tx1"/>
            </w14:solidFill>
          </w14:textFill>
        </w:rPr>
      </w:pPr>
    </w:p>
    <w:p w14:paraId="682DA82B">
      <w:pPr>
        <w:rPr>
          <w:rFonts w:hint="eastAsia" w:ascii="宋体" w:hAnsi="宋体" w:eastAsia="宋体" w:cs="宋体"/>
          <w:b/>
          <w:color w:val="000000" w:themeColor="text1"/>
          <w:shd w:val="clear" w:color="auto" w:fill="auto"/>
          <w14:textFill>
            <w14:solidFill>
              <w14:schemeClr w14:val="tx1"/>
            </w14:solidFill>
          </w14:textFill>
        </w:rPr>
      </w:pPr>
    </w:p>
    <w:p w14:paraId="5D927E5D">
      <w:pPr>
        <w:pStyle w:val="2"/>
        <w:rPr>
          <w:rFonts w:hint="eastAsia" w:ascii="宋体" w:hAnsi="宋体" w:eastAsia="宋体" w:cs="宋体"/>
          <w:b/>
          <w:color w:val="000000" w:themeColor="text1"/>
          <w:shd w:val="clear" w:color="auto" w:fill="auto"/>
          <w14:textFill>
            <w14:solidFill>
              <w14:schemeClr w14:val="tx1"/>
            </w14:solidFill>
          </w14:textFill>
        </w:rPr>
      </w:pPr>
    </w:p>
    <w:p w14:paraId="4C008E0D">
      <w:pPr>
        <w:rPr>
          <w:rFonts w:hint="eastAsia" w:ascii="宋体" w:hAnsi="宋体" w:eastAsia="宋体" w:cs="宋体"/>
          <w:b/>
          <w:color w:val="000000" w:themeColor="text1"/>
          <w:shd w:val="clear" w:color="auto" w:fill="auto"/>
          <w14:textFill>
            <w14:solidFill>
              <w14:schemeClr w14:val="tx1"/>
            </w14:solidFill>
          </w14:textFill>
        </w:rPr>
      </w:pPr>
    </w:p>
    <w:p w14:paraId="6860BEE9">
      <w:pPr>
        <w:pStyle w:val="2"/>
        <w:rPr>
          <w:rFonts w:hint="eastAsia" w:ascii="宋体" w:hAnsi="宋体" w:eastAsia="宋体" w:cs="宋体"/>
          <w:b/>
          <w:color w:val="000000" w:themeColor="text1"/>
          <w:shd w:val="clear" w:color="auto" w:fill="auto"/>
          <w14:textFill>
            <w14:solidFill>
              <w14:schemeClr w14:val="tx1"/>
            </w14:solidFill>
          </w14:textFill>
        </w:rPr>
      </w:pPr>
    </w:p>
    <w:p w14:paraId="6D6AAE26">
      <w:pPr>
        <w:rPr>
          <w:rFonts w:hint="eastAsia" w:ascii="宋体" w:hAnsi="宋体" w:eastAsia="宋体" w:cs="宋体"/>
          <w:b/>
          <w:color w:val="000000" w:themeColor="text1"/>
          <w:shd w:val="clear" w:color="auto" w:fill="auto"/>
          <w14:textFill>
            <w14:solidFill>
              <w14:schemeClr w14:val="tx1"/>
            </w14:solidFill>
          </w14:textFill>
        </w:rPr>
      </w:pPr>
    </w:p>
    <w:p w14:paraId="16C54CB1">
      <w:pPr>
        <w:pStyle w:val="2"/>
        <w:rPr>
          <w:rFonts w:hint="eastAsia" w:ascii="宋体" w:hAnsi="宋体" w:eastAsia="宋体" w:cs="宋体"/>
          <w:b/>
          <w:color w:val="000000" w:themeColor="text1"/>
          <w:shd w:val="clear" w:color="auto" w:fill="auto"/>
          <w14:textFill>
            <w14:solidFill>
              <w14:schemeClr w14:val="tx1"/>
            </w14:solidFill>
          </w14:textFill>
        </w:rPr>
      </w:pPr>
    </w:p>
    <w:p w14:paraId="4807EB8D">
      <w:pPr>
        <w:rPr>
          <w:rFonts w:hint="eastAsia" w:ascii="宋体" w:hAnsi="宋体" w:eastAsia="宋体" w:cs="宋体"/>
          <w:b/>
          <w:color w:val="000000" w:themeColor="text1"/>
          <w:shd w:val="clear" w:color="auto" w:fill="auto"/>
          <w14:textFill>
            <w14:solidFill>
              <w14:schemeClr w14:val="tx1"/>
            </w14:solidFill>
          </w14:textFill>
        </w:rPr>
      </w:pPr>
    </w:p>
    <w:p w14:paraId="64A9D0C9">
      <w:pPr>
        <w:pStyle w:val="2"/>
        <w:rPr>
          <w:rFonts w:hint="eastAsia" w:ascii="宋体" w:hAnsi="宋体" w:eastAsia="宋体" w:cs="宋体"/>
          <w:b/>
          <w:color w:val="000000" w:themeColor="text1"/>
          <w:shd w:val="clear" w:color="auto" w:fill="auto"/>
          <w14:textFill>
            <w14:solidFill>
              <w14:schemeClr w14:val="tx1"/>
            </w14:solidFill>
          </w14:textFill>
        </w:rPr>
      </w:pPr>
    </w:p>
    <w:p w14:paraId="778C61E0">
      <w:pPr>
        <w:rPr>
          <w:rFonts w:hint="eastAsia" w:ascii="宋体" w:hAnsi="宋体" w:eastAsia="宋体" w:cs="宋体"/>
          <w:b/>
          <w:color w:val="000000" w:themeColor="text1"/>
          <w:shd w:val="clear" w:color="auto" w:fill="auto"/>
          <w14:textFill>
            <w14:solidFill>
              <w14:schemeClr w14:val="tx1"/>
            </w14:solidFill>
          </w14:textFill>
        </w:rPr>
      </w:pPr>
    </w:p>
    <w:p w14:paraId="18747041">
      <w:pPr>
        <w:pStyle w:val="2"/>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485108798"/>
      <w:bookmarkStart w:id="149" w:name="_Toc313008358"/>
      <w:bookmarkStart w:id="150" w:name="_Toc480979020"/>
      <w:bookmarkStart w:id="151" w:name="_Toc342913421"/>
      <w:bookmarkStart w:id="152" w:name="_Toc313888362"/>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2A862607">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5C8C1F10">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888363"/>
      <w:bookmarkStart w:id="155" w:name="_Toc313008359"/>
      <w:bookmarkStart w:id="156"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4"/>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4"/>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jc w:val="both"/>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0F00F113-061C-48DE-BBEE-F50BDBE12C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655B8"/>
    <w:rsid w:val="037759DB"/>
    <w:rsid w:val="03BB3ADF"/>
    <w:rsid w:val="03C2134C"/>
    <w:rsid w:val="044364B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D7F82"/>
    <w:rsid w:val="0ACF458A"/>
    <w:rsid w:val="0B6515A1"/>
    <w:rsid w:val="0B6F68C5"/>
    <w:rsid w:val="0B756C9E"/>
    <w:rsid w:val="0BAE21B6"/>
    <w:rsid w:val="0BDC31C7"/>
    <w:rsid w:val="0BE1258C"/>
    <w:rsid w:val="0BE64970"/>
    <w:rsid w:val="0C033E70"/>
    <w:rsid w:val="0C3152C1"/>
    <w:rsid w:val="0C481EEF"/>
    <w:rsid w:val="0C931BB2"/>
    <w:rsid w:val="0C975B64"/>
    <w:rsid w:val="0C9D3992"/>
    <w:rsid w:val="0CA63E0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1014334F"/>
    <w:rsid w:val="10246EEB"/>
    <w:rsid w:val="103D00B3"/>
    <w:rsid w:val="10413B50"/>
    <w:rsid w:val="104D689B"/>
    <w:rsid w:val="108250DC"/>
    <w:rsid w:val="109D57E0"/>
    <w:rsid w:val="10BF5E9B"/>
    <w:rsid w:val="111523FC"/>
    <w:rsid w:val="11782A26"/>
    <w:rsid w:val="13141499"/>
    <w:rsid w:val="131D034D"/>
    <w:rsid w:val="134E0964"/>
    <w:rsid w:val="13653AA2"/>
    <w:rsid w:val="13D52C1B"/>
    <w:rsid w:val="13F41DC8"/>
    <w:rsid w:val="14942891"/>
    <w:rsid w:val="14B95EDB"/>
    <w:rsid w:val="14C6168E"/>
    <w:rsid w:val="14C6556D"/>
    <w:rsid w:val="1554725E"/>
    <w:rsid w:val="15604521"/>
    <w:rsid w:val="156125ED"/>
    <w:rsid w:val="158D32E0"/>
    <w:rsid w:val="15B67E48"/>
    <w:rsid w:val="17E52B34"/>
    <w:rsid w:val="18130842"/>
    <w:rsid w:val="18465822"/>
    <w:rsid w:val="18675712"/>
    <w:rsid w:val="18E50010"/>
    <w:rsid w:val="18F71640"/>
    <w:rsid w:val="19394057"/>
    <w:rsid w:val="19B7492C"/>
    <w:rsid w:val="1A511E59"/>
    <w:rsid w:val="1A705757"/>
    <w:rsid w:val="1B1D5FE3"/>
    <w:rsid w:val="1B484046"/>
    <w:rsid w:val="1B4A5E5B"/>
    <w:rsid w:val="1B925650"/>
    <w:rsid w:val="1C0025BA"/>
    <w:rsid w:val="1C66752D"/>
    <w:rsid w:val="1C6945DA"/>
    <w:rsid w:val="1CAC301B"/>
    <w:rsid w:val="1CED540D"/>
    <w:rsid w:val="1CF33EC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A52BC2"/>
    <w:rsid w:val="20FB0BC7"/>
    <w:rsid w:val="2114239C"/>
    <w:rsid w:val="216435EB"/>
    <w:rsid w:val="21C45BE8"/>
    <w:rsid w:val="21F678C9"/>
    <w:rsid w:val="21F94F0D"/>
    <w:rsid w:val="224F1BA5"/>
    <w:rsid w:val="2256246B"/>
    <w:rsid w:val="2260653C"/>
    <w:rsid w:val="22EF7055"/>
    <w:rsid w:val="231132FF"/>
    <w:rsid w:val="23743B1F"/>
    <w:rsid w:val="240C0392"/>
    <w:rsid w:val="24320E91"/>
    <w:rsid w:val="24514D5A"/>
    <w:rsid w:val="24AB13E3"/>
    <w:rsid w:val="254D6667"/>
    <w:rsid w:val="255A3D01"/>
    <w:rsid w:val="25B67319"/>
    <w:rsid w:val="25B7688A"/>
    <w:rsid w:val="25B91E1A"/>
    <w:rsid w:val="26380176"/>
    <w:rsid w:val="26A440C8"/>
    <w:rsid w:val="26FE2E6F"/>
    <w:rsid w:val="271E4A07"/>
    <w:rsid w:val="275D539C"/>
    <w:rsid w:val="27B41749"/>
    <w:rsid w:val="27BE30B5"/>
    <w:rsid w:val="281C4C20"/>
    <w:rsid w:val="282105EF"/>
    <w:rsid w:val="282D107F"/>
    <w:rsid w:val="28377F6C"/>
    <w:rsid w:val="28580457"/>
    <w:rsid w:val="287535CD"/>
    <w:rsid w:val="28CD4235"/>
    <w:rsid w:val="28D01566"/>
    <w:rsid w:val="28E31299"/>
    <w:rsid w:val="29275DDE"/>
    <w:rsid w:val="293D6BFB"/>
    <w:rsid w:val="29430470"/>
    <w:rsid w:val="29A81CF0"/>
    <w:rsid w:val="2A0812C8"/>
    <w:rsid w:val="2B3D6767"/>
    <w:rsid w:val="2B57565F"/>
    <w:rsid w:val="2BBD2276"/>
    <w:rsid w:val="2C812A23"/>
    <w:rsid w:val="2CDF621C"/>
    <w:rsid w:val="2CF2794B"/>
    <w:rsid w:val="2D9073ED"/>
    <w:rsid w:val="2E4A05E4"/>
    <w:rsid w:val="2F1F1F02"/>
    <w:rsid w:val="2F2348BD"/>
    <w:rsid w:val="2F6F1AD9"/>
    <w:rsid w:val="2F831DB2"/>
    <w:rsid w:val="2F943FCB"/>
    <w:rsid w:val="2FD06C0B"/>
    <w:rsid w:val="30381B81"/>
    <w:rsid w:val="303A6065"/>
    <w:rsid w:val="309D08C8"/>
    <w:rsid w:val="30A44277"/>
    <w:rsid w:val="30B15F03"/>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834056"/>
    <w:rsid w:val="369E4A52"/>
    <w:rsid w:val="36A73740"/>
    <w:rsid w:val="36EC0B56"/>
    <w:rsid w:val="37542B62"/>
    <w:rsid w:val="375A306E"/>
    <w:rsid w:val="37D83F93"/>
    <w:rsid w:val="381C19EE"/>
    <w:rsid w:val="382D2437"/>
    <w:rsid w:val="38442273"/>
    <w:rsid w:val="385D0EF3"/>
    <w:rsid w:val="389536A9"/>
    <w:rsid w:val="38C010B0"/>
    <w:rsid w:val="38E86458"/>
    <w:rsid w:val="38EB2B69"/>
    <w:rsid w:val="391C67AE"/>
    <w:rsid w:val="39486CC3"/>
    <w:rsid w:val="39A3534F"/>
    <w:rsid w:val="39D65068"/>
    <w:rsid w:val="3AA25DEC"/>
    <w:rsid w:val="3B30241A"/>
    <w:rsid w:val="3B5B756F"/>
    <w:rsid w:val="3B870893"/>
    <w:rsid w:val="3C4F6F1A"/>
    <w:rsid w:val="3D2F290C"/>
    <w:rsid w:val="3D4C1E7B"/>
    <w:rsid w:val="3DC21444"/>
    <w:rsid w:val="3DD60FEB"/>
    <w:rsid w:val="3E263CAA"/>
    <w:rsid w:val="3E491747"/>
    <w:rsid w:val="3E6B192F"/>
    <w:rsid w:val="3EA55BAC"/>
    <w:rsid w:val="3EE10B3D"/>
    <w:rsid w:val="3EEF12C4"/>
    <w:rsid w:val="3F150346"/>
    <w:rsid w:val="3F4757B8"/>
    <w:rsid w:val="3F591E5E"/>
    <w:rsid w:val="3F5A6C6F"/>
    <w:rsid w:val="3FC45529"/>
    <w:rsid w:val="3FD041C7"/>
    <w:rsid w:val="3FE1690B"/>
    <w:rsid w:val="40113C23"/>
    <w:rsid w:val="403F2E01"/>
    <w:rsid w:val="404A2E64"/>
    <w:rsid w:val="40AB0EC9"/>
    <w:rsid w:val="40C2612C"/>
    <w:rsid w:val="40E52488"/>
    <w:rsid w:val="41007A8F"/>
    <w:rsid w:val="415869FC"/>
    <w:rsid w:val="41670862"/>
    <w:rsid w:val="41AB14E8"/>
    <w:rsid w:val="41D4500D"/>
    <w:rsid w:val="41D67141"/>
    <w:rsid w:val="41F534A6"/>
    <w:rsid w:val="41F5463E"/>
    <w:rsid w:val="42030507"/>
    <w:rsid w:val="420A020E"/>
    <w:rsid w:val="420A1906"/>
    <w:rsid w:val="423F7EC6"/>
    <w:rsid w:val="428345E9"/>
    <w:rsid w:val="429D5EC0"/>
    <w:rsid w:val="42A40896"/>
    <w:rsid w:val="42C45C68"/>
    <w:rsid w:val="437470EA"/>
    <w:rsid w:val="437C12A7"/>
    <w:rsid w:val="43A803E4"/>
    <w:rsid w:val="43F81C45"/>
    <w:rsid w:val="444565A3"/>
    <w:rsid w:val="447A6AFE"/>
    <w:rsid w:val="45AC0F39"/>
    <w:rsid w:val="461B60BF"/>
    <w:rsid w:val="46C96141"/>
    <w:rsid w:val="46D06FAA"/>
    <w:rsid w:val="475461C4"/>
    <w:rsid w:val="477A0BC3"/>
    <w:rsid w:val="47D41743"/>
    <w:rsid w:val="47F3755A"/>
    <w:rsid w:val="482B71EF"/>
    <w:rsid w:val="487D04F4"/>
    <w:rsid w:val="48A31EA1"/>
    <w:rsid w:val="48AA6AB7"/>
    <w:rsid w:val="48FA020D"/>
    <w:rsid w:val="492C6FBB"/>
    <w:rsid w:val="498A69D6"/>
    <w:rsid w:val="499D1F70"/>
    <w:rsid w:val="4A1025A8"/>
    <w:rsid w:val="4A832C17"/>
    <w:rsid w:val="4A9100D0"/>
    <w:rsid w:val="4AC26B09"/>
    <w:rsid w:val="4AD41B9B"/>
    <w:rsid w:val="4AED1C9D"/>
    <w:rsid w:val="4B597B89"/>
    <w:rsid w:val="4BE8259F"/>
    <w:rsid w:val="4C4E289A"/>
    <w:rsid w:val="4DBE5CAD"/>
    <w:rsid w:val="4DD75684"/>
    <w:rsid w:val="4E0D2518"/>
    <w:rsid w:val="4E231003"/>
    <w:rsid w:val="4E3873B7"/>
    <w:rsid w:val="4EF70D4B"/>
    <w:rsid w:val="4F2E0C11"/>
    <w:rsid w:val="4F79418A"/>
    <w:rsid w:val="50A2078E"/>
    <w:rsid w:val="50A353E4"/>
    <w:rsid w:val="50B9275C"/>
    <w:rsid w:val="50F72CC9"/>
    <w:rsid w:val="50FE286B"/>
    <w:rsid w:val="514069D9"/>
    <w:rsid w:val="51932220"/>
    <w:rsid w:val="51BE25F1"/>
    <w:rsid w:val="51D77CAA"/>
    <w:rsid w:val="52173BDE"/>
    <w:rsid w:val="5228244C"/>
    <w:rsid w:val="529620AE"/>
    <w:rsid w:val="52ED493F"/>
    <w:rsid w:val="531F0FF7"/>
    <w:rsid w:val="53B56AAB"/>
    <w:rsid w:val="53E03D6D"/>
    <w:rsid w:val="53E144A4"/>
    <w:rsid w:val="54333CD5"/>
    <w:rsid w:val="546107D9"/>
    <w:rsid w:val="546E506B"/>
    <w:rsid w:val="549E2395"/>
    <w:rsid w:val="55297C80"/>
    <w:rsid w:val="5531155E"/>
    <w:rsid w:val="56431446"/>
    <w:rsid w:val="565C7750"/>
    <w:rsid w:val="56644F18"/>
    <w:rsid w:val="56A12956"/>
    <w:rsid w:val="56E474BA"/>
    <w:rsid w:val="56FF2E93"/>
    <w:rsid w:val="58035E1A"/>
    <w:rsid w:val="586259DC"/>
    <w:rsid w:val="58625BCC"/>
    <w:rsid w:val="58B574EB"/>
    <w:rsid w:val="58FC1D80"/>
    <w:rsid w:val="593509FB"/>
    <w:rsid w:val="59893E96"/>
    <w:rsid w:val="599D432B"/>
    <w:rsid w:val="59E56370"/>
    <w:rsid w:val="5AF23BE2"/>
    <w:rsid w:val="5B1E275D"/>
    <w:rsid w:val="5B3E21DC"/>
    <w:rsid w:val="5B4A5024"/>
    <w:rsid w:val="5BBD57F6"/>
    <w:rsid w:val="5BC414F3"/>
    <w:rsid w:val="5C953453"/>
    <w:rsid w:val="5CA938AF"/>
    <w:rsid w:val="5CAE15E3"/>
    <w:rsid w:val="5D290C69"/>
    <w:rsid w:val="5E254884"/>
    <w:rsid w:val="5E36741C"/>
    <w:rsid w:val="5E4A3B31"/>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9436E3"/>
    <w:rsid w:val="6445282D"/>
    <w:rsid w:val="645A13DB"/>
    <w:rsid w:val="648C045C"/>
    <w:rsid w:val="651B17E0"/>
    <w:rsid w:val="656A40F1"/>
    <w:rsid w:val="658C5E23"/>
    <w:rsid w:val="65F9363E"/>
    <w:rsid w:val="667E25AF"/>
    <w:rsid w:val="66815672"/>
    <w:rsid w:val="669E7442"/>
    <w:rsid w:val="67152E14"/>
    <w:rsid w:val="67711758"/>
    <w:rsid w:val="67770DF7"/>
    <w:rsid w:val="679C27B9"/>
    <w:rsid w:val="67CB3049"/>
    <w:rsid w:val="67FF2A16"/>
    <w:rsid w:val="682465CF"/>
    <w:rsid w:val="68696AE5"/>
    <w:rsid w:val="68810D23"/>
    <w:rsid w:val="6972525B"/>
    <w:rsid w:val="69C211FB"/>
    <w:rsid w:val="69FC5E8B"/>
    <w:rsid w:val="6A16113C"/>
    <w:rsid w:val="6AD14E1A"/>
    <w:rsid w:val="6B056872"/>
    <w:rsid w:val="6B1765A5"/>
    <w:rsid w:val="6B217424"/>
    <w:rsid w:val="6B28360F"/>
    <w:rsid w:val="6B9F4D55"/>
    <w:rsid w:val="6BAA3DD9"/>
    <w:rsid w:val="6C172D01"/>
    <w:rsid w:val="6C423AF6"/>
    <w:rsid w:val="6CC2767B"/>
    <w:rsid w:val="6D342244"/>
    <w:rsid w:val="6DAB4CCB"/>
    <w:rsid w:val="6DC70D5C"/>
    <w:rsid w:val="6DDA24A1"/>
    <w:rsid w:val="6E0E1C83"/>
    <w:rsid w:val="6E45126B"/>
    <w:rsid w:val="6F062BB9"/>
    <w:rsid w:val="6F185329"/>
    <w:rsid w:val="6F213E8F"/>
    <w:rsid w:val="709E05C3"/>
    <w:rsid w:val="70E64A50"/>
    <w:rsid w:val="70FF643D"/>
    <w:rsid w:val="71143D27"/>
    <w:rsid w:val="71231A63"/>
    <w:rsid w:val="714B6E37"/>
    <w:rsid w:val="71C72BEE"/>
    <w:rsid w:val="73614D85"/>
    <w:rsid w:val="7363682B"/>
    <w:rsid w:val="739465A0"/>
    <w:rsid w:val="73A82490"/>
    <w:rsid w:val="73B34AD5"/>
    <w:rsid w:val="73D42B6E"/>
    <w:rsid w:val="743B3E3F"/>
    <w:rsid w:val="74E41D61"/>
    <w:rsid w:val="765A00C6"/>
    <w:rsid w:val="76AF5F27"/>
    <w:rsid w:val="77452BA0"/>
    <w:rsid w:val="774923FD"/>
    <w:rsid w:val="777E28EC"/>
    <w:rsid w:val="77B52272"/>
    <w:rsid w:val="78120C80"/>
    <w:rsid w:val="783A1618"/>
    <w:rsid w:val="788222E3"/>
    <w:rsid w:val="78C655F6"/>
    <w:rsid w:val="7908485F"/>
    <w:rsid w:val="7936053E"/>
    <w:rsid w:val="793F0B2C"/>
    <w:rsid w:val="797D07AB"/>
    <w:rsid w:val="79AC25AE"/>
    <w:rsid w:val="7AAC0A0E"/>
    <w:rsid w:val="7B237CCD"/>
    <w:rsid w:val="7B306E47"/>
    <w:rsid w:val="7B8C6B3B"/>
    <w:rsid w:val="7BD77DB7"/>
    <w:rsid w:val="7C3F595C"/>
    <w:rsid w:val="7C683BAE"/>
    <w:rsid w:val="7CBD0742"/>
    <w:rsid w:val="7D7D55A3"/>
    <w:rsid w:val="7DE81FDD"/>
    <w:rsid w:val="7E3C60AD"/>
    <w:rsid w:val="7E4429B6"/>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24"/>
    <w:autoRedefine/>
    <w:qFormat/>
    <w:uiPriority w:val="0"/>
    <w:rPr>
      <w:rFonts w:ascii="仿宋_GB2312" w:hAnsi="Times New Roman" w:eastAsia="仿宋_GB2312" w:cs="Times New Roman"/>
      <w:sz w:val="32"/>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1"/>
    <w:autoRedefine/>
    <w:unhideWhenUsed/>
    <w:qFormat/>
    <w:uiPriority w:val="0"/>
    <w:pPr>
      <w:jc w:val="left"/>
    </w:pPr>
  </w:style>
  <w:style w:type="paragraph" w:styleId="21">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80"/>
    <w:autoRedefine/>
    <w:qFormat/>
    <w:uiPriority w:val="0"/>
    <w:rPr>
      <w:sz w:val="24"/>
    </w:rPr>
  </w:style>
  <w:style w:type="paragraph" w:styleId="56">
    <w:name w:val="Body Text First Indent"/>
    <w:basedOn w:val="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3"/>
    <w:autoRedefine/>
    <w:qFormat/>
    <w:uiPriority w:val="0"/>
    <w:rPr>
      <w:rFonts w:ascii="宋体" w:hAnsi="Times New Roman" w:eastAsia="宋体" w:cs="Times New Roman"/>
      <w:sz w:val="28"/>
      <w:szCs w:val="20"/>
    </w:rPr>
  </w:style>
  <w:style w:type="character" w:customStyle="1" w:styleId="70">
    <w:name w:val="标题 2 Char"/>
    <w:basedOn w:val="60"/>
    <w:link w:val="4"/>
    <w:autoRedefine/>
    <w:qFormat/>
    <w:uiPriority w:val="0"/>
    <w:rPr>
      <w:rFonts w:ascii="Arial" w:hAnsi="Arial" w:eastAsia="黑体" w:cs="Times New Roman"/>
      <w:b/>
      <w:sz w:val="32"/>
      <w:szCs w:val="20"/>
    </w:rPr>
  </w:style>
  <w:style w:type="character" w:customStyle="1" w:styleId="71">
    <w:name w:val="标题 3 Char"/>
    <w:basedOn w:val="60"/>
    <w:link w:val="5"/>
    <w:autoRedefine/>
    <w:qFormat/>
    <w:uiPriority w:val="0"/>
    <w:rPr>
      <w:rFonts w:ascii="Times New Roman" w:hAnsi="Times New Roman" w:eastAsia="宋体" w:cs="Times New Roman"/>
      <w:b/>
      <w:sz w:val="32"/>
      <w:szCs w:val="20"/>
    </w:rPr>
  </w:style>
  <w:style w:type="character" w:customStyle="1" w:styleId="72">
    <w:name w:val="标题 4 Char"/>
    <w:basedOn w:val="60"/>
    <w:link w:val="6"/>
    <w:autoRedefine/>
    <w:qFormat/>
    <w:uiPriority w:val="0"/>
    <w:rPr>
      <w:rFonts w:ascii="Arial" w:hAnsi="Arial" w:eastAsia="黑体" w:cs="Times New Roman"/>
      <w:b/>
      <w:sz w:val="28"/>
      <w:szCs w:val="20"/>
    </w:rPr>
  </w:style>
  <w:style w:type="character" w:customStyle="1" w:styleId="73">
    <w:name w:val="标题 5 Char"/>
    <w:basedOn w:val="60"/>
    <w:link w:val="7"/>
    <w:autoRedefine/>
    <w:qFormat/>
    <w:uiPriority w:val="0"/>
    <w:rPr>
      <w:rFonts w:ascii="Times New Roman" w:hAnsi="Times New Roman" w:eastAsia="宋体" w:cs="Times New Roman"/>
      <w:b/>
      <w:sz w:val="28"/>
      <w:szCs w:val="20"/>
    </w:rPr>
  </w:style>
  <w:style w:type="character" w:customStyle="1" w:styleId="74">
    <w:name w:val="标题 6 Char"/>
    <w:basedOn w:val="60"/>
    <w:link w:val="8"/>
    <w:autoRedefine/>
    <w:qFormat/>
    <w:uiPriority w:val="0"/>
    <w:rPr>
      <w:rFonts w:ascii="Arial" w:hAnsi="Arial" w:eastAsia="黑体" w:cs="Times New Roman"/>
      <w:b/>
      <w:sz w:val="24"/>
      <w:szCs w:val="20"/>
    </w:rPr>
  </w:style>
  <w:style w:type="character" w:customStyle="1" w:styleId="75">
    <w:name w:val="标题 7 Char"/>
    <w:basedOn w:val="60"/>
    <w:link w:val="9"/>
    <w:autoRedefine/>
    <w:qFormat/>
    <w:uiPriority w:val="0"/>
    <w:rPr>
      <w:rFonts w:ascii="Arial" w:hAnsi="Arial" w:eastAsia="黑体" w:cs="Times New Roman"/>
      <w:b/>
      <w:sz w:val="24"/>
      <w:szCs w:val="20"/>
    </w:rPr>
  </w:style>
  <w:style w:type="character" w:customStyle="1" w:styleId="76">
    <w:name w:val="标题 8 Char"/>
    <w:basedOn w:val="60"/>
    <w:link w:val="10"/>
    <w:autoRedefine/>
    <w:qFormat/>
    <w:uiPriority w:val="0"/>
    <w:rPr>
      <w:rFonts w:ascii="Arial" w:hAnsi="Arial" w:eastAsia="黑体" w:cs="Times New Roman"/>
      <w:b/>
      <w:sz w:val="24"/>
      <w:szCs w:val="20"/>
    </w:rPr>
  </w:style>
  <w:style w:type="character" w:customStyle="1" w:styleId="77">
    <w:name w:val="标题 9 Char"/>
    <w:basedOn w:val="60"/>
    <w:link w:val="11"/>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8"/>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1"/>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20"/>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6"/>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8"/>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6"/>
    <w:autoRedefine/>
    <w:qFormat/>
    <w:uiPriority w:val="0"/>
    <w:pPr>
      <w:ind w:firstLine="480" w:firstLineChars="200"/>
    </w:pPr>
  </w:style>
  <w:style w:type="paragraph" w:customStyle="1" w:styleId="238">
    <w:name w:val="可研正文"/>
    <w:basedOn w:val="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5"/>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6"/>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8"/>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6"/>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8124</Words>
  <Characters>8319</Characters>
  <Lines>182</Lines>
  <Paragraphs>51</Paragraphs>
  <TotalTime>1</TotalTime>
  <ScaleCrop>false</ScaleCrop>
  <LinksUpToDate>false</LinksUpToDate>
  <CharactersWithSpaces>8408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2025-04-01T06:29:05Z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