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1号楼中央空调约克螺杆式冷水机组压力容器定期检定服务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2"/>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C4201A8">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1号楼中央空调约克螺杆式冷水机组压力容器定期检定服务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317775175"/>
      <w:bookmarkStart w:id="8" w:name="_Toc485108767"/>
      <w:bookmarkStart w:id="9"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1号楼中央空调约克螺杆式冷水机组压力容器定期检定服务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3"/>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与项目预算：医院自筹，项目预算：23000元,超过预算视为无效比选。</w:t>
      </w:r>
    </w:p>
    <w:p w14:paraId="7AA96D60">
      <w:pPr>
        <w:pStyle w:val="23"/>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99FDC07">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、响应单位必须持有国家市场监督管理总局或重庆市市场监管部门颁发的《特种设备检验检测机构核准证》，核准项目需包含第二类压力容器定期检验（RD2、RD3），出具报告具有法律效力。</w:t>
      </w:r>
    </w:p>
    <w:p w14:paraId="54D434CB">
      <w:pPr>
        <w:pStyle w:val="4"/>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3"/>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w:t>
      </w:r>
      <w:bookmarkStart w:id="163" w:name="_GoBack"/>
      <w:bookmarkEnd w:id="163"/>
      <w:r>
        <w:rPr>
          <w:rFonts w:hint="eastAsia" w:ascii="宋体" w:hAnsi="宋体" w:eastAsia="宋体" w:cs="宋体"/>
          <w:b/>
          <w:bCs/>
          <w:color w:val="000000" w:themeColor="text1"/>
          <w:sz w:val="24"/>
          <w:szCs w:val="24"/>
          <w:shd w:val="clear" w:color="auto" w:fill="auto"/>
          <w14:textFill>
            <w14:solidFill>
              <w14:schemeClr w14:val="tx1"/>
            </w14:solidFill>
          </w14:textFill>
        </w:rPr>
        <w:t>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4"/>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0FCFCFA">
      <w:pPr>
        <w:pStyle w:val="3"/>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4"/>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pStyle w:val="51"/>
        <w:widowControl/>
        <w:numPr>
          <w:ilvl w:val="0"/>
          <w:numId w:val="0"/>
        </w:numPr>
        <w:spacing w:before="0" w:beforeAutospacing="0" w:after="0" w:afterAutospacing="0" w:line="460" w:lineRule="exact"/>
        <w:ind w:left="0" w:leftChars="0" w:firstLine="480" w:firstLineChars="200"/>
        <w:rPr>
          <w:rFonts w:hint="eastAsia" w:ascii="宋体" w:hAnsi="宋体" w:eastAsia="宋体" w:cs="宋体"/>
          <w:color w:val="FF0000"/>
          <w:kern w:val="2"/>
          <w:sz w:val="24"/>
          <w:szCs w:val="24"/>
          <w:shd w:val="clear" w:color="auto" w:fill="auto"/>
          <w:lang w:val="en-US" w:eastAsia="zh-CN" w:bidi="ar-SA"/>
        </w:rPr>
      </w:pPr>
      <w:r>
        <w:rPr>
          <w:rFonts w:hint="default" w:ascii="宋体" w:hAnsi="宋体" w:eastAsia="宋体" w:cs="宋体"/>
          <w:color w:val="FF0000"/>
          <w:kern w:val="2"/>
          <w:sz w:val="24"/>
          <w:szCs w:val="24"/>
          <w:shd w:val="clear" w:fill="auto"/>
          <w:lang w:val="en-US" w:eastAsia="zh-CN" w:bidi="ar-SA"/>
        </w:rPr>
        <w:t>1．</w:t>
      </w:r>
      <w:r>
        <w:rPr>
          <w:rFonts w:hint="eastAsia" w:ascii="宋体" w:hAnsi="宋体" w:eastAsia="宋体" w:cs="宋体"/>
          <w:color w:val="FF0000"/>
          <w:kern w:val="2"/>
          <w:sz w:val="24"/>
          <w:szCs w:val="24"/>
          <w:shd w:val="clear" w:color="auto" w:fill="auto"/>
          <w:lang w:val="en-US" w:eastAsia="zh-CN" w:bidi="ar-SA"/>
        </w:rPr>
        <w:t>本次招标为全包干性质，涵盖了为1号楼2台约克螺杆机组压力容器进行定期检定、特种设备使用登记证展期、获取特种设备使用证和恢复打磨处油漆和保温层所需的所有费用。费用包括但不限于货物费、服务费、人工费以及提供改造服务所需的设备购买（制造）费、车费、住宿费、餐饮费、材料费、保险费、代理费、税金等。所有费用均由中标单位负责承担。若因响应人自身原因导致费用漏报或少报，响应人自行承担相应责任，采购人不提供额外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8"/>
      <w:bookmarkStart w:id="34" w:name="OLE_LINK3"/>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403569780"/>
      <w:bookmarkStart w:id="38" w:name="_Toc342913393"/>
      <w:bookmarkStart w:id="39" w:name="_Toc102227319"/>
      <w:bookmarkStart w:id="40" w:name="_Toc18122"/>
      <w:bookmarkStart w:id="41"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816"/>
      <w:bookmarkStart w:id="48" w:name="_Toc403569782"/>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403569783"/>
      <w:bookmarkStart w:id="51" w:name="_Toc342913395"/>
      <w:bookmarkStart w:id="52" w:name="_Toc7135"/>
      <w:bookmarkStart w:id="53" w:name="_Toc102227321"/>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6381"/>
      <w:bookmarkStart w:id="60" w:name="_Toc403569785"/>
      <w:bookmarkStart w:id="61"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554E845">
      <w:pPr>
        <w:pStyle w:val="3"/>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BE99B04">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80" w:firstLineChars="200"/>
        <w:textAlignment w:val="auto"/>
        <w:rPr>
          <w:rFonts w:hint="eastAsia" w:ascii="宋体" w:hAnsi="宋体" w:eastAsia="宋体" w:cs="宋体"/>
          <w:color w:val="FF0000"/>
          <w:kern w:val="2"/>
          <w:sz w:val="24"/>
          <w:szCs w:val="24"/>
          <w:shd w:val="clear" w:color="auto" w:fill="auto"/>
          <w:lang w:val="en-US" w:eastAsia="zh-CN" w:bidi="ar-SA"/>
        </w:rPr>
      </w:pPr>
      <w:r>
        <w:rPr>
          <w:rFonts w:hint="default" w:ascii="宋体" w:hAnsi="宋体" w:eastAsia="宋体" w:cs="宋体"/>
          <w:color w:val="FF0000"/>
          <w:kern w:val="2"/>
          <w:sz w:val="24"/>
          <w:szCs w:val="24"/>
          <w:shd w:val="clear" w:fill="auto"/>
          <w:lang w:val="en-US" w:eastAsia="zh-CN" w:bidi="ar-SA"/>
        </w:rPr>
        <w:t>1.</w:t>
      </w:r>
      <w:r>
        <w:rPr>
          <w:rFonts w:hint="eastAsia" w:ascii="宋体" w:hAnsi="宋体" w:eastAsia="宋体" w:cs="宋体"/>
          <w:color w:val="FF0000"/>
          <w:kern w:val="2"/>
          <w:sz w:val="24"/>
          <w:szCs w:val="24"/>
          <w:shd w:val="clear" w:color="auto" w:fill="auto"/>
          <w:lang w:val="en-US" w:eastAsia="zh-CN" w:bidi="ar-SA"/>
        </w:rPr>
        <w:t>本项目的服务范围涵盖对萱花院区1号楼的中央空调系统中的两台约克螺杆式冷水机组（型号：YSFZFZS55CNE）进行特种设备检定。涉及的设备包括6个压力容器：冷凝器、蒸发器和油分离器。服务内容包括检定申报、压力容器检定、保温和防腐油漆恢复、直至获取市场监管部门所需的法定检验报告，并完成特种设备使用登记证的展期、取得“特种设 备使用证”为止。</w:t>
      </w:r>
    </w:p>
    <w:p w14:paraId="37C776EB">
      <w:pPr>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2.2台约克螺杆式冷水机组固定式压力容器明细见下表：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795"/>
        <w:gridCol w:w="1704"/>
        <w:gridCol w:w="3630"/>
        <w:gridCol w:w="543"/>
        <w:gridCol w:w="543"/>
        <w:gridCol w:w="1554"/>
        <w:gridCol w:w="543"/>
      </w:tblGrid>
      <w:tr w14:paraId="2D52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42" w:type="dxa"/>
            <w:vAlign w:val="center"/>
          </w:tcPr>
          <w:p w14:paraId="13CB45E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序号</w:t>
            </w:r>
          </w:p>
        </w:tc>
        <w:tc>
          <w:tcPr>
            <w:tcW w:w="795" w:type="dxa"/>
            <w:vAlign w:val="center"/>
          </w:tcPr>
          <w:p w14:paraId="3A78A7E6">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产品名称</w:t>
            </w:r>
          </w:p>
        </w:tc>
        <w:tc>
          <w:tcPr>
            <w:tcW w:w="1704" w:type="dxa"/>
            <w:vAlign w:val="center"/>
          </w:tcPr>
          <w:p w14:paraId="7217FBFE">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铭牌型号</w:t>
            </w:r>
          </w:p>
        </w:tc>
        <w:tc>
          <w:tcPr>
            <w:tcW w:w="3630" w:type="dxa"/>
            <w:vAlign w:val="center"/>
          </w:tcPr>
          <w:p w14:paraId="52ECC4B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注册代码</w:t>
            </w:r>
          </w:p>
        </w:tc>
        <w:tc>
          <w:tcPr>
            <w:tcW w:w="543" w:type="dxa"/>
            <w:vAlign w:val="center"/>
          </w:tcPr>
          <w:p w14:paraId="19DC2035">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数量</w:t>
            </w:r>
          </w:p>
        </w:tc>
        <w:tc>
          <w:tcPr>
            <w:tcW w:w="543" w:type="dxa"/>
            <w:vAlign w:val="center"/>
          </w:tcPr>
          <w:p w14:paraId="0C3AC19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单位</w:t>
            </w:r>
          </w:p>
        </w:tc>
        <w:tc>
          <w:tcPr>
            <w:tcW w:w="1554" w:type="dxa"/>
            <w:vAlign w:val="center"/>
          </w:tcPr>
          <w:p w14:paraId="1275F76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位置</w:t>
            </w:r>
          </w:p>
        </w:tc>
        <w:tc>
          <w:tcPr>
            <w:tcW w:w="543" w:type="dxa"/>
            <w:vAlign w:val="center"/>
          </w:tcPr>
          <w:p w14:paraId="290E5738">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备注</w:t>
            </w:r>
          </w:p>
        </w:tc>
      </w:tr>
      <w:tr w14:paraId="29B7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42" w:type="dxa"/>
            <w:vAlign w:val="center"/>
          </w:tcPr>
          <w:p w14:paraId="38F61F9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795" w:type="dxa"/>
            <w:vAlign w:val="center"/>
          </w:tcPr>
          <w:p w14:paraId="31049A51">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蒸发器</w:t>
            </w:r>
          </w:p>
        </w:tc>
        <w:tc>
          <w:tcPr>
            <w:tcW w:w="1704" w:type="dxa"/>
            <w:vAlign w:val="center"/>
          </w:tcPr>
          <w:p w14:paraId="1A99750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03PV3078、</w:t>
            </w:r>
          </w:p>
        </w:tc>
        <w:tc>
          <w:tcPr>
            <w:tcW w:w="3630" w:type="dxa"/>
            <w:vAlign w:val="center"/>
          </w:tcPr>
          <w:p w14:paraId="6B2D73F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21505001182022061794</w:t>
            </w:r>
          </w:p>
        </w:tc>
        <w:tc>
          <w:tcPr>
            <w:tcW w:w="543" w:type="dxa"/>
            <w:vAlign w:val="center"/>
          </w:tcPr>
          <w:p w14:paraId="3C2CADCA">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179128C8">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1554" w:type="dxa"/>
            <w:vMerge w:val="restart"/>
            <w:vAlign w:val="center"/>
          </w:tcPr>
          <w:p w14:paraId="078225AA">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1号楼负1楼空调机房</w:t>
            </w:r>
          </w:p>
        </w:tc>
        <w:tc>
          <w:tcPr>
            <w:tcW w:w="543" w:type="dxa"/>
            <w:vMerge w:val="restart"/>
            <w:vAlign w:val="center"/>
          </w:tcPr>
          <w:p w14:paraId="027A18A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安全阀已检验</w:t>
            </w:r>
          </w:p>
        </w:tc>
      </w:tr>
      <w:tr w14:paraId="38BA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42" w:type="dxa"/>
            <w:vAlign w:val="center"/>
          </w:tcPr>
          <w:p w14:paraId="597051A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w:t>
            </w:r>
          </w:p>
        </w:tc>
        <w:tc>
          <w:tcPr>
            <w:tcW w:w="795" w:type="dxa"/>
            <w:vAlign w:val="center"/>
          </w:tcPr>
          <w:p w14:paraId="18EF5E47">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蒸发器</w:t>
            </w:r>
          </w:p>
        </w:tc>
        <w:tc>
          <w:tcPr>
            <w:tcW w:w="1704" w:type="dxa"/>
            <w:vAlign w:val="center"/>
          </w:tcPr>
          <w:p w14:paraId="4EF9B23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03PV3084</w:t>
            </w:r>
          </w:p>
        </w:tc>
        <w:tc>
          <w:tcPr>
            <w:tcW w:w="3630" w:type="dxa"/>
            <w:vAlign w:val="center"/>
          </w:tcPr>
          <w:p w14:paraId="55248573">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21505001182022061793</w:t>
            </w:r>
          </w:p>
        </w:tc>
        <w:tc>
          <w:tcPr>
            <w:tcW w:w="543" w:type="dxa"/>
            <w:vAlign w:val="center"/>
          </w:tcPr>
          <w:p w14:paraId="367B6F9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55A0F8D0">
            <w:pPr>
              <w:pStyle w:val="2"/>
              <w:spacing w:line="460" w:lineRule="exact"/>
              <w:rPr>
                <w:rFonts w:hint="eastAsia" w:ascii="宋体" w:hAnsi="宋体" w:eastAsia="宋体" w:cs="宋体"/>
                <w:color w:val="FF0000"/>
                <w:sz w:val="20"/>
                <w:szCs w:val="20"/>
              </w:rPr>
            </w:pPr>
          </w:p>
        </w:tc>
        <w:tc>
          <w:tcPr>
            <w:tcW w:w="1554" w:type="dxa"/>
            <w:vMerge w:val="continue"/>
            <w:vAlign w:val="center"/>
          </w:tcPr>
          <w:p w14:paraId="47A9BAAE">
            <w:pPr>
              <w:pStyle w:val="2"/>
              <w:spacing w:line="460" w:lineRule="exact"/>
              <w:rPr>
                <w:rFonts w:hint="eastAsia" w:ascii="宋体" w:hAnsi="宋体" w:eastAsia="宋体" w:cs="宋体"/>
                <w:color w:val="FF0000"/>
                <w:sz w:val="20"/>
                <w:szCs w:val="20"/>
              </w:rPr>
            </w:pPr>
          </w:p>
        </w:tc>
        <w:tc>
          <w:tcPr>
            <w:tcW w:w="543" w:type="dxa"/>
            <w:vMerge w:val="continue"/>
            <w:vAlign w:val="center"/>
          </w:tcPr>
          <w:p w14:paraId="02A7B9F5">
            <w:pPr>
              <w:pStyle w:val="2"/>
              <w:spacing w:line="460" w:lineRule="exact"/>
              <w:rPr>
                <w:rFonts w:hint="eastAsia" w:ascii="宋体" w:hAnsi="宋体" w:eastAsia="宋体" w:cs="宋体"/>
                <w:color w:val="FF0000"/>
                <w:sz w:val="20"/>
                <w:szCs w:val="20"/>
              </w:rPr>
            </w:pPr>
          </w:p>
        </w:tc>
      </w:tr>
      <w:tr w14:paraId="512F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42" w:type="dxa"/>
            <w:vAlign w:val="center"/>
          </w:tcPr>
          <w:p w14:paraId="0E07FBB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3</w:t>
            </w:r>
          </w:p>
        </w:tc>
        <w:tc>
          <w:tcPr>
            <w:tcW w:w="795" w:type="dxa"/>
            <w:vAlign w:val="center"/>
          </w:tcPr>
          <w:p w14:paraId="0927B945">
            <w:pPr>
              <w:spacing w:line="460" w:lineRule="exact"/>
              <w:jc w:val="center"/>
              <w:rPr>
                <w:rFonts w:hint="eastAsia" w:ascii="宋体" w:hAnsi="宋体" w:eastAsia="宋体" w:cs="宋体"/>
                <w:color w:val="FF0000"/>
                <w:sz w:val="20"/>
                <w:szCs w:val="20"/>
              </w:rPr>
            </w:pPr>
            <w:bookmarkStart w:id="68" w:name="OLE_LINK1"/>
            <w:bookmarkStart w:id="69" w:name="OLE_LINK2"/>
            <w:r>
              <w:rPr>
                <w:rFonts w:hint="eastAsia" w:ascii="宋体" w:hAnsi="宋体" w:eastAsia="宋体" w:cs="宋体"/>
                <w:color w:val="FF0000"/>
                <w:sz w:val="20"/>
                <w:szCs w:val="20"/>
              </w:rPr>
              <w:t>冷凝器</w:t>
            </w:r>
            <w:bookmarkEnd w:id="68"/>
            <w:bookmarkEnd w:id="69"/>
          </w:p>
        </w:tc>
        <w:tc>
          <w:tcPr>
            <w:tcW w:w="1704" w:type="dxa"/>
            <w:vAlign w:val="center"/>
          </w:tcPr>
          <w:p w14:paraId="2127FAFF">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03PV3083、</w:t>
            </w:r>
          </w:p>
        </w:tc>
        <w:tc>
          <w:tcPr>
            <w:tcW w:w="3630" w:type="dxa"/>
            <w:vAlign w:val="center"/>
          </w:tcPr>
          <w:p w14:paraId="4542112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21505001182022061792</w:t>
            </w:r>
          </w:p>
        </w:tc>
        <w:tc>
          <w:tcPr>
            <w:tcW w:w="543" w:type="dxa"/>
            <w:vAlign w:val="center"/>
          </w:tcPr>
          <w:p w14:paraId="43759BF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6A79DC2F">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1554" w:type="dxa"/>
            <w:vMerge w:val="continue"/>
            <w:vAlign w:val="center"/>
          </w:tcPr>
          <w:p w14:paraId="4073DCF8">
            <w:pPr>
              <w:pStyle w:val="2"/>
              <w:spacing w:line="460" w:lineRule="exact"/>
              <w:rPr>
                <w:rFonts w:hint="eastAsia" w:ascii="宋体" w:hAnsi="宋体" w:eastAsia="宋体" w:cs="宋体"/>
                <w:color w:val="FF0000"/>
                <w:sz w:val="20"/>
                <w:szCs w:val="20"/>
              </w:rPr>
            </w:pPr>
          </w:p>
        </w:tc>
        <w:tc>
          <w:tcPr>
            <w:tcW w:w="543" w:type="dxa"/>
            <w:vMerge w:val="continue"/>
            <w:vAlign w:val="center"/>
          </w:tcPr>
          <w:p w14:paraId="597086F6">
            <w:pPr>
              <w:pStyle w:val="2"/>
              <w:spacing w:line="460" w:lineRule="exact"/>
              <w:rPr>
                <w:rFonts w:hint="eastAsia" w:ascii="宋体" w:hAnsi="宋体" w:eastAsia="宋体" w:cs="宋体"/>
                <w:color w:val="FF0000"/>
                <w:sz w:val="20"/>
                <w:szCs w:val="20"/>
              </w:rPr>
            </w:pPr>
          </w:p>
        </w:tc>
      </w:tr>
      <w:tr w14:paraId="175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42" w:type="dxa"/>
            <w:vAlign w:val="center"/>
          </w:tcPr>
          <w:p w14:paraId="29DA511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4</w:t>
            </w:r>
          </w:p>
        </w:tc>
        <w:tc>
          <w:tcPr>
            <w:tcW w:w="795" w:type="dxa"/>
            <w:vAlign w:val="center"/>
          </w:tcPr>
          <w:p w14:paraId="72279F15">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冷凝器</w:t>
            </w:r>
          </w:p>
        </w:tc>
        <w:tc>
          <w:tcPr>
            <w:tcW w:w="1704" w:type="dxa"/>
            <w:vAlign w:val="center"/>
          </w:tcPr>
          <w:p w14:paraId="532C9E08">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03PV3079</w:t>
            </w:r>
          </w:p>
        </w:tc>
        <w:tc>
          <w:tcPr>
            <w:tcW w:w="3630" w:type="dxa"/>
            <w:vAlign w:val="center"/>
          </w:tcPr>
          <w:p w14:paraId="6EFFE9B4">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21505001182022061941</w:t>
            </w:r>
          </w:p>
        </w:tc>
        <w:tc>
          <w:tcPr>
            <w:tcW w:w="543" w:type="dxa"/>
            <w:vAlign w:val="center"/>
          </w:tcPr>
          <w:p w14:paraId="06D9F0D5">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3363ABF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1554" w:type="dxa"/>
            <w:vMerge w:val="continue"/>
            <w:vAlign w:val="center"/>
          </w:tcPr>
          <w:p w14:paraId="551F7328">
            <w:pPr>
              <w:pStyle w:val="2"/>
              <w:spacing w:line="460" w:lineRule="exact"/>
              <w:rPr>
                <w:rFonts w:hint="eastAsia" w:ascii="宋体" w:hAnsi="宋体" w:eastAsia="宋体" w:cs="宋体"/>
                <w:color w:val="FF0000"/>
                <w:sz w:val="20"/>
                <w:szCs w:val="20"/>
              </w:rPr>
            </w:pPr>
          </w:p>
        </w:tc>
        <w:tc>
          <w:tcPr>
            <w:tcW w:w="543" w:type="dxa"/>
            <w:vMerge w:val="continue"/>
            <w:vAlign w:val="center"/>
          </w:tcPr>
          <w:p w14:paraId="2D7E5BB7">
            <w:pPr>
              <w:pStyle w:val="2"/>
              <w:spacing w:line="460" w:lineRule="exact"/>
              <w:rPr>
                <w:rFonts w:hint="eastAsia" w:ascii="宋体" w:hAnsi="宋体" w:eastAsia="宋体" w:cs="宋体"/>
                <w:color w:val="FF0000"/>
                <w:sz w:val="20"/>
                <w:szCs w:val="20"/>
              </w:rPr>
            </w:pPr>
          </w:p>
        </w:tc>
      </w:tr>
      <w:tr w14:paraId="00D1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542" w:type="dxa"/>
            <w:shd w:val="clear" w:color="auto" w:fill="auto"/>
            <w:vAlign w:val="center"/>
          </w:tcPr>
          <w:p w14:paraId="02E655F6">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5</w:t>
            </w:r>
          </w:p>
        </w:tc>
        <w:tc>
          <w:tcPr>
            <w:tcW w:w="795" w:type="dxa"/>
            <w:shd w:val="clear" w:color="auto" w:fill="auto"/>
            <w:vAlign w:val="center"/>
          </w:tcPr>
          <w:p w14:paraId="397606E0">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油分离器</w:t>
            </w:r>
          </w:p>
        </w:tc>
        <w:tc>
          <w:tcPr>
            <w:tcW w:w="1704" w:type="dxa"/>
            <w:shd w:val="clear" w:color="auto" w:fill="auto"/>
            <w:vAlign w:val="center"/>
          </w:tcPr>
          <w:p w14:paraId="5F7D97F4">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03PV3086、</w:t>
            </w:r>
          </w:p>
        </w:tc>
        <w:tc>
          <w:tcPr>
            <w:tcW w:w="3630" w:type="dxa"/>
            <w:shd w:val="clear" w:color="auto" w:fill="auto"/>
            <w:vAlign w:val="center"/>
          </w:tcPr>
          <w:p w14:paraId="085FEE08">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21505001182022061796</w:t>
            </w:r>
          </w:p>
        </w:tc>
        <w:tc>
          <w:tcPr>
            <w:tcW w:w="543" w:type="dxa"/>
            <w:vAlign w:val="center"/>
          </w:tcPr>
          <w:p w14:paraId="415E8E1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394D51C5">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1554" w:type="dxa"/>
            <w:vMerge w:val="continue"/>
            <w:vAlign w:val="center"/>
          </w:tcPr>
          <w:p w14:paraId="50278FDA">
            <w:pPr>
              <w:pStyle w:val="2"/>
              <w:spacing w:line="460" w:lineRule="exact"/>
              <w:rPr>
                <w:rFonts w:hint="eastAsia" w:ascii="宋体" w:hAnsi="宋体" w:eastAsia="宋体" w:cs="宋体"/>
                <w:color w:val="FF0000"/>
                <w:sz w:val="20"/>
                <w:szCs w:val="20"/>
              </w:rPr>
            </w:pPr>
          </w:p>
        </w:tc>
        <w:tc>
          <w:tcPr>
            <w:tcW w:w="543" w:type="dxa"/>
            <w:vMerge w:val="continue"/>
            <w:vAlign w:val="center"/>
          </w:tcPr>
          <w:p w14:paraId="043EA6A8">
            <w:pPr>
              <w:pStyle w:val="2"/>
              <w:spacing w:line="460" w:lineRule="exact"/>
              <w:rPr>
                <w:rFonts w:hint="eastAsia" w:ascii="宋体" w:hAnsi="宋体" w:eastAsia="宋体" w:cs="宋体"/>
                <w:color w:val="FF0000"/>
                <w:sz w:val="20"/>
                <w:szCs w:val="20"/>
              </w:rPr>
            </w:pPr>
          </w:p>
        </w:tc>
      </w:tr>
      <w:tr w14:paraId="450D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542" w:type="dxa"/>
            <w:shd w:val="clear" w:color="auto" w:fill="auto"/>
            <w:vAlign w:val="center"/>
          </w:tcPr>
          <w:p w14:paraId="61160C1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6</w:t>
            </w:r>
          </w:p>
        </w:tc>
        <w:tc>
          <w:tcPr>
            <w:tcW w:w="795" w:type="dxa"/>
            <w:shd w:val="clear" w:color="auto" w:fill="auto"/>
            <w:vAlign w:val="center"/>
          </w:tcPr>
          <w:p w14:paraId="7775E59B">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油分离器</w:t>
            </w:r>
          </w:p>
        </w:tc>
        <w:tc>
          <w:tcPr>
            <w:tcW w:w="1704" w:type="dxa"/>
            <w:shd w:val="clear" w:color="auto" w:fill="auto"/>
            <w:vAlign w:val="center"/>
          </w:tcPr>
          <w:p w14:paraId="42F91403">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03PV3042</w:t>
            </w:r>
          </w:p>
        </w:tc>
        <w:tc>
          <w:tcPr>
            <w:tcW w:w="3630" w:type="dxa"/>
            <w:shd w:val="clear" w:color="auto" w:fill="auto"/>
            <w:vAlign w:val="center"/>
          </w:tcPr>
          <w:p w14:paraId="05895DD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21505001182022061797</w:t>
            </w:r>
          </w:p>
        </w:tc>
        <w:tc>
          <w:tcPr>
            <w:tcW w:w="543" w:type="dxa"/>
            <w:vAlign w:val="center"/>
          </w:tcPr>
          <w:p w14:paraId="7954AF1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543" w:type="dxa"/>
            <w:vAlign w:val="center"/>
          </w:tcPr>
          <w:p w14:paraId="22E3562F">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1554" w:type="dxa"/>
            <w:vMerge w:val="continue"/>
            <w:vAlign w:val="center"/>
          </w:tcPr>
          <w:p w14:paraId="4E44BFE8">
            <w:pPr>
              <w:pStyle w:val="2"/>
              <w:spacing w:line="460" w:lineRule="exact"/>
              <w:rPr>
                <w:rFonts w:hint="eastAsia" w:ascii="宋体" w:hAnsi="宋体" w:eastAsia="宋体" w:cs="宋体"/>
                <w:color w:val="FF0000"/>
                <w:sz w:val="20"/>
                <w:szCs w:val="20"/>
              </w:rPr>
            </w:pPr>
          </w:p>
        </w:tc>
        <w:tc>
          <w:tcPr>
            <w:tcW w:w="543" w:type="dxa"/>
            <w:vMerge w:val="continue"/>
            <w:vAlign w:val="center"/>
          </w:tcPr>
          <w:p w14:paraId="0F561D30">
            <w:pPr>
              <w:pStyle w:val="2"/>
              <w:spacing w:line="460" w:lineRule="exact"/>
              <w:rPr>
                <w:rFonts w:hint="eastAsia" w:ascii="宋体" w:hAnsi="宋体" w:eastAsia="宋体" w:cs="宋体"/>
                <w:color w:val="FF0000"/>
                <w:sz w:val="20"/>
                <w:szCs w:val="20"/>
              </w:rPr>
            </w:pPr>
          </w:p>
        </w:tc>
      </w:tr>
    </w:tbl>
    <w:p w14:paraId="5FFFEBF2">
      <w:pPr>
        <w:rPr>
          <w:rFonts w:hint="eastAsia" w:ascii="宋体" w:hAnsi="宋体" w:eastAsia="宋体" w:cs="宋体"/>
          <w:color w:val="FF0000"/>
          <w:lang w:val="en-US" w:eastAsia="zh-CN"/>
        </w:rPr>
      </w:pPr>
    </w:p>
    <w:p w14:paraId="61BD14D0">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w:t>
      </w:r>
      <w:r>
        <w:rPr>
          <w:rFonts w:hint="default" w:ascii="宋体" w:hAnsi="宋体" w:eastAsia="宋体" w:cs="宋体"/>
          <w:color w:val="FF0000"/>
          <w:kern w:val="2"/>
          <w:sz w:val="24"/>
          <w:szCs w:val="24"/>
          <w:shd w:val="clear" w:color="auto" w:fill="auto"/>
          <w:lang w:val="en-US" w:eastAsia="zh-CN" w:bidi="ar-SA"/>
        </w:rPr>
        <w:t>.</w:t>
      </w:r>
      <w:r>
        <w:rPr>
          <w:rFonts w:hint="eastAsia" w:ascii="宋体" w:hAnsi="宋体" w:eastAsia="宋体" w:cs="宋体"/>
          <w:color w:val="FF0000"/>
          <w:kern w:val="2"/>
          <w:sz w:val="24"/>
          <w:szCs w:val="24"/>
          <w:shd w:val="clear" w:color="auto" w:fill="auto"/>
          <w:lang w:val="en-US" w:eastAsia="zh-CN" w:bidi="ar-SA"/>
        </w:rPr>
        <w:t>响应单位根据《固定式压力容器安全技术监察规程》TSG 21-2016（如规程有更新，则按更新规程进行）的要求进行压力容器检验工作。</w:t>
      </w:r>
    </w:p>
    <w:p w14:paraId="2A391318">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w:t>
      </w:r>
      <w:r>
        <w:rPr>
          <w:rFonts w:hint="default" w:ascii="宋体" w:hAnsi="宋体" w:eastAsia="宋体" w:cs="宋体"/>
          <w:color w:val="FF0000"/>
          <w:kern w:val="2"/>
          <w:sz w:val="24"/>
          <w:szCs w:val="24"/>
          <w:shd w:val="clear" w:color="auto" w:fill="auto"/>
          <w:lang w:val="en-US" w:eastAsia="zh-CN" w:bidi="ar-SA"/>
        </w:rPr>
        <w:t>.</w:t>
      </w:r>
      <w:r>
        <w:rPr>
          <w:rFonts w:hint="eastAsia" w:ascii="宋体" w:hAnsi="宋体" w:eastAsia="宋体" w:cs="宋体"/>
          <w:color w:val="FF0000"/>
          <w:kern w:val="2"/>
          <w:sz w:val="24"/>
          <w:szCs w:val="24"/>
          <w:shd w:val="clear" w:color="auto" w:fill="auto"/>
          <w:lang w:val="en-US" w:eastAsia="zh-CN" w:bidi="ar-SA"/>
        </w:rPr>
        <w:t>压力容器定期检验报告内容中至少包含结论报告、压力容器资料审查报告、宏观检查报告、壁厚测定报告、表面缺陷检测（磁粉探伤MT）报告、埋藏缺陷检测和安全附件及附加检验报告等内容。</w:t>
      </w:r>
    </w:p>
    <w:p w14:paraId="4A1BB939">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5.响应单位需对此项目内容进行现场勘查，相关联系电话为：85371292。不到现场勘察的投标人，一旦中标，投标人不得以不完全了解施工现场情况为借口而提出额外赔偿或延长工期的要求，造成一切损失由投标人承担。</w:t>
      </w:r>
    </w:p>
    <w:p w14:paraId="72FD89C0">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6.响应单位在拆除需检测部位的保护层和保温层时，应做好保护性拆除，不破坏原有材料，检测后需恢复被破坏（打磨处）的防腐油漆和保温层。保温层应按照原有保温层厚度和尺寸进行恢复，恢复后保证容器保温和密封良好且不结露。</w:t>
      </w:r>
    </w:p>
    <w:p w14:paraId="7A659C83">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7.在履行合同义务期间，若响应单位给甲方造成任何损失，均由响应单位承担。包括但不限于操作失误导致的设备损坏，人员伤亡，其他财产损失，以及因检测报告未能获得市场监督管理局认可而影响设备正常使用所造成的损失。</w:t>
      </w:r>
    </w:p>
    <w:p w14:paraId="3AC579AC">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default" w:ascii="宋体" w:hAnsi="宋体" w:eastAsia="宋体" w:cs="宋体"/>
          <w:color w:val="FF0000"/>
          <w:kern w:val="2"/>
          <w:sz w:val="24"/>
          <w:szCs w:val="24"/>
          <w:shd w:val="clear" w:color="auto" w:fill="auto"/>
          <w:lang w:val="en-US" w:eastAsia="zh-CN" w:bidi="ar-SA"/>
        </w:rPr>
      </w:pPr>
    </w:p>
    <w:p w14:paraId="3CB4B773">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default" w:ascii="宋体" w:hAnsi="宋体" w:eastAsia="宋体" w:cs="宋体"/>
          <w:color w:val="FF0000"/>
          <w:kern w:val="2"/>
          <w:sz w:val="24"/>
          <w:szCs w:val="24"/>
          <w:shd w:val="clear" w:color="auto" w:fill="auto"/>
          <w:lang w:val="en-US" w:eastAsia="zh-CN" w:bidi="ar-SA"/>
        </w:rPr>
      </w:pPr>
    </w:p>
    <w:p w14:paraId="4C64B682">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default" w:ascii="宋体" w:hAnsi="宋体" w:eastAsia="宋体" w:cs="宋体"/>
          <w:color w:val="FF0000"/>
          <w:kern w:val="2"/>
          <w:sz w:val="24"/>
          <w:szCs w:val="24"/>
          <w:shd w:val="clear" w:color="auto" w:fill="auto"/>
          <w:lang w:val="en-US" w:eastAsia="zh-CN" w:bidi="ar-SA"/>
        </w:rPr>
      </w:pPr>
    </w:p>
    <w:p w14:paraId="1DF2B891">
      <w:pPr>
        <w:tabs>
          <w:tab w:val="left" w:pos="2332"/>
        </w:tabs>
        <w:jc w:val="both"/>
        <w:rPr>
          <w:rFonts w:hint="default" w:ascii="宋体" w:hAnsi="宋体" w:eastAsia="宋体" w:cs="宋体"/>
          <w:b/>
          <w:color w:val="000000" w:themeColor="text1"/>
          <w:sz w:val="36"/>
          <w:szCs w:val="36"/>
          <w:shd w:val="clear" w:color="auto" w:fill="auto"/>
          <w:lang w:val="en-US" w:eastAsia="zh-CN"/>
          <w14:textFill>
            <w14:solidFill>
              <w14:schemeClr w14:val="tx1"/>
            </w14:solidFill>
          </w14:textFill>
        </w:rPr>
      </w:pPr>
    </w:p>
    <w:p w14:paraId="2B381AE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E716CC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E269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2C11B2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21A170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CE02D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1A9813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98FD5A">
      <w:pPr>
        <w:pStyle w:val="2"/>
        <w:rPr>
          <w:rFonts w:hint="eastAsia" w:ascii="宋体" w:hAnsi="宋体" w:eastAsia="宋体" w:cs="宋体"/>
          <w:b/>
          <w:color w:val="000000" w:themeColor="text1"/>
          <w:sz w:val="36"/>
          <w:szCs w:val="36"/>
          <w:shd w:val="clear" w:color="auto" w:fill="auto"/>
          <w14:textFill>
            <w14:solidFill>
              <w14:schemeClr w14:val="tx1"/>
            </w14:solidFill>
          </w14:textFill>
        </w:rPr>
      </w:pPr>
    </w:p>
    <w:p w14:paraId="15E0B3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C572CF7">
      <w:pPr>
        <w:pStyle w:val="2"/>
        <w:rPr>
          <w:rFonts w:hint="eastAsia"/>
          <w:color w:val="000000" w:themeColor="text1"/>
          <w14:textFill>
            <w14:solidFill>
              <w14:schemeClr w14:val="tx1"/>
            </w14:solidFill>
          </w14:textFill>
        </w:rPr>
      </w:pPr>
    </w:p>
    <w:p w14:paraId="23DBE44A">
      <w:pPr>
        <w:rPr>
          <w:rFonts w:hint="eastAsia"/>
          <w:color w:val="000000" w:themeColor="text1"/>
          <w14:textFill>
            <w14:solidFill>
              <w14:schemeClr w14:val="tx1"/>
            </w14:solidFill>
          </w14:textFill>
        </w:rPr>
      </w:pPr>
    </w:p>
    <w:p w14:paraId="084FBC4D">
      <w:pPr>
        <w:pStyle w:val="2"/>
        <w:rPr>
          <w:rFonts w:hint="eastAsia"/>
          <w:color w:val="000000" w:themeColor="text1"/>
          <w14:textFill>
            <w14:solidFill>
              <w14:schemeClr w14:val="tx1"/>
            </w14:solidFill>
          </w14:textFill>
        </w:rPr>
      </w:pPr>
    </w:p>
    <w:p w14:paraId="2E11542D">
      <w:pPr>
        <w:rPr>
          <w:rFonts w:hint="eastAsia"/>
          <w:color w:val="000000" w:themeColor="text1"/>
          <w14:textFill>
            <w14:solidFill>
              <w14:schemeClr w14:val="tx1"/>
            </w14:solidFill>
          </w14:textFill>
        </w:rPr>
      </w:pPr>
    </w:p>
    <w:p w14:paraId="09676A41">
      <w:pPr>
        <w:pStyle w:val="2"/>
        <w:rPr>
          <w:rFonts w:hint="eastAsia"/>
          <w:color w:val="000000" w:themeColor="text1"/>
          <w14:textFill>
            <w14:solidFill>
              <w14:schemeClr w14:val="tx1"/>
            </w14:solidFill>
          </w14:textFill>
        </w:rPr>
      </w:pPr>
    </w:p>
    <w:p w14:paraId="7FB441D9">
      <w:pPr>
        <w:rPr>
          <w:rFonts w:hint="eastAsia"/>
          <w:color w:val="000000" w:themeColor="text1"/>
          <w14:textFill>
            <w14:solidFill>
              <w14:schemeClr w14:val="tx1"/>
            </w14:solidFill>
          </w14:textFill>
        </w:rPr>
      </w:pPr>
    </w:p>
    <w:p w14:paraId="79C6703A">
      <w:pPr>
        <w:pStyle w:val="2"/>
        <w:rPr>
          <w:rFonts w:hint="eastAsia"/>
          <w:color w:val="000000" w:themeColor="text1"/>
          <w14:textFill>
            <w14:solidFill>
              <w14:schemeClr w14:val="tx1"/>
            </w14:solidFill>
          </w14:textFill>
        </w:rPr>
      </w:pPr>
    </w:p>
    <w:p w14:paraId="0A08DB5D">
      <w:pPr>
        <w:rPr>
          <w:rFonts w:hint="eastAsia"/>
          <w:color w:val="000000" w:themeColor="text1"/>
          <w14:textFill>
            <w14:solidFill>
              <w14:schemeClr w14:val="tx1"/>
            </w14:solidFill>
          </w14:textFill>
        </w:rPr>
      </w:pPr>
    </w:p>
    <w:p w14:paraId="5E705AE3">
      <w:pPr>
        <w:pStyle w:val="2"/>
        <w:rPr>
          <w:rFonts w:hint="eastAsia"/>
          <w:color w:val="000000" w:themeColor="text1"/>
          <w14:textFill>
            <w14:solidFill>
              <w14:schemeClr w14:val="tx1"/>
            </w14:solidFill>
          </w14:textFill>
        </w:rPr>
      </w:pPr>
    </w:p>
    <w:p w14:paraId="202DA3E4">
      <w:pPr>
        <w:rPr>
          <w:rFonts w:hint="eastAsia"/>
          <w:color w:val="000000" w:themeColor="text1"/>
          <w14:textFill>
            <w14:solidFill>
              <w14:schemeClr w14:val="tx1"/>
            </w14:solidFill>
          </w14:textFill>
        </w:rPr>
      </w:pPr>
    </w:p>
    <w:p w14:paraId="2922E4C6">
      <w:pPr>
        <w:pStyle w:val="2"/>
        <w:rPr>
          <w:rFonts w:hint="eastAsia"/>
          <w:color w:val="000000" w:themeColor="text1"/>
          <w14:textFill>
            <w14:solidFill>
              <w14:schemeClr w14:val="tx1"/>
            </w14:solidFill>
          </w14:textFill>
        </w:rPr>
      </w:pPr>
    </w:p>
    <w:p w14:paraId="519830A2">
      <w:pPr>
        <w:rPr>
          <w:rFonts w:hint="eastAsia"/>
          <w:color w:val="000000" w:themeColor="text1"/>
          <w14:textFill>
            <w14:solidFill>
              <w14:schemeClr w14:val="tx1"/>
            </w14:solidFill>
          </w14:textFill>
        </w:rPr>
      </w:pPr>
    </w:p>
    <w:p w14:paraId="5482AC2C">
      <w:pPr>
        <w:pStyle w:val="2"/>
        <w:rPr>
          <w:rFonts w:hint="eastAsia"/>
          <w:color w:val="000000" w:themeColor="text1"/>
          <w14:textFill>
            <w14:solidFill>
              <w14:schemeClr w14:val="tx1"/>
            </w14:solidFill>
          </w14:textFill>
        </w:rPr>
      </w:pPr>
    </w:p>
    <w:p w14:paraId="41B5E979">
      <w:pPr>
        <w:rPr>
          <w:rFonts w:hint="eastAsia"/>
          <w:color w:val="000000" w:themeColor="text1"/>
          <w14:textFill>
            <w14:solidFill>
              <w14:schemeClr w14:val="tx1"/>
            </w14:solidFill>
          </w14:textFill>
        </w:rPr>
      </w:pPr>
    </w:p>
    <w:p w14:paraId="2D54F7AC">
      <w:pPr>
        <w:pStyle w:val="2"/>
        <w:jc w:val="both"/>
        <w:rPr>
          <w:rFonts w:hint="eastAsia"/>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70" w:name="_Toc12789059"/>
      <w:bookmarkStart w:id="71" w:name="_Toc11641055"/>
    </w:p>
    <w:p w14:paraId="5642FEE9">
      <w:pPr>
        <w:pStyle w:val="4"/>
        <w:spacing w:line="240" w:lineRule="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bookmarkStart w:id="72" w:name="_Toc11645"/>
      <w:bookmarkStart w:id="73" w:name="_Toc485108793"/>
      <w:bookmarkStart w:id="74" w:name="_Toc403569795"/>
      <w:bookmarkStart w:id="75" w:name="_Toc7358"/>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一、商务需求</w:t>
      </w:r>
    </w:p>
    <w:p w14:paraId="57FE0E23">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r>
        <w:rPr>
          <w:rFonts w:hint="default" w:ascii="宋体" w:hAnsi="宋体" w:eastAsia="宋体" w:cs="宋体"/>
          <w:color w:val="FF0000"/>
          <w:kern w:val="2"/>
          <w:sz w:val="24"/>
          <w:szCs w:val="24"/>
          <w:shd w:val="clear" w:color="auto" w:fill="auto"/>
          <w:lang w:val="en-US" w:eastAsia="zh-CN" w:bidi="ar-SA"/>
        </w:rPr>
        <w:t>．</w:t>
      </w:r>
      <w:r>
        <w:rPr>
          <w:rFonts w:hint="eastAsia" w:ascii="宋体" w:hAnsi="宋体" w:eastAsia="宋体" w:cs="宋体"/>
          <w:color w:val="FF0000"/>
          <w:kern w:val="2"/>
          <w:sz w:val="24"/>
          <w:szCs w:val="24"/>
          <w:shd w:val="clear" w:color="auto" w:fill="auto"/>
          <w:lang w:val="en-US" w:eastAsia="zh-CN" w:bidi="ar-SA"/>
        </w:rPr>
        <w:t>响应单位如为外省机构须在重庆特种设备安全监察机构备案，并确保检验结果被本市市场监管部门认可。</w:t>
      </w:r>
    </w:p>
    <w:p w14:paraId="794477AA">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2.服务时限：</w:t>
      </w:r>
    </w:p>
    <w:p w14:paraId="067D2A15">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检定申报须在合同签订后1日内完成；</w:t>
      </w:r>
    </w:p>
    <w:p w14:paraId="5EA9E4C2">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现场检定须在合同签订后3日内完成；</w:t>
      </w:r>
    </w:p>
    <w:p w14:paraId="49BD4426">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检验报告须在检验完成后5日内提交；</w:t>
      </w:r>
    </w:p>
    <w:p w14:paraId="0688AC0B">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特种设备使用登记证的展期以及特种设备使用证的获取，须在完成检测报告提交后的15个工作日内完成。</w:t>
      </w:r>
    </w:p>
    <w:p w14:paraId="54572246">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default" w:ascii="宋体" w:hAnsi="宋体" w:eastAsia="宋体" w:cs="宋体"/>
          <w:color w:val="FF0000"/>
          <w:kern w:val="2"/>
          <w:sz w:val="24"/>
          <w:szCs w:val="24"/>
          <w:shd w:val="clear" w:color="auto" w:fill="auto"/>
          <w:lang w:val="en-US" w:eastAsia="zh-CN" w:bidi="ar-SA"/>
        </w:rPr>
      </w:pPr>
      <w:r>
        <w:rPr>
          <w:rFonts w:hint="eastAsia" w:cs="宋体"/>
          <w:color w:val="FF0000"/>
          <w:kern w:val="2"/>
          <w:sz w:val="24"/>
          <w:szCs w:val="24"/>
          <w:shd w:val="clear" w:color="auto" w:fill="auto"/>
          <w:lang w:val="en-US" w:eastAsia="zh-CN" w:bidi="ar-SA"/>
        </w:rPr>
        <w:t>3.付款方式：完成该服务所有的检测并取得市</w:t>
      </w:r>
      <w:r>
        <w:rPr>
          <w:rFonts w:hint="eastAsia" w:ascii="宋体" w:hAnsi="宋体" w:eastAsia="宋体" w:cs="宋体"/>
          <w:color w:val="FF0000"/>
          <w:kern w:val="2"/>
          <w:sz w:val="24"/>
          <w:szCs w:val="24"/>
          <w:shd w:val="clear" w:color="auto" w:fill="auto"/>
          <w:lang w:val="en-US" w:eastAsia="zh-CN" w:bidi="ar-SA"/>
        </w:rPr>
        <w:t>场监管部门所需的法定检验报告</w:t>
      </w:r>
      <w:r>
        <w:rPr>
          <w:rFonts w:hint="eastAsia" w:cs="宋体"/>
          <w:color w:val="FF0000"/>
          <w:kern w:val="2"/>
          <w:sz w:val="24"/>
          <w:szCs w:val="24"/>
          <w:shd w:val="clear" w:color="auto" w:fill="auto"/>
          <w:lang w:val="en-US" w:eastAsia="zh-CN" w:bidi="ar-SA"/>
        </w:rPr>
        <w:t>后，凭服务完成单据与合法发票经甲方审核无误后60日内付款。</w:t>
      </w:r>
    </w:p>
    <w:bookmarkEnd w:id="72"/>
    <w:bookmarkEnd w:id="73"/>
    <w:bookmarkEnd w:id="74"/>
    <w:bookmarkEnd w:id="75"/>
    <w:p w14:paraId="5235ADB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2D0E702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0"/>
      <w:bookmarkEnd w:id="71"/>
      <w:bookmarkStart w:id="76" w:name="_Toc485108794"/>
      <w:bookmarkStart w:id="77" w:name="_Toc14840"/>
      <w:bookmarkStart w:id="78" w:name="_Toc403569796"/>
      <w:bookmarkStart w:id="79" w:name="_Toc303945820"/>
      <w:bookmarkStart w:id="8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6"/>
      <w:bookmarkEnd w:id="77"/>
      <w:bookmarkEnd w:id="78"/>
    </w:p>
    <w:p w14:paraId="5E46A35E">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54718202"/>
      <w:bookmarkStart w:id="8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1"/>
      <w:bookmarkEnd w:id="8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7"/>
    </w:p>
    <w:p w14:paraId="484E102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17879"/>
      <w:bookmarkStart w:id="8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8"/>
      <w:bookmarkEnd w:id="8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4"/>
      <w:bookmarkStart w:id="9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1"/>
      <w:bookmarkEnd w:id="9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5177"/>
      <w:bookmarkStart w:id="9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5"/>
    </w:p>
    <w:p w14:paraId="16BE7E9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4"/>
      <w:bookmarkEnd w:id="9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9"/>
    </w:p>
    <w:p w14:paraId="0E692A86">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241"/>
      <w:bookmarkStart w:id="10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0"/>
      <w:bookmarkEnd w:id="10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2" w:name="_Toc12985"/>
      <w:bookmarkStart w:id="10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3"/>
    </w:p>
    <w:p w14:paraId="318F8000">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54718207"/>
      <w:bookmarkStart w:id="105"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4"/>
      <w:bookmarkEnd w:id="10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8"/>
    </w:p>
    <w:p w14:paraId="0105B42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586"/>
      <w:bookmarkStart w:id="11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9"/>
      <w:bookmarkEnd w:id="11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3" w:name="_Toc31719"/>
      <w:bookmarkStart w:id="114" w:name="_Toc54718210"/>
      <w:bookmarkStart w:id="115" w:name="_Toc26580"/>
      <w:bookmarkStart w:id="11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3"/>
      <w:bookmarkEnd w:id="11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8"/>
    </w:p>
    <w:p w14:paraId="7F490E8A">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5"/>
      <w:bookmarkEnd w:id="11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9"/>
      <w:bookmarkEnd w:id="12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5"/>
    </w:p>
    <w:bookmarkEnd w:id="79"/>
    <w:bookmarkEnd w:id="80"/>
    <w:p w14:paraId="75D005CD">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6" w:name="_Hlt41879464"/>
      <w:bookmarkEnd w:id="126"/>
      <w:bookmarkStart w:id="127" w:name="_Toc12789072"/>
      <w:bookmarkStart w:id="128" w:name="_Toc485108795"/>
      <w:bookmarkStart w:id="12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7"/>
      <w:bookmarkEnd w:id="128"/>
      <w:bookmarkEnd w:id="129"/>
    </w:p>
    <w:p w14:paraId="3475141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3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38358147"/>
      <w:bookmarkStart w:id="134" w:name="OLE_LINK11"/>
      <w:bookmarkStart w:id="13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7"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7"/>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4"/>
    <w:bookmarkEnd w:id="13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9EB035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8" w:name="_Toc313008356"/>
      <w:bookmarkStart w:id="139" w:name="_Toc485108796"/>
      <w:bookmarkStart w:id="140" w:name="_Toc342913419"/>
      <w:bookmarkStart w:id="141" w:name="_Toc480979018"/>
      <w:bookmarkStart w:id="142" w:name="_Toc313888360"/>
      <w:bookmarkStart w:id="143" w:name="_Toc283382454"/>
      <w:bookmarkStart w:id="144"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8"/>
      <w:bookmarkEnd w:id="139"/>
      <w:bookmarkEnd w:id="140"/>
      <w:bookmarkEnd w:id="141"/>
      <w:bookmarkEnd w:id="142"/>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3"/>
    <w:bookmarkEnd w:id="144"/>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4110EE2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04E3368E">
      <w:pPr>
        <w:numPr>
          <w:ilvl w:val="0"/>
          <w:numId w:val="0"/>
        </w:numPr>
        <w:tabs>
          <w:tab w:val="left" w:pos="2895"/>
        </w:tabs>
        <w:spacing w:line="360" w:lineRule="auto"/>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w:t>
      </w:r>
      <w:r>
        <w:rPr>
          <w:rFonts w:hint="eastAsia" w:ascii="宋体" w:hAnsi="宋体" w:eastAsia="宋体" w:cs="宋体"/>
          <w:color w:val="FF0000"/>
          <w:sz w:val="24"/>
          <w:szCs w:val="24"/>
          <w:shd w:val="clear" w:color="auto" w:fill="auto"/>
          <w:lang w:val="en-US" w:eastAsia="zh-CN"/>
        </w:rPr>
        <w:t xml:space="preserve">  报价表</w:t>
      </w:r>
    </w:p>
    <w:p w14:paraId="15264DF3">
      <w:pPr>
        <w:rPr>
          <w:rFonts w:hint="eastAsia" w:ascii="宋体" w:hAnsi="宋体" w:eastAsia="宋体" w:cs="宋体"/>
          <w:b/>
          <w:color w:val="000000" w:themeColor="text1"/>
          <w:shd w:val="clear" w:color="auto" w:fill="auto"/>
          <w:lang w:eastAsia="zh-CN"/>
          <w14:textFill>
            <w14:solidFill>
              <w14:schemeClr w14:val="tx1"/>
            </w14:solidFill>
          </w14:textFill>
        </w:rPr>
      </w:pPr>
      <w:bookmarkStart w:id="145" w:name="_Toc313888361"/>
      <w:bookmarkStart w:id="146" w:name="_Toc313008357"/>
      <w:bookmarkStart w:id="147" w:name="_Toc480979019"/>
      <w:bookmarkStart w:id="148" w:name="_Toc342913420"/>
      <w:bookmarkStart w:id="149" w:name="_Toc485108797"/>
    </w:p>
    <w:tbl>
      <w:tblPr>
        <w:tblStyle w:val="5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670"/>
        <w:gridCol w:w="1437"/>
        <w:gridCol w:w="3065"/>
        <w:gridCol w:w="452"/>
        <w:gridCol w:w="464"/>
        <w:gridCol w:w="1310"/>
        <w:gridCol w:w="1310"/>
        <w:gridCol w:w="458"/>
      </w:tblGrid>
      <w:tr w14:paraId="21C4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35" w:type="pct"/>
            <w:vAlign w:val="center"/>
          </w:tcPr>
          <w:p w14:paraId="3F1F48D7">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序号</w:t>
            </w:r>
          </w:p>
        </w:tc>
        <w:tc>
          <w:tcPr>
            <w:tcW w:w="348" w:type="pct"/>
            <w:vAlign w:val="center"/>
          </w:tcPr>
          <w:p w14:paraId="799B91ED">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产品名称</w:t>
            </w:r>
          </w:p>
        </w:tc>
        <w:tc>
          <w:tcPr>
            <w:tcW w:w="747" w:type="pct"/>
            <w:vAlign w:val="center"/>
          </w:tcPr>
          <w:p w14:paraId="599229A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铭牌型号</w:t>
            </w:r>
          </w:p>
        </w:tc>
        <w:tc>
          <w:tcPr>
            <w:tcW w:w="1593" w:type="pct"/>
            <w:vAlign w:val="center"/>
          </w:tcPr>
          <w:p w14:paraId="1B1CD89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注册代码</w:t>
            </w:r>
          </w:p>
        </w:tc>
        <w:tc>
          <w:tcPr>
            <w:tcW w:w="235" w:type="pct"/>
            <w:vAlign w:val="center"/>
          </w:tcPr>
          <w:p w14:paraId="09455CA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数量</w:t>
            </w:r>
          </w:p>
        </w:tc>
        <w:tc>
          <w:tcPr>
            <w:tcW w:w="239" w:type="pct"/>
            <w:vAlign w:val="center"/>
          </w:tcPr>
          <w:p w14:paraId="22918241">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单位</w:t>
            </w:r>
          </w:p>
        </w:tc>
        <w:tc>
          <w:tcPr>
            <w:tcW w:w="681" w:type="pct"/>
            <w:vAlign w:val="center"/>
          </w:tcPr>
          <w:p w14:paraId="475C543D">
            <w:pPr>
              <w:pStyle w:val="2"/>
              <w:spacing w:line="460" w:lineRule="exact"/>
              <w:rPr>
                <w:rFonts w:hint="eastAsia" w:ascii="宋体" w:hAnsi="宋体" w:eastAsia="宋体" w:cs="宋体"/>
                <w:color w:val="FF0000"/>
                <w:sz w:val="20"/>
                <w:szCs w:val="20"/>
                <w:lang w:eastAsia="zh-CN"/>
              </w:rPr>
            </w:pPr>
            <w:r>
              <w:rPr>
                <w:rFonts w:hint="eastAsia" w:ascii="宋体" w:hAnsi="宋体" w:cs="宋体"/>
                <w:color w:val="FF0000"/>
                <w:sz w:val="20"/>
                <w:szCs w:val="20"/>
                <w:lang w:eastAsia="zh-CN"/>
              </w:rPr>
              <w:t>价格（元）</w:t>
            </w:r>
          </w:p>
        </w:tc>
        <w:tc>
          <w:tcPr>
            <w:tcW w:w="681" w:type="pct"/>
            <w:vAlign w:val="center"/>
          </w:tcPr>
          <w:p w14:paraId="6BAD792E">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位置</w:t>
            </w:r>
          </w:p>
        </w:tc>
        <w:tc>
          <w:tcPr>
            <w:tcW w:w="237" w:type="pct"/>
            <w:vAlign w:val="center"/>
          </w:tcPr>
          <w:p w14:paraId="4C6FBA6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备注</w:t>
            </w:r>
          </w:p>
        </w:tc>
      </w:tr>
      <w:tr w14:paraId="36B4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35" w:type="pct"/>
            <w:vAlign w:val="center"/>
          </w:tcPr>
          <w:p w14:paraId="49D0D67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348" w:type="pct"/>
            <w:vAlign w:val="center"/>
          </w:tcPr>
          <w:p w14:paraId="570B018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蒸发器</w:t>
            </w:r>
          </w:p>
        </w:tc>
        <w:tc>
          <w:tcPr>
            <w:tcW w:w="747" w:type="pct"/>
            <w:vAlign w:val="center"/>
          </w:tcPr>
          <w:p w14:paraId="20FF52A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03PV3078、</w:t>
            </w:r>
          </w:p>
        </w:tc>
        <w:tc>
          <w:tcPr>
            <w:tcW w:w="1593" w:type="pct"/>
            <w:vAlign w:val="center"/>
          </w:tcPr>
          <w:p w14:paraId="3909E43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21505001182022061794</w:t>
            </w:r>
          </w:p>
        </w:tc>
        <w:tc>
          <w:tcPr>
            <w:tcW w:w="235" w:type="pct"/>
            <w:vAlign w:val="center"/>
          </w:tcPr>
          <w:p w14:paraId="38E1448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52C3D15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81" w:type="pct"/>
            <w:vAlign w:val="center"/>
          </w:tcPr>
          <w:p w14:paraId="06EC8594">
            <w:pPr>
              <w:pStyle w:val="2"/>
              <w:spacing w:line="460" w:lineRule="exact"/>
              <w:rPr>
                <w:rFonts w:hint="eastAsia" w:ascii="宋体" w:hAnsi="宋体" w:eastAsia="宋体" w:cs="宋体"/>
                <w:color w:val="FF0000"/>
                <w:sz w:val="20"/>
                <w:szCs w:val="20"/>
              </w:rPr>
            </w:pPr>
          </w:p>
        </w:tc>
        <w:tc>
          <w:tcPr>
            <w:tcW w:w="681" w:type="pct"/>
            <w:vMerge w:val="restart"/>
            <w:vAlign w:val="center"/>
          </w:tcPr>
          <w:p w14:paraId="60E8799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1号楼负1楼空调机房</w:t>
            </w:r>
          </w:p>
        </w:tc>
        <w:tc>
          <w:tcPr>
            <w:tcW w:w="237" w:type="pct"/>
            <w:vMerge w:val="restart"/>
            <w:vAlign w:val="center"/>
          </w:tcPr>
          <w:p w14:paraId="581E6676">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安全阀已检验</w:t>
            </w:r>
          </w:p>
        </w:tc>
      </w:tr>
      <w:tr w14:paraId="506B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35" w:type="pct"/>
            <w:vAlign w:val="center"/>
          </w:tcPr>
          <w:p w14:paraId="30157186">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w:t>
            </w:r>
          </w:p>
        </w:tc>
        <w:tc>
          <w:tcPr>
            <w:tcW w:w="348" w:type="pct"/>
            <w:vAlign w:val="center"/>
          </w:tcPr>
          <w:p w14:paraId="7A85C3E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蒸发器</w:t>
            </w:r>
          </w:p>
        </w:tc>
        <w:tc>
          <w:tcPr>
            <w:tcW w:w="747" w:type="pct"/>
            <w:vAlign w:val="center"/>
          </w:tcPr>
          <w:p w14:paraId="508F17A6">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03PV3084</w:t>
            </w:r>
          </w:p>
        </w:tc>
        <w:tc>
          <w:tcPr>
            <w:tcW w:w="1593" w:type="pct"/>
            <w:vAlign w:val="center"/>
          </w:tcPr>
          <w:p w14:paraId="40B81F3B">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21505001182022061793</w:t>
            </w:r>
          </w:p>
        </w:tc>
        <w:tc>
          <w:tcPr>
            <w:tcW w:w="235" w:type="pct"/>
            <w:vAlign w:val="center"/>
          </w:tcPr>
          <w:p w14:paraId="41EFEC01">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27610F45">
            <w:pPr>
              <w:pStyle w:val="2"/>
              <w:spacing w:line="460" w:lineRule="exact"/>
              <w:rPr>
                <w:rFonts w:hint="eastAsia" w:ascii="宋体" w:hAnsi="宋体" w:eastAsia="宋体" w:cs="宋体"/>
                <w:color w:val="FF0000"/>
                <w:sz w:val="20"/>
                <w:szCs w:val="20"/>
              </w:rPr>
            </w:pPr>
          </w:p>
        </w:tc>
        <w:tc>
          <w:tcPr>
            <w:tcW w:w="681" w:type="pct"/>
            <w:vAlign w:val="center"/>
          </w:tcPr>
          <w:p w14:paraId="7ABC9A22">
            <w:pPr>
              <w:pStyle w:val="2"/>
              <w:spacing w:line="460" w:lineRule="exact"/>
              <w:rPr>
                <w:rFonts w:hint="eastAsia" w:ascii="宋体" w:hAnsi="宋体" w:eastAsia="宋体" w:cs="宋体"/>
                <w:color w:val="FF0000"/>
                <w:sz w:val="20"/>
                <w:szCs w:val="20"/>
              </w:rPr>
            </w:pPr>
          </w:p>
        </w:tc>
        <w:tc>
          <w:tcPr>
            <w:tcW w:w="681" w:type="pct"/>
            <w:vMerge w:val="continue"/>
            <w:vAlign w:val="center"/>
          </w:tcPr>
          <w:p w14:paraId="3371F175">
            <w:pPr>
              <w:pStyle w:val="2"/>
              <w:spacing w:line="460" w:lineRule="exact"/>
              <w:rPr>
                <w:rFonts w:hint="eastAsia" w:ascii="宋体" w:hAnsi="宋体" w:eastAsia="宋体" w:cs="宋体"/>
                <w:color w:val="FF0000"/>
                <w:sz w:val="20"/>
                <w:szCs w:val="20"/>
              </w:rPr>
            </w:pPr>
          </w:p>
        </w:tc>
        <w:tc>
          <w:tcPr>
            <w:tcW w:w="237" w:type="pct"/>
            <w:vMerge w:val="continue"/>
            <w:vAlign w:val="center"/>
          </w:tcPr>
          <w:p w14:paraId="7C17B5B6">
            <w:pPr>
              <w:pStyle w:val="2"/>
              <w:spacing w:line="460" w:lineRule="exact"/>
              <w:rPr>
                <w:rFonts w:hint="eastAsia" w:ascii="宋体" w:hAnsi="宋体" w:eastAsia="宋体" w:cs="宋体"/>
                <w:color w:val="FF0000"/>
                <w:sz w:val="20"/>
                <w:szCs w:val="20"/>
              </w:rPr>
            </w:pPr>
          </w:p>
        </w:tc>
      </w:tr>
      <w:tr w14:paraId="26C6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35" w:type="pct"/>
            <w:vAlign w:val="center"/>
          </w:tcPr>
          <w:p w14:paraId="0E99D03E">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3</w:t>
            </w:r>
          </w:p>
        </w:tc>
        <w:tc>
          <w:tcPr>
            <w:tcW w:w="348" w:type="pct"/>
            <w:vAlign w:val="center"/>
          </w:tcPr>
          <w:p w14:paraId="0DEC80F2">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冷凝器</w:t>
            </w:r>
          </w:p>
        </w:tc>
        <w:tc>
          <w:tcPr>
            <w:tcW w:w="747" w:type="pct"/>
            <w:vAlign w:val="center"/>
          </w:tcPr>
          <w:p w14:paraId="20EFC0DB">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03PV3083、</w:t>
            </w:r>
          </w:p>
        </w:tc>
        <w:tc>
          <w:tcPr>
            <w:tcW w:w="1593" w:type="pct"/>
            <w:vAlign w:val="center"/>
          </w:tcPr>
          <w:p w14:paraId="4D6A3899">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21505001182022061792</w:t>
            </w:r>
          </w:p>
        </w:tc>
        <w:tc>
          <w:tcPr>
            <w:tcW w:w="235" w:type="pct"/>
            <w:vAlign w:val="center"/>
          </w:tcPr>
          <w:p w14:paraId="2594BA1F">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45F9DAE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81" w:type="pct"/>
            <w:vAlign w:val="center"/>
          </w:tcPr>
          <w:p w14:paraId="099906FF">
            <w:pPr>
              <w:pStyle w:val="2"/>
              <w:spacing w:line="460" w:lineRule="exact"/>
              <w:rPr>
                <w:rFonts w:hint="eastAsia" w:ascii="宋体" w:hAnsi="宋体" w:eastAsia="宋体" w:cs="宋体"/>
                <w:color w:val="FF0000"/>
                <w:sz w:val="20"/>
                <w:szCs w:val="20"/>
              </w:rPr>
            </w:pPr>
          </w:p>
        </w:tc>
        <w:tc>
          <w:tcPr>
            <w:tcW w:w="681" w:type="pct"/>
            <w:vMerge w:val="continue"/>
            <w:vAlign w:val="center"/>
          </w:tcPr>
          <w:p w14:paraId="055A80EF">
            <w:pPr>
              <w:pStyle w:val="2"/>
              <w:spacing w:line="460" w:lineRule="exact"/>
              <w:rPr>
                <w:rFonts w:hint="eastAsia" w:ascii="宋体" w:hAnsi="宋体" w:eastAsia="宋体" w:cs="宋体"/>
                <w:color w:val="FF0000"/>
                <w:sz w:val="20"/>
                <w:szCs w:val="20"/>
              </w:rPr>
            </w:pPr>
          </w:p>
        </w:tc>
        <w:tc>
          <w:tcPr>
            <w:tcW w:w="237" w:type="pct"/>
            <w:vMerge w:val="continue"/>
            <w:vAlign w:val="center"/>
          </w:tcPr>
          <w:p w14:paraId="350A7A12">
            <w:pPr>
              <w:pStyle w:val="2"/>
              <w:spacing w:line="460" w:lineRule="exact"/>
              <w:rPr>
                <w:rFonts w:hint="eastAsia" w:ascii="宋体" w:hAnsi="宋体" w:eastAsia="宋体" w:cs="宋体"/>
                <w:color w:val="FF0000"/>
                <w:sz w:val="20"/>
                <w:szCs w:val="20"/>
              </w:rPr>
            </w:pPr>
          </w:p>
        </w:tc>
      </w:tr>
      <w:tr w14:paraId="6093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35" w:type="pct"/>
            <w:vAlign w:val="center"/>
          </w:tcPr>
          <w:p w14:paraId="0CB259E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4</w:t>
            </w:r>
          </w:p>
        </w:tc>
        <w:tc>
          <w:tcPr>
            <w:tcW w:w="348" w:type="pct"/>
            <w:vAlign w:val="center"/>
          </w:tcPr>
          <w:p w14:paraId="0964F76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冷凝器</w:t>
            </w:r>
          </w:p>
        </w:tc>
        <w:tc>
          <w:tcPr>
            <w:tcW w:w="747" w:type="pct"/>
            <w:vAlign w:val="center"/>
          </w:tcPr>
          <w:p w14:paraId="284987D7">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03PV3079</w:t>
            </w:r>
          </w:p>
        </w:tc>
        <w:tc>
          <w:tcPr>
            <w:tcW w:w="1593" w:type="pct"/>
            <w:vAlign w:val="center"/>
          </w:tcPr>
          <w:p w14:paraId="2A1ECE6A">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21505001182022061941</w:t>
            </w:r>
          </w:p>
        </w:tc>
        <w:tc>
          <w:tcPr>
            <w:tcW w:w="235" w:type="pct"/>
            <w:vAlign w:val="center"/>
          </w:tcPr>
          <w:p w14:paraId="5AEFC4B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2F7CC9C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81" w:type="pct"/>
            <w:vAlign w:val="center"/>
          </w:tcPr>
          <w:p w14:paraId="5C55F047">
            <w:pPr>
              <w:pStyle w:val="2"/>
              <w:spacing w:line="460" w:lineRule="exact"/>
              <w:rPr>
                <w:rFonts w:hint="eastAsia" w:ascii="宋体" w:hAnsi="宋体" w:eastAsia="宋体" w:cs="宋体"/>
                <w:color w:val="FF0000"/>
                <w:sz w:val="20"/>
                <w:szCs w:val="20"/>
              </w:rPr>
            </w:pPr>
          </w:p>
        </w:tc>
        <w:tc>
          <w:tcPr>
            <w:tcW w:w="681" w:type="pct"/>
            <w:vMerge w:val="continue"/>
            <w:vAlign w:val="center"/>
          </w:tcPr>
          <w:p w14:paraId="13856B8F">
            <w:pPr>
              <w:pStyle w:val="2"/>
              <w:spacing w:line="460" w:lineRule="exact"/>
              <w:rPr>
                <w:rFonts w:hint="eastAsia" w:ascii="宋体" w:hAnsi="宋体" w:eastAsia="宋体" w:cs="宋体"/>
                <w:color w:val="FF0000"/>
                <w:sz w:val="20"/>
                <w:szCs w:val="20"/>
              </w:rPr>
            </w:pPr>
          </w:p>
        </w:tc>
        <w:tc>
          <w:tcPr>
            <w:tcW w:w="237" w:type="pct"/>
            <w:vMerge w:val="continue"/>
            <w:vAlign w:val="center"/>
          </w:tcPr>
          <w:p w14:paraId="00146978">
            <w:pPr>
              <w:pStyle w:val="2"/>
              <w:spacing w:line="460" w:lineRule="exact"/>
              <w:rPr>
                <w:rFonts w:hint="eastAsia" w:ascii="宋体" w:hAnsi="宋体" w:eastAsia="宋体" w:cs="宋体"/>
                <w:color w:val="FF0000"/>
                <w:sz w:val="20"/>
                <w:szCs w:val="20"/>
              </w:rPr>
            </w:pPr>
          </w:p>
        </w:tc>
      </w:tr>
      <w:tr w14:paraId="6189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35" w:type="pct"/>
            <w:shd w:val="clear" w:color="auto" w:fill="auto"/>
            <w:vAlign w:val="center"/>
          </w:tcPr>
          <w:p w14:paraId="356BFC7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5</w:t>
            </w:r>
          </w:p>
        </w:tc>
        <w:tc>
          <w:tcPr>
            <w:tcW w:w="348" w:type="pct"/>
            <w:shd w:val="clear" w:color="auto" w:fill="auto"/>
            <w:vAlign w:val="center"/>
          </w:tcPr>
          <w:p w14:paraId="1A4C3F04">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油分离器</w:t>
            </w:r>
          </w:p>
        </w:tc>
        <w:tc>
          <w:tcPr>
            <w:tcW w:w="747" w:type="pct"/>
            <w:shd w:val="clear" w:color="auto" w:fill="auto"/>
            <w:vAlign w:val="center"/>
          </w:tcPr>
          <w:p w14:paraId="48B19300">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03PV3086、</w:t>
            </w:r>
          </w:p>
        </w:tc>
        <w:tc>
          <w:tcPr>
            <w:tcW w:w="1593" w:type="pct"/>
            <w:shd w:val="clear" w:color="auto" w:fill="auto"/>
            <w:vAlign w:val="center"/>
          </w:tcPr>
          <w:p w14:paraId="7F1D2E3D">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21505001182022061796</w:t>
            </w:r>
          </w:p>
        </w:tc>
        <w:tc>
          <w:tcPr>
            <w:tcW w:w="235" w:type="pct"/>
            <w:vAlign w:val="center"/>
          </w:tcPr>
          <w:p w14:paraId="5F75684A">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2FC5F498">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81" w:type="pct"/>
            <w:vAlign w:val="center"/>
          </w:tcPr>
          <w:p w14:paraId="1E4236D6">
            <w:pPr>
              <w:pStyle w:val="2"/>
              <w:spacing w:line="460" w:lineRule="exact"/>
              <w:rPr>
                <w:rFonts w:hint="eastAsia" w:ascii="宋体" w:hAnsi="宋体" w:eastAsia="宋体" w:cs="宋体"/>
                <w:color w:val="FF0000"/>
                <w:sz w:val="20"/>
                <w:szCs w:val="20"/>
              </w:rPr>
            </w:pPr>
          </w:p>
        </w:tc>
        <w:tc>
          <w:tcPr>
            <w:tcW w:w="681" w:type="pct"/>
            <w:vMerge w:val="continue"/>
            <w:vAlign w:val="center"/>
          </w:tcPr>
          <w:p w14:paraId="41B1792F">
            <w:pPr>
              <w:pStyle w:val="2"/>
              <w:spacing w:line="460" w:lineRule="exact"/>
              <w:rPr>
                <w:rFonts w:hint="eastAsia" w:ascii="宋体" w:hAnsi="宋体" w:eastAsia="宋体" w:cs="宋体"/>
                <w:color w:val="FF0000"/>
                <w:sz w:val="20"/>
                <w:szCs w:val="20"/>
              </w:rPr>
            </w:pPr>
          </w:p>
        </w:tc>
        <w:tc>
          <w:tcPr>
            <w:tcW w:w="237" w:type="pct"/>
            <w:vMerge w:val="continue"/>
            <w:vAlign w:val="center"/>
          </w:tcPr>
          <w:p w14:paraId="2D15E55F">
            <w:pPr>
              <w:pStyle w:val="2"/>
              <w:spacing w:line="460" w:lineRule="exact"/>
              <w:rPr>
                <w:rFonts w:hint="eastAsia" w:ascii="宋体" w:hAnsi="宋体" w:eastAsia="宋体" w:cs="宋体"/>
                <w:color w:val="FF0000"/>
                <w:sz w:val="20"/>
                <w:szCs w:val="20"/>
              </w:rPr>
            </w:pPr>
          </w:p>
        </w:tc>
      </w:tr>
      <w:tr w14:paraId="5A1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35" w:type="pct"/>
            <w:shd w:val="clear" w:color="auto" w:fill="auto"/>
            <w:vAlign w:val="center"/>
          </w:tcPr>
          <w:p w14:paraId="1945D41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6</w:t>
            </w:r>
          </w:p>
        </w:tc>
        <w:tc>
          <w:tcPr>
            <w:tcW w:w="348" w:type="pct"/>
            <w:shd w:val="clear" w:color="auto" w:fill="auto"/>
            <w:vAlign w:val="center"/>
          </w:tcPr>
          <w:p w14:paraId="7E2559B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油分离器</w:t>
            </w:r>
          </w:p>
        </w:tc>
        <w:tc>
          <w:tcPr>
            <w:tcW w:w="747" w:type="pct"/>
            <w:shd w:val="clear" w:color="auto" w:fill="auto"/>
            <w:vAlign w:val="center"/>
          </w:tcPr>
          <w:p w14:paraId="41511ED9">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03PV3042</w:t>
            </w:r>
          </w:p>
        </w:tc>
        <w:tc>
          <w:tcPr>
            <w:tcW w:w="1593" w:type="pct"/>
            <w:shd w:val="clear" w:color="auto" w:fill="auto"/>
            <w:vAlign w:val="center"/>
          </w:tcPr>
          <w:p w14:paraId="271C088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21505001182022061797</w:t>
            </w:r>
          </w:p>
        </w:tc>
        <w:tc>
          <w:tcPr>
            <w:tcW w:w="235" w:type="pct"/>
            <w:vAlign w:val="center"/>
          </w:tcPr>
          <w:p w14:paraId="0FDBCACB">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239" w:type="pct"/>
            <w:vAlign w:val="center"/>
          </w:tcPr>
          <w:p w14:paraId="283EDEA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81" w:type="pct"/>
            <w:vAlign w:val="center"/>
          </w:tcPr>
          <w:p w14:paraId="19335347">
            <w:pPr>
              <w:pStyle w:val="2"/>
              <w:spacing w:line="460" w:lineRule="exact"/>
              <w:rPr>
                <w:rFonts w:hint="eastAsia" w:ascii="宋体" w:hAnsi="宋体" w:eastAsia="宋体" w:cs="宋体"/>
                <w:color w:val="FF0000"/>
                <w:sz w:val="20"/>
                <w:szCs w:val="20"/>
              </w:rPr>
            </w:pPr>
          </w:p>
        </w:tc>
        <w:tc>
          <w:tcPr>
            <w:tcW w:w="681" w:type="pct"/>
            <w:vMerge w:val="continue"/>
            <w:vAlign w:val="center"/>
          </w:tcPr>
          <w:p w14:paraId="4948C7A8">
            <w:pPr>
              <w:pStyle w:val="2"/>
              <w:spacing w:line="460" w:lineRule="exact"/>
              <w:rPr>
                <w:rFonts w:hint="eastAsia" w:ascii="宋体" w:hAnsi="宋体" w:eastAsia="宋体" w:cs="宋体"/>
                <w:color w:val="FF0000"/>
                <w:sz w:val="20"/>
                <w:szCs w:val="20"/>
              </w:rPr>
            </w:pPr>
          </w:p>
        </w:tc>
        <w:tc>
          <w:tcPr>
            <w:tcW w:w="237" w:type="pct"/>
            <w:vMerge w:val="continue"/>
            <w:vAlign w:val="center"/>
          </w:tcPr>
          <w:p w14:paraId="3AE890E7">
            <w:pPr>
              <w:pStyle w:val="2"/>
              <w:spacing w:line="460" w:lineRule="exact"/>
              <w:rPr>
                <w:rFonts w:hint="eastAsia" w:ascii="宋体" w:hAnsi="宋体" w:eastAsia="宋体" w:cs="宋体"/>
                <w:color w:val="FF0000"/>
                <w:sz w:val="20"/>
                <w:szCs w:val="20"/>
              </w:rPr>
            </w:pPr>
          </w:p>
        </w:tc>
      </w:tr>
      <w:tr w14:paraId="4575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399" w:type="pct"/>
            <w:gridSpan w:val="6"/>
            <w:shd w:val="clear" w:color="auto" w:fill="auto"/>
            <w:vAlign w:val="center"/>
          </w:tcPr>
          <w:p w14:paraId="3F60A98A">
            <w:pPr>
              <w:pStyle w:val="2"/>
              <w:spacing w:line="460" w:lineRule="exact"/>
              <w:rPr>
                <w:rFonts w:hint="eastAsia" w:ascii="宋体" w:hAnsi="宋体" w:eastAsia="宋体" w:cs="宋体"/>
                <w:color w:val="FF0000"/>
                <w:sz w:val="20"/>
                <w:szCs w:val="20"/>
                <w:lang w:eastAsia="zh-CN"/>
              </w:rPr>
            </w:pPr>
            <w:r>
              <w:rPr>
                <w:rFonts w:hint="eastAsia" w:ascii="宋体" w:hAnsi="宋体" w:cs="宋体"/>
                <w:color w:val="FF0000"/>
                <w:sz w:val="20"/>
                <w:szCs w:val="20"/>
                <w:lang w:eastAsia="zh-CN"/>
              </w:rPr>
              <w:t>总价（元）：</w:t>
            </w:r>
          </w:p>
        </w:tc>
        <w:tc>
          <w:tcPr>
            <w:tcW w:w="1600" w:type="pct"/>
            <w:gridSpan w:val="3"/>
            <w:vAlign w:val="center"/>
          </w:tcPr>
          <w:p w14:paraId="49296286">
            <w:pPr>
              <w:pStyle w:val="2"/>
              <w:spacing w:line="460" w:lineRule="exact"/>
              <w:rPr>
                <w:rFonts w:hint="eastAsia" w:ascii="宋体" w:hAnsi="宋体" w:eastAsia="宋体" w:cs="宋体"/>
                <w:color w:val="FF0000"/>
                <w:sz w:val="20"/>
                <w:szCs w:val="20"/>
              </w:rPr>
            </w:pPr>
          </w:p>
        </w:tc>
      </w:tr>
    </w:tbl>
    <w:p w14:paraId="642C5BDD">
      <w:pPr>
        <w:rPr>
          <w:rFonts w:hint="eastAsia" w:ascii="宋体" w:hAnsi="宋体" w:eastAsia="宋体" w:cs="宋体"/>
          <w:color w:val="FF0000"/>
          <w:lang w:val="en-US" w:eastAsia="zh-CN"/>
        </w:rPr>
      </w:pPr>
    </w:p>
    <w:p w14:paraId="536F1544">
      <w:pPr>
        <w:rPr>
          <w:rFonts w:hint="eastAsia" w:ascii="宋体" w:hAnsi="宋体" w:eastAsia="宋体" w:cs="宋体"/>
          <w:b/>
          <w:color w:val="000000" w:themeColor="text1"/>
          <w:shd w:val="clear" w:color="auto" w:fill="auto"/>
          <w:lang w:eastAsia="zh-CN"/>
          <w14:textFill>
            <w14:solidFill>
              <w14:schemeClr w14:val="tx1"/>
            </w14:solidFill>
          </w14:textFill>
        </w:rPr>
      </w:pPr>
    </w:p>
    <w:p w14:paraId="204FC39F">
      <w:pP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FF0000"/>
          <w:kern w:val="2"/>
          <w:sz w:val="24"/>
          <w:szCs w:val="24"/>
          <w:shd w:val="clear" w:color="auto" w:fill="auto"/>
          <w:lang w:val="en-US" w:eastAsia="zh-CN" w:bidi="ar-SA"/>
        </w:rPr>
        <w:t>注：1.本次招标为全包干性质，涵盖了为1号楼2台约克螺杆机组压力容器进行定期检定、特种设备使用登记证展期、获取特种设备使用证和恢复打磨处油漆和保温层所需的所有费用。费用包括但不限于货物费、服务费、人工费以及提供改造服务所需的设备购买（制造）费、车费、住宿费、餐饮费、材料费、保险费、代理费、税金等。所有费用均由中标单位负责承担。若因响应人自身原因导致费用漏报或少报，响应人自行承担相应责任，采购人不提供额外补偿。</w:t>
      </w:r>
    </w:p>
    <w:p w14:paraId="7A4DBBA1">
      <w:pPr>
        <w:rPr>
          <w:rFonts w:hint="eastAsia" w:ascii="宋体" w:hAnsi="宋体" w:eastAsia="宋体" w:cs="宋体"/>
          <w:b/>
          <w:color w:val="000000" w:themeColor="text1"/>
          <w:shd w:val="clear" w:color="auto" w:fill="auto"/>
          <w14:textFill>
            <w14:solidFill>
              <w14:schemeClr w14:val="tx1"/>
            </w14:solidFill>
          </w14:textFill>
        </w:rPr>
      </w:pPr>
    </w:p>
    <w:p w14:paraId="1F801463">
      <w:pPr>
        <w:rPr>
          <w:rFonts w:hint="eastAsia" w:ascii="宋体" w:hAnsi="宋体" w:eastAsia="宋体" w:cs="宋体"/>
          <w:b/>
          <w:color w:val="000000" w:themeColor="text1"/>
          <w:shd w:val="clear" w:color="auto" w:fill="auto"/>
          <w14:textFill>
            <w14:solidFill>
              <w14:schemeClr w14:val="tx1"/>
            </w14:solidFill>
          </w14:textFill>
        </w:rPr>
      </w:pPr>
    </w:p>
    <w:p w14:paraId="2B3101E0">
      <w:pPr>
        <w:rPr>
          <w:rFonts w:hint="eastAsia" w:ascii="宋体" w:hAnsi="宋体" w:eastAsia="宋体" w:cs="宋体"/>
          <w:b/>
          <w:color w:val="000000" w:themeColor="text1"/>
          <w:shd w:val="clear" w:color="auto" w:fill="auto"/>
          <w14:textFill>
            <w14:solidFill>
              <w14:schemeClr w14:val="tx1"/>
            </w14:solidFill>
          </w14:textFill>
        </w:rPr>
      </w:pPr>
    </w:p>
    <w:p w14:paraId="7452FC15">
      <w:pPr>
        <w:rPr>
          <w:rFonts w:hint="eastAsia" w:ascii="宋体" w:hAnsi="宋体" w:eastAsia="宋体" w:cs="宋体"/>
          <w:b/>
          <w:color w:val="000000" w:themeColor="text1"/>
          <w:shd w:val="clear" w:color="auto" w:fill="auto"/>
          <w14:textFill>
            <w14:solidFill>
              <w14:schemeClr w14:val="tx1"/>
            </w14:solidFill>
          </w14:textFill>
        </w:rPr>
      </w:pPr>
    </w:p>
    <w:p w14:paraId="7B0857CC">
      <w:pPr>
        <w:rPr>
          <w:rFonts w:hint="eastAsia" w:ascii="宋体" w:hAnsi="宋体" w:eastAsia="宋体" w:cs="宋体"/>
          <w:b/>
          <w:color w:val="000000" w:themeColor="text1"/>
          <w:shd w:val="clear" w:color="auto" w:fill="auto"/>
          <w14:textFill>
            <w14:solidFill>
              <w14:schemeClr w14:val="tx1"/>
            </w14:solidFill>
          </w14:textFill>
        </w:rPr>
      </w:pPr>
    </w:p>
    <w:p w14:paraId="0ADC6EFC">
      <w:pPr>
        <w:rPr>
          <w:rFonts w:hint="eastAsia" w:ascii="宋体" w:hAnsi="宋体" w:eastAsia="宋体" w:cs="宋体"/>
          <w:b/>
          <w:color w:val="000000" w:themeColor="text1"/>
          <w:shd w:val="clear" w:color="auto" w:fill="auto"/>
          <w14:textFill>
            <w14:solidFill>
              <w14:schemeClr w14:val="tx1"/>
            </w14:solidFill>
          </w14:textFill>
        </w:rPr>
      </w:pPr>
    </w:p>
    <w:p w14:paraId="7BCEAC6C">
      <w:pPr>
        <w:pStyle w:val="23"/>
        <w:rPr>
          <w:rFonts w:hint="eastAsia" w:ascii="宋体" w:hAnsi="宋体" w:eastAsia="宋体" w:cs="宋体"/>
          <w:b/>
          <w:color w:val="000000" w:themeColor="text1"/>
          <w:shd w:val="clear" w:color="auto" w:fill="auto"/>
          <w14:textFill>
            <w14:solidFill>
              <w14:schemeClr w14:val="tx1"/>
            </w14:solidFill>
          </w14:textFill>
        </w:rPr>
      </w:pPr>
    </w:p>
    <w:p w14:paraId="7B2FA69C">
      <w:pPr>
        <w:rPr>
          <w:rFonts w:hint="eastAsia" w:ascii="宋体" w:hAnsi="宋体" w:eastAsia="宋体" w:cs="宋体"/>
          <w:b/>
          <w:color w:val="000000" w:themeColor="text1"/>
          <w:shd w:val="clear" w:color="auto" w:fill="auto"/>
          <w14:textFill>
            <w14:solidFill>
              <w14:schemeClr w14:val="tx1"/>
            </w14:solidFill>
          </w14:textFill>
        </w:rPr>
      </w:pPr>
    </w:p>
    <w:p w14:paraId="64707B82">
      <w:pPr>
        <w:pStyle w:val="23"/>
        <w:rPr>
          <w:rFonts w:hint="eastAsia" w:ascii="宋体" w:hAnsi="宋体" w:eastAsia="宋体" w:cs="宋体"/>
          <w:b/>
          <w:color w:val="000000" w:themeColor="text1"/>
          <w:shd w:val="clear" w:color="auto" w:fill="auto"/>
          <w14:textFill>
            <w14:solidFill>
              <w14:schemeClr w14:val="tx1"/>
            </w14:solidFill>
          </w14:textFill>
        </w:rPr>
      </w:pPr>
    </w:p>
    <w:p w14:paraId="682DA82B">
      <w:pPr>
        <w:rPr>
          <w:rFonts w:hint="eastAsia" w:ascii="宋体" w:hAnsi="宋体" w:eastAsia="宋体" w:cs="宋体"/>
          <w:b/>
          <w:color w:val="000000" w:themeColor="text1"/>
          <w:shd w:val="clear" w:color="auto" w:fill="auto"/>
          <w14:textFill>
            <w14:solidFill>
              <w14:schemeClr w14:val="tx1"/>
            </w14:solidFill>
          </w14:textFill>
        </w:rPr>
      </w:pPr>
    </w:p>
    <w:p w14:paraId="52B0D530">
      <w:pPr>
        <w:pStyle w:val="2"/>
        <w:jc w:val="both"/>
        <w:rPr>
          <w:rFonts w:hint="eastAsia"/>
          <w:color w:val="000000" w:themeColor="text1"/>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5"/>
      <w:bookmarkEnd w:id="146"/>
      <w:bookmarkEnd w:id="147"/>
      <w:bookmarkEnd w:id="148"/>
      <w:bookmarkEnd w:id="149"/>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0" w:name="_Toc485108798"/>
      <w:bookmarkStart w:id="151" w:name="_Toc313008358"/>
      <w:bookmarkStart w:id="152" w:name="_Toc480979020"/>
      <w:bookmarkStart w:id="153" w:name="_Toc342913421"/>
      <w:bookmarkStart w:id="154"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50"/>
      <w:bookmarkEnd w:id="151"/>
      <w:bookmarkEnd w:id="152"/>
      <w:bookmarkEnd w:id="153"/>
      <w:bookmarkEnd w:id="154"/>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2A862607">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5C8C1F10">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5"/>
      <w:bookmarkStart w:id="156" w:name="_Toc313888363"/>
      <w:bookmarkStart w:id="157" w:name="_Toc313008359"/>
      <w:bookmarkStart w:id="158"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6"/>
      <w:bookmarkEnd w:id="157"/>
      <w:bookmarkEnd w:id="158"/>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9" w:name="OLE_LINK7"/>
      <w:bookmarkStart w:id="160"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9"/>
    <w:bookmarkEnd w:id="160"/>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4"/>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1" w:name="_Toc27212"/>
      <w:bookmarkStart w:id="162"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4"/>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1"/>
    <w:bookmarkEnd w:id="162"/>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916CA3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DE51BA">
      <w:pPr>
        <w:pStyle w:val="2"/>
        <w:rPr>
          <w:rFonts w:hint="eastAsia" w:ascii="宋体" w:hAnsi="宋体" w:eastAsia="宋体" w:cs="宋体"/>
          <w:color w:val="000000" w:themeColor="text1"/>
          <w:sz w:val="28"/>
          <w:szCs w:val="28"/>
          <w:shd w:val="clear" w:color="auto" w:fill="auto"/>
          <w14:textFill>
            <w14:solidFill>
              <w14:schemeClr w14:val="tx1"/>
            </w14:solidFill>
          </w14:textFill>
        </w:rPr>
      </w:pPr>
    </w:p>
    <w:p w14:paraId="019532D4">
      <w:pPr>
        <w:rPr>
          <w:rFonts w:hint="eastAsia" w:ascii="宋体" w:hAnsi="宋体" w:eastAsia="宋体" w:cs="宋体"/>
          <w:color w:val="000000" w:themeColor="text1"/>
          <w:sz w:val="28"/>
          <w:szCs w:val="28"/>
          <w:shd w:val="clear" w:color="auto" w:fill="auto"/>
          <w14:textFill>
            <w14:solidFill>
              <w14:schemeClr w14:val="tx1"/>
            </w14:solidFill>
          </w14:textFill>
        </w:rPr>
      </w:pPr>
    </w:p>
    <w:p w14:paraId="2BD0A3AA">
      <w:pPr>
        <w:pStyle w:val="2"/>
        <w:rPr>
          <w:rFonts w:hint="eastAsia"/>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EBAB171">
      <w:pPr>
        <w:pStyle w:val="2"/>
        <w:rPr>
          <w:rFonts w:hint="eastAsia" w:ascii="宋体" w:hAnsi="宋体" w:eastAsia="宋体" w:cs="宋体"/>
          <w:color w:val="000000" w:themeColor="text1"/>
          <w:sz w:val="28"/>
          <w:szCs w:val="28"/>
          <w:shd w:val="clear" w:color="auto" w:fill="auto"/>
          <w14:textFill>
            <w14:solidFill>
              <w14:schemeClr w14:val="tx1"/>
            </w14:solidFill>
          </w14:textFill>
        </w:rPr>
      </w:pPr>
    </w:p>
    <w:p w14:paraId="218BFFD9">
      <w:pPr>
        <w:rPr>
          <w:rFonts w:hint="eastAsia"/>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jc w:val="both"/>
        <w:rPr>
          <w:rFonts w:hint="eastAsia" w:ascii="宋体" w:hAnsi="宋体" w:eastAsia="宋体" w:cs="宋体"/>
          <w:color w:val="000000" w:themeColor="text1"/>
          <w:sz w:val="32"/>
          <w:szCs w:val="32"/>
          <w:shd w:val="clear" w:color="auto" w:fill="auto"/>
          <w14:textFill>
            <w14:solidFill>
              <w14:schemeClr w14:val="tx1"/>
            </w14:solidFill>
          </w14:textFill>
        </w:rPr>
      </w:pPr>
    </w:p>
    <w:p w14:paraId="63CD46C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19FFB619-6C78-4F8E-826A-B30B440DE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7384B"/>
    <w:multiLevelType w:val="singleLevel"/>
    <w:tmpl w:val="91F7384B"/>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64359"/>
    <w:rsid w:val="037655B8"/>
    <w:rsid w:val="037759DB"/>
    <w:rsid w:val="03BB3ADF"/>
    <w:rsid w:val="03C2134C"/>
    <w:rsid w:val="044364BC"/>
    <w:rsid w:val="04946745"/>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756C9E"/>
    <w:rsid w:val="0BAE21B6"/>
    <w:rsid w:val="0BDC31C7"/>
    <w:rsid w:val="0BE1258C"/>
    <w:rsid w:val="0BE64970"/>
    <w:rsid w:val="0C033E70"/>
    <w:rsid w:val="0C3152C1"/>
    <w:rsid w:val="0C481EEF"/>
    <w:rsid w:val="0C931BB2"/>
    <w:rsid w:val="0C975B64"/>
    <w:rsid w:val="0C9D3992"/>
    <w:rsid w:val="0CA63E0D"/>
    <w:rsid w:val="0CE165CE"/>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1523FC"/>
    <w:rsid w:val="11782A26"/>
    <w:rsid w:val="13141499"/>
    <w:rsid w:val="131D034D"/>
    <w:rsid w:val="134E0964"/>
    <w:rsid w:val="13653AA2"/>
    <w:rsid w:val="13D3313B"/>
    <w:rsid w:val="13D52C1B"/>
    <w:rsid w:val="13F41DC8"/>
    <w:rsid w:val="14942891"/>
    <w:rsid w:val="14B95EDB"/>
    <w:rsid w:val="14C6168E"/>
    <w:rsid w:val="14C6556D"/>
    <w:rsid w:val="1554725E"/>
    <w:rsid w:val="15604521"/>
    <w:rsid w:val="156125ED"/>
    <w:rsid w:val="158D32E0"/>
    <w:rsid w:val="15B67E48"/>
    <w:rsid w:val="175031E9"/>
    <w:rsid w:val="17E52B34"/>
    <w:rsid w:val="18130842"/>
    <w:rsid w:val="18465822"/>
    <w:rsid w:val="18675712"/>
    <w:rsid w:val="18E50010"/>
    <w:rsid w:val="18F71640"/>
    <w:rsid w:val="19394057"/>
    <w:rsid w:val="19B7492C"/>
    <w:rsid w:val="19F931C2"/>
    <w:rsid w:val="1A511E59"/>
    <w:rsid w:val="1A705757"/>
    <w:rsid w:val="1B1D5FE3"/>
    <w:rsid w:val="1B484046"/>
    <w:rsid w:val="1B4A5E5B"/>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1EFD"/>
    <w:rsid w:val="204C6181"/>
    <w:rsid w:val="20FB0BC7"/>
    <w:rsid w:val="2114239C"/>
    <w:rsid w:val="216435EB"/>
    <w:rsid w:val="21C45BE8"/>
    <w:rsid w:val="21F678C9"/>
    <w:rsid w:val="21F94F0D"/>
    <w:rsid w:val="224F1BA5"/>
    <w:rsid w:val="2256246B"/>
    <w:rsid w:val="2260653C"/>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1C4C20"/>
    <w:rsid w:val="282105EF"/>
    <w:rsid w:val="282D107F"/>
    <w:rsid w:val="28377F6C"/>
    <w:rsid w:val="28580457"/>
    <w:rsid w:val="287535CD"/>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3A6065"/>
    <w:rsid w:val="309D08C8"/>
    <w:rsid w:val="30A44277"/>
    <w:rsid w:val="30B15F03"/>
    <w:rsid w:val="31CA4358"/>
    <w:rsid w:val="31FA7479"/>
    <w:rsid w:val="32050A97"/>
    <w:rsid w:val="32284BF5"/>
    <w:rsid w:val="32DA1DD4"/>
    <w:rsid w:val="33323C73"/>
    <w:rsid w:val="3361798A"/>
    <w:rsid w:val="33861085"/>
    <w:rsid w:val="34477E1A"/>
    <w:rsid w:val="34B44507"/>
    <w:rsid w:val="35006E66"/>
    <w:rsid w:val="35687566"/>
    <w:rsid w:val="35B15F88"/>
    <w:rsid w:val="35D501BC"/>
    <w:rsid w:val="35E87A5C"/>
    <w:rsid w:val="3608331B"/>
    <w:rsid w:val="36834056"/>
    <w:rsid w:val="369E4A52"/>
    <w:rsid w:val="36A73740"/>
    <w:rsid w:val="36EC0B56"/>
    <w:rsid w:val="37542B62"/>
    <w:rsid w:val="375A306E"/>
    <w:rsid w:val="37D83F93"/>
    <w:rsid w:val="381C19EE"/>
    <w:rsid w:val="382D2437"/>
    <w:rsid w:val="38442273"/>
    <w:rsid w:val="385D0EF3"/>
    <w:rsid w:val="38807492"/>
    <w:rsid w:val="389536A9"/>
    <w:rsid w:val="38C010B0"/>
    <w:rsid w:val="38E86458"/>
    <w:rsid w:val="38EB2B69"/>
    <w:rsid w:val="39081E40"/>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F12C4"/>
    <w:rsid w:val="3F150346"/>
    <w:rsid w:val="3F1919F8"/>
    <w:rsid w:val="3F4757B8"/>
    <w:rsid w:val="3F591E5E"/>
    <w:rsid w:val="3F5A6C6F"/>
    <w:rsid w:val="3FC45529"/>
    <w:rsid w:val="3FD041C7"/>
    <w:rsid w:val="3FE1690B"/>
    <w:rsid w:val="40113C23"/>
    <w:rsid w:val="403F2E01"/>
    <w:rsid w:val="404A2E64"/>
    <w:rsid w:val="409E016F"/>
    <w:rsid w:val="40AB0EC9"/>
    <w:rsid w:val="40C2612C"/>
    <w:rsid w:val="40E52488"/>
    <w:rsid w:val="41007A8F"/>
    <w:rsid w:val="410523C0"/>
    <w:rsid w:val="415869FC"/>
    <w:rsid w:val="41670862"/>
    <w:rsid w:val="41AB14E8"/>
    <w:rsid w:val="41D4500D"/>
    <w:rsid w:val="41D67141"/>
    <w:rsid w:val="41F534A6"/>
    <w:rsid w:val="41F5463E"/>
    <w:rsid w:val="42030507"/>
    <w:rsid w:val="420A020E"/>
    <w:rsid w:val="420A1906"/>
    <w:rsid w:val="423F7EC6"/>
    <w:rsid w:val="42521F95"/>
    <w:rsid w:val="428345E9"/>
    <w:rsid w:val="429D5EC0"/>
    <w:rsid w:val="42A40896"/>
    <w:rsid w:val="42C45C68"/>
    <w:rsid w:val="437470EA"/>
    <w:rsid w:val="437C12A7"/>
    <w:rsid w:val="43A803E4"/>
    <w:rsid w:val="43F81C45"/>
    <w:rsid w:val="444565A3"/>
    <w:rsid w:val="447A6AFE"/>
    <w:rsid w:val="45AC0F39"/>
    <w:rsid w:val="461B60BF"/>
    <w:rsid w:val="46C96141"/>
    <w:rsid w:val="46D06FAA"/>
    <w:rsid w:val="46F850C0"/>
    <w:rsid w:val="475461C4"/>
    <w:rsid w:val="477A0BC3"/>
    <w:rsid w:val="47D41743"/>
    <w:rsid w:val="47F3755A"/>
    <w:rsid w:val="482B71EF"/>
    <w:rsid w:val="487D04F4"/>
    <w:rsid w:val="48A31EA1"/>
    <w:rsid w:val="48AA6AB7"/>
    <w:rsid w:val="48FA020D"/>
    <w:rsid w:val="492C6FBB"/>
    <w:rsid w:val="498A69D6"/>
    <w:rsid w:val="499D1F70"/>
    <w:rsid w:val="4A1025A8"/>
    <w:rsid w:val="4A832C17"/>
    <w:rsid w:val="4A9100D0"/>
    <w:rsid w:val="4AC26B09"/>
    <w:rsid w:val="4AD41B9B"/>
    <w:rsid w:val="4AED1C9D"/>
    <w:rsid w:val="4B0B5BC5"/>
    <w:rsid w:val="4B597B89"/>
    <w:rsid w:val="4BE8259F"/>
    <w:rsid w:val="4C4E289A"/>
    <w:rsid w:val="4DBE5CAD"/>
    <w:rsid w:val="4DD75684"/>
    <w:rsid w:val="4E0D2518"/>
    <w:rsid w:val="4E231003"/>
    <w:rsid w:val="4E3873B7"/>
    <w:rsid w:val="4EF70D4B"/>
    <w:rsid w:val="4F2E0C11"/>
    <w:rsid w:val="4F79418A"/>
    <w:rsid w:val="50A2078E"/>
    <w:rsid w:val="50A353E4"/>
    <w:rsid w:val="50B9275C"/>
    <w:rsid w:val="50F72CC9"/>
    <w:rsid w:val="50FE286B"/>
    <w:rsid w:val="514069D9"/>
    <w:rsid w:val="51932220"/>
    <w:rsid w:val="51BE25F1"/>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431446"/>
    <w:rsid w:val="565C7750"/>
    <w:rsid w:val="56644F18"/>
    <w:rsid w:val="56A12956"/>
    <w:rsid w:val="56E474BA"/>
    <w:rsid w:val="56FF2E93"/>
    <w:rsid w:val="58035E1A"/>
    <w:rsid w:val="586259DC"/>
    <w:rsid w:val="58625BCC"/>
    <w:rsid w:val="58B574EB"/>
    <w:rsid w:val="58FC1D80"/>
    <w:rsid w:val="593509FB"/>
    <w:rsid w:val="5943305B"/>
    <w:rsid w:val="59893E96"/>
    <w:rsid w:val="599D432B"/>
    <w:rsid w:val="59E56370"/>
    <w:rsid w:val="5AF23BE2"/>
    <w:rsid w:val="5B1E275D"/>
    <w:rsid w:val="5B3E21DC"/>
    <w:rsid w:val="5B4A5024"/>
    <w:rsid w:val="5BBD57F6"/>
    <w:rsid w:val="5BC414F3"/>
    <w:rsid w:val="5C953453"/>
    <w:rsid w:val="5CA938AF"/>
    <w:rsid w:val="5CAE15E3"/>
    <w:rsid w:val="5D290C69"/>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616805"/>
    <w:rsid w:val="639436E3"/>
    <w:rsid w:val="6445282D"/>
    <w:rsid w:val="645A13DB"/>
    <w:rsid w:val="648C045C"/>
    <w:rsid w:val="651B17E0"/>
    <w:rsid w:val="656A40F1"/>
    <w:rsid w:val="658C5E23"/>
    <w:rsid w:val="65F9363E"/>
    <w:rsid w:val="667E25AF"/>
    <w:rsid w:val="66815672"/>
    <w:rsid w:val="669E7442"/>
    <w:rsid w:val="67152E14"/>
    <w:rsid w:val="67711758"/>
    <w:rsid w:val="67770DF7"/>
    <w:rsid w:val="679C27B9"/>
    <w:rsid w:val="67CB3049"/>
    <w:rsid w:val="67FF2A16"/>
    <w:rsid w:val="682465CF"/>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4F05A5"/>
    <w:rsid w:val="6DAB4CCB"/>
    <w:rsid w:val="6DC70D5C"/>
    <w:rsid w:val="6DDA24A1"/>
    <w:rsid w:val="6E0E1C83"/>
    <w:rsid w:val="6E45126B"/>
    <w:rsid w:val="6EA06A97"/>
    <w:rsid w:val="6F062BB9"/>
    <w:rsid w:val="6F185329"/>
    <w:rsid w:val="6F213E8F"/>
    <w:rsid w:val="70E64A50"/>
    <w:rsid w:val="70FF643D"/>
    <w:rsid w:val="71143D27"/>
    <w:rsid w:val="71231A63"/>
    <w:rsid w:val="714B6E37"/>
    <w:rsid w:val="71C72BEE"/>
    <w:rsid w:val="73227268"/>
    <w:rsid w:val="73614D85"/>
    <w:rsid w:val="7363682B"/>
    <w:rsid w:val="739465A0"/>
    <w:rsid w:val="73A82490"/>
    <w:rsid w:val="73B34AD5"/>
    <w:rsid w:val="73D42B6E"/>
    <w:rsid w:val="743B3E3F"/>
    <w:rsid w:val="74E41D61"/>
    <w:rsid w:val="75842A89"/>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7D55A3"/>
    <w:rsid w:val="7D9210EB"/>
    <w:rsid w:val="7D9D6F2B"/>
    <w:rsid w:val="7DE81FDD"/>
    <w:rsid w:val="7E382FE7"/>
    <w:rsid w:val="7E3C60AD"/>
    <w:rsid w:val="7E4429B6"/>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w:basedOn w:val="1"/>
    <w:next w:val="1"/>
    <w:link w:val="124"/>
    <w:autoRedefine/>
    <w:qFormat/>
    <w:uiPriority w:val="0"/>
    <w:rPr>
      <w:rFonts w:ascii="仿宋_GB2312" w:hAnsi="Times New Roman" w:eastAsia="仿宋_GB2312" w:cs="Times New Roman"/>
      <w:sz w:val="32"/>
      <w:szCs w:val="20"/>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3"/>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4"/>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3"/>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3"/>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3"/>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3"/>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3"/>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12196</Words>
  <Characters>12706</Characters>
  <Lines>182</Lines>
  <Paragraphs>51</Paragraphs>
  <TotalTime>5</TotalTime>
  <ScaleCrop>false</ScaleCrop>
  <LinksUpToDate>false</LinksUpToDate>
  <CharactersWithSpaces>12948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2025-05-06T01:48:10Z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