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lang w:eastAsia="zh-CN"/>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2025FW043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定制公交线路服务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363D64C">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5875"/>
      <w:bookmarkStart w:id="2" w:name="_Toc485108766"/>
      <w:bookmarkStart w:id="3"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定制公交线路服务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485108767"/>
      <w:bookmarkStart w:id="8" w:name="_Toc28443"/>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定制公交线路服务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服务期：半年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w:t>
      </w:r>
    </w:p>
    <w:p w14:paraId="6E6676FB">
      <w:pPr>
        <w:pStyle w:val="22"/>
        <w:numPr>
          <w:ilvl w:val="0"/>
          <w:numId w:val="0"/>
        </w:numPr>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三、项目预算：</w:t>
      </w:r>
      <w:bookmarkStart w:id="12" w:name="_Toc485108769"/>
      <w:bookmarkStart w:id="13" w:name="_Toc2385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31万元</w:t>
      </w:r>
    </w:p>
    <w:p w14:paraId="7AA96D60">
      <w:pPr>
        <w:pStyle w:val="22"/>
        <w:numPr>
          <w:ilvl w:val="0"/>
          <w:numId w:val="0"/>
        </w:numPr>
        <w:rPr>
          <w:rStyle w:val="70"/>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59DF55CA">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1.投标方资质：有效的三证合一营业执照，有效期内的《交通运输企业安全生产标准化建设等级证明二级》、《交通运输企业安全生产标准化建设等级证明三级》资质。</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五、比选有关说明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w:t>
      </w:r>
      <w:bookmarkStart w:id="165" w:name="_GoBack"/>
      <w:bookmarkEnd w:id="165"/>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bookmarkEnd w:id="28"/>
    </w:p>
    <w:p w14:paraId="394B3A9D">
      <w:pPr>
        <w:rPr>
          <w:rFonts w:hint="eastAsia" w:ascii="宋体" w:hAnsi="宋体" w:eastAsia="宋体" w:cs="宋体"/>
          <w:color w:val="000000" w:themeColor="text1"/>
          <w:shd w:val="clear" w:color="auto" w:fill="auto"/>
          <w14:textFill>
            <w14:solidFill>
              <w14:schemeClr w14:val="tx1"/>
            </w14:solidFill>
          </w14:textFill>
        </w:rPr>
      </w:pPr>
    </w:p>
    <w:p w14:paraId="30998414">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32D776BB">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50027D31">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cs="宋体"/>
          <w:color w:val="FF0000"/>
          <w:kern w:val="2"/>
          <w:sz w:val="24"/>
          <w:szCs w:val="24"/>
          <w:shd w:val="clear" w:color="auto" w:fill="auto"/>
          <w:lang w:val="en-US" w:eastAsia="zh-CN" w:bidi="ar-SA"/>
        </w:rPr>
        <w:t>1</w:t>
      </w:r>
      <w:r>
        <w:rPr>
          <w:rFonts w:hint="eastAsia" w:ascii="宋体" w:hAnsi="宋体" w:eastAsia="宋体" w:cs="宋体"/>
          <w:color w:val="FF0000"/>
          <w:sz w:val="24"/>
          <w:szCs w:val="24"/>
          <w:shd w:val="clear" w:color="auto" w:fill="auto"/>
          <w:lang w:val="en-US" w:eastAsia="zh-CN"/>
        </w:rPr>
        <w:t>.</w:t>
      </w:r>
      <w:r>
        <w:rPr>
          <w:rFonts w:hint="default" w:ascii="宋体" w:hAnsi="宋体" w:eastAsia="宋体" w:cs="宋体"/>
          <w:color w:val="FF0000"/>
          <w:sz w:val="24"/>
          <w:szCs w:val="24"/>
          <w:shd w:val="clear" w:color="auto" w:fill="auto"/>
        </w:rPr>
        <w:t>投标报价为包干价，包含但不限于服务费、驾驶员劳务费、税费等</w:t>
      </w:r>
      <w:r>
        <w:rPr>
          <w:rFonts w:hint="eastAsia" w:cs="宋体"/>
          <w:color w:val="FF0000"/>
          <w:kern w:val="2"/>
          <w:sz w:val="24"/>
          <w:szCs w:val="24"/>
          <w:shd w:val="clear" w:color="auto" w:fill="auto"/>
          <w:lang w:val="en-US" w:eastAsia="zh-CN" w:bidi="ar-SA"/>
        </w:rPr>
        <w:t>。</w:t>
      </w:r>
      <w:r>
        <w:rPr>
          <w:rFonts w:hint="eastAsia" w:cs="宋体"/>
          <w:color w:val="000000" w:themeColor="text1"/>
          <w:kern w:val="2"/>
          <w:sz w:val="24"/>
          <w:szCs w:val="24"/>
          <w:shd w:val="clear" w:color="auto" w:fill="auto"/>
          <w:lang w:val="en-US" w:eastAsia="zh-CN" w:bidi="ar-SA"/>
          <w14:textFill>
            <w14:solidFill>
              <w14:schemeClr w14:val="tx1"/>
            </w14:solidFill>
          </w14:textFill>
        </w:rPr>
        <w:t>（见第六章）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3"/>
      <w:bookmarkStart w:id="35"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19143"/>
      <w:bookmarkStart w:id="38" w:name="_Toc342913393"/>
      <w:bookmarkStart w:id="39" w:name="_Toc403569780"/>
      <w:bookmarkStart w:id="40" w:name="_Toc102227319"/>
      <w:bookmarkStart w:id="41" w:name="_Toc179714298"/>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17413"/>
      <w:bookmarkStart w:id="56" w:name="_Toc12880"/>
      <w:bookmarkStart w:id="57"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4F9D42E">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3EE619CC">
      <w:pPr>
        <w:spacing w:line="390" w:lineRule="exact"/>
        <w:ind w:firstLine="482" w:firstLineChars="200"/>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pPr>
      <w:bookmarkStart w:id="65" w:name="OLE_LINK2"/>
      <w:bookmarkStart w:id="66" w:name="OLE_LINK1"/>
      <w:bookmarkStart w:id="67" w:name="_Toc12789058"/>
      <w:bookmarkStart w:id="68" w:name="_Toc485108787"/>
      <w:bookmarkStart w:id="69" w:name="_Toc2832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b/>
          <w:bCs/>
          <w:color w:val="000000" w:themeColor="text1"/>
          <w:sz w:val="24"/>
          <w:szCs w:val="24"/>
          <w:shd w:val="clear" w:color="auto" w:fill="auto"/>
          <w14:textFill>
            <w14:solidFill>
              <w14:schemeClr w14:val="tx1"/>
            </w14:solidFill>
          </w14:textFill>
        </w:rPr>
        <w:t>、服务</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需求</w:t>
      </w:r>
    </w:p>
    <w:bookmarkEnd w:id="65"/>
    <w:bookmarkEnd w:id="66"/>
    <w:p w14:paraId="75F01FED">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1.运行路线：萱花院区—税务局（护理学院）—蚂蝗桥—植物园（加油站旁）—区政协（人社局旁）—华创西（人人乐）—君临棠城—兴龙湖公园南（金科中央公园）—海关—兴龙湖院区—翡翠郡—大安院区。</w:t>
      </w:r>
    </w:p>
    <w:p w14:paraId="04DC4CF9">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2.运行时间：</w:t>
      </w:r>
      <w:r>
        <w:rPr>
          <w:rFonts w:hint="eastAsia" w:ascii="宋体" w:hAnsi="宋体" w:eastAsia="宋体" w:cs="宋体"/>
          <w:color w:val="FF0000"/>
          <w:sz w:val="24"/>
          <w:szCs w:val="24"/>
          <w:shd w:val="clear" w:color="auto" w:fill="auto"/>
          <w:lang w:val="en-US" w:eastAsia="zh-CN"/>
        </w:rPr>
        <w:t>7:00-19:00</w:t>
      </w:r>
      <w:r>
        <w:rPr>
          <w:rFonts w:hint="default" w:ascii="宋体" w:hAnsi="宋体" w:eastAsia="宋体" w:cs="宋体"/>
          <w:color w:val="FF0000"/>
          <w:sz w:val="24"/>
          <w:szCs w:val="24"/>
          <w:shd w:val="clear" w:color="auto" w:fill="auto"/>
          <w:lang w:val="en-US" w:eastAsia="zh-CN"/>
        </w:rPr>
        <w:t>，双向定时</w:t>
      </w:r>
      <w:r>
        <w:rPr>
          <w:rFonts w:hint="eastAsia" w:ascii="宋体" w:hAnsi="宋体" w:eastAsia="宋体" w:cs="宋体"/>
          <w:color w:val="FF0000"/>
          <w:sz w:val="24"/>
          <w:szCs w:val="24"/>
          <w:shd w:val="clear" w:color="auto" w:fill="auto"/>
          <w:lang w:val="en-US" w:eastAsia="zh-CN"/>
        </w:rPr>
        <w:t>整点</w:t>
      </w:r>
      <w:r>
        <w:rPr>
          <w:rFonts w:hint="default" w:ascii="宋体" w:hAnsi="宋体" w:eastAsia="宋体" w:cs="宋体"/>
          <w:color w:val="FF0000"/>
          <w:sz w:val="24"/>
          <w:szCs w:val="24"/>
          <w:shd w:val="clear" w:color="auto" w:fill="auto"/>
          <w:lang w:val="en-US" w:eastAsia="zh-CN"/>
        </w:rPr>
        <w:t>发车</w:t>
      </w:r>
      <w:r>
        <w:rPr>
          <w:rFonts w:hint="default" w:ascii="宋体" w:hAnsi="宋体" w:eastAsia="宋体" w:cs="宋体"/>
          <w:color w:val="FF0000"/>
          <w:sz w:val="24"/>
          <w:szCs w:val="24"/>
          <w:shd w:val="clear" w:color="auto" w:fill="auto"/>
          <w:lang w:eastAsia="zh-CN"/>
        </w:rPr>
        <w:t>，</w:t>
      </w:r>
      <w:r>
        <w:rPr>
          <w:rFonts w:hint="default" w:ascii="宋体" w:hAnsi="宋体" w:eastAsia="宋体" w:cs="宋体"/>
          <w:color w:val="FF0000"/>
          <w:sz w:val="24"/>
          <w:szCs w:val="24"/>
          <w:shd w:val="clear" w:color="auto" w:fill="auto"/>
          <w:lang w:val="en-US" w:eastAsia="zh-CN"/>
        </w:rPr>
        <w:t>共需2辆车，</w:t>
      </w:r>
      <w:r>
        <w:rPr>
          <w:rFonts w:hint="default" w:ascii="宋体" w:hAnsi="宋体" w:eastAsia="宋体" w:cs="宋体"/>
          <w:color w:val="FF0000"/>
          <w:sz w:val="24"/>
          <w:szCs w:val="24"/>
          <w:shd w:val="clear" w:color="auto" w:fill="auto"/>
          <w:lang w:eastAsia="zh-CN"/>
        </w:rPr>
        <w:t>全天各13趟次</w:t>
      </w:r>
      <w:r>
        <w:rPr>
          <w:rFonts w:hint="default" w:ascii="宋体" w:hAnsi="宋体" w:eastAsia="宋体" w:cs="宋体"/>
          <w:color w:val="FF0000"/>
          <w:sz w:val="24"/>
          <w:szCs w:val="24"/>
          <w:shd w:val="clear" w:color="auto" w:fill="auto"/>
          <w:lang w:val="en-US" w:eastAsia="zh-CN"/>
        </w:rPr>
        <w:t>。在定时发车班次不能满足兴龙湖教学部教学用车需求的情况下，服务方须根据采购方需求单独调车。</w:t>
      </w:r>
    </w:p>
    <w:p w14:paraId="60268033">
      <w:pPr>
        <w:snapToGrid w:val="0"/>
        <w:spacing w:line="400" w:lineRule="exact"/>
        <w:ind w:firstLine="480" w:firstLineChars="200"/>
        <w:jc w:val="left"/>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lang w:val="en-US" w:eastAsia="zh-CN"/>
        </w:rPr>
        <w:t>3.</w:t>
      </w:r>
      <w:r>
        <w:rPr>
          <w:rFonts w:hint="default" w:ascii="宋体" w:hAnsi="宋体" w:eastAsia="宋体" w:cs="宋体"/>
          <w:color w:val="FF0000"/>
          <w:sz w:val="24"/>
          <w:szCs w:val="24"/>
          <w:shd w:val="clear" w:color="auto" w:fill="auto"/>
        </w:rPr>
        <w:t>有备用车辆，确保不影响班次正常运行。提供的车辆为标准纯</w:t>
      </w:r>
      <w:r>
        <w:rPr>
          <w:rFonts w:hint="default" w:ascii="宋体" w:hAnsi="宋体" w:eastAsia="宋体" w:cs="宋体"/>
          <w:color w:val="FF0000"/>
          <w:sz w:val="24"/>
          <w:szCs w:val="24"/>
          <w:shd w:val="clear" w:color="auto" w:fill="auto"/>
          <w:lang w:val="en-US" w:eastAsia="zh-CN"/>
        </w:rPr>
        <w:t>电动</w:t>
      </w:r>
      <w:r>
        <w:rPr>
          <w:rFonts w:hint="default" w:ascii="宋体" w:hAnsi="宋体" w:eastAsia="宋体" w:cs="宋体"/>
          <w:color w:val="FF0000"/>
          <w:sz w:val="24"/>
          <w:szCs w:val="24"/>
          <w:shd w:val="clear" w:color="auto" w:fill="auto"/>
        </w:rPr>
        <w:t>大型普通客车，核载50人以上，供采购方职工、学生、患者及家属免费乘坐。</w:t>
      </w:r>
    </w:p>
    <w:p w14:paraId="4863D5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801BFA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6DDB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9F4389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02A08C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B195A5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A9B287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350A9B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872872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196D13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AACE7F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B5A303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F94046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46ED3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B70132C">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52F30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55437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7"/>
      <w:bookmarkEnd w:id="68"/>
      <w:bookmarkEnd w:id="69"/>
      <w:bookmarkStart w:id="70" w:name="_Toc11641055"/>
      <w:bookmarkStart w:id="71"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2" w:name="_Toc11645"/>
      <w:bookmarkStart w:id="73" w:name="_Toc7358"/>
      <w:bookmarkStart w:id="74" w:name="_Toc485108793"/>
      <w:bookmarkStart w:id="75"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A0E54C9">
      <w:pPr>
        <w:snapToGrid w:val="0"/>
        <w:spacing w:line="400" w:lineRule="exact"/>
        <w:ind w:firstLine="54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rPr>
        <w:t>.投标方提供符合要求且技术状况良好的租赁车辆及该车辆行驶必备的法定证件。按规定购买机动车辆相关保险（包括车辆损失险、第三者责任险、车上人员责任险（驾驶员、乘客）等）。</w:t>
      </w:r>
    </w:p>
    <w:p w14:paraId="7E916BA5">
      <w:pPr>
        <w:snapToGrid w:val="0"/>
        <w:spacing w:line="400" w:lineRule="exact"/>
        <w:ind w:firstLine="54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default" w:ascii="宋体" w:hAnsi="宋体" w:eastAsia="宋体" w:cs="宋体"/>
          <w:color w:val="FF0000"/>
          <w:sz w:val="24"/>
          <w:szCs w:val="24"/>
          <w:shd w:val="clear" w:color="auto" w:fill="auto"/>
        </w:rPr>
        <w:t>.车辆安全设</w:t>
      </w:r>
      <w:bookmarkStart w:id="76" w:name="OLE_LINK86"/>
      <w:bookmarkStart w:id="77" w:name="OLE_LINK87"/>
      <w:r>
        <w:rPr>
          <w:rFonts w:hint="default" w:ascii="宋体" w:hAnsi="宋体" w:eastAsia="宋体" w:cs="宋体"/>
          <w:color w:val="FF0000"/>
          <w:sz w:val="24"/>
          <w:szCs w:val="24"/>
          <w:shd w:val="clear" w:color="auto" w:fill="auto"/>
        </w:rPr>
        <w:t>备</w:t>
      </w:r>
      <w:r>
        <w:rPr>
          <w:rFonts w:hint="eastAsia" w:ascii="宋体" w:hAnsi="宋体" w:eastAsia="宋体" w:cs="宋体"/>
          <w:color w:val="FF0000"/>
          <w:sz w:val="24"/>
          <w:szCs w:val="24"/>
          <w:shd w:val="clear" w:color="auto" w:fill="auto"/>
          <w:lang w:val="en-US" w:eastAsia="zh-CN"/>
        </w:rPr>
        <w:t>及</w:t>
      </w:r>
      <w:r>
        <w:rPr>
          <w:rFonts w:hint="default" w:ascii="宋体" w:hAnsi="宋体" w:eastAsia="宋体" w:cs="宋体"/>
          <w:color w:val="FF0000"/>
          <w:sz w:val="24"/>
          <w:szCs w:val="24"/>
          <w:shd w:val="clear" w:color="auto" w:fill="auto"/>
        </w:rPr>
        <w:t>随车配件齐全完好，车内须备有随车工具、备胎、灭火器等</w:t>
      </w:r>
      <w:r>
        <w:rPr>
          <w:rFonts w:hint="eastAsia" w:ascii="宋体" w:hAnsi="宋体" w:eastAsia="宋体" w:cs="宋体"/>
          <w:color w:val="FF0000"/>
          <w:sz w:val="24"/>
          <w:szCs w:val="24"/>
          <w:shd w:val="clear" w:color="auto" w:fill="auto"/>
          <w:lang w:eastAsia="zh-CN"/>
        </w:rPr>
        <w:t>，</w:t>
      </w:r>
      <w:r>
        <w:rPr>
          <w:rFonts w:hint="default" w:ascii="宋体" w:hAnsi="宋体" w:eastAsia="宋体" w:cs="宋体"/>
          <w:color w:val="FF0000"/>
          <w:sz w:val="24"/>
          <w:szCs w:val="24"/>
          <w:shd w:val="clear" w:color="auto" w:fill="auto"/>
        </w:rPr>
        <w:t>配备冷暖空调</w:t>
      </w:r>
      <w:r>
        <w:rPr>
          <w:rFonts w:hint="eastAsia" w:ascii="宋体" w:hAnsi="宋体" w:eastAsia="宋体" w:cs="宋体"/>
          <w:color w:val="FF0000"/>
          <w:sz w:val="24"/>
          <w:szCs w:val="24"/>
          <w:shd w:val="clear" w:color="auto" w:fill="auto"/>
          <w:lang w:eastAsia="zh-CN"/>
        </w:rPr>
        <w:t>。</w:t>
      </w:r>
      <w:r>
        <w:rPr>
          <w:rFonts w:hint="default" w:ascii="宋体" w:hAnsi="宋体" w:eastAsia="宋体" w:cs="宋体"/>
          <w:color w:val="FF0000"/>
          <w:sz w:val="24"/>
          <w:szCs w:val="24"/>
          <w:shd w:val="clear" w:color="auto" w:fill="auto"/>
        </w:rPr>
        <w:t>车容车貌整洁，</w:t>
      </w:r>
      <w:r>
        <w:rPr>
          <w:rFonts w:hint="default" w:ascii="宋体" w:hAnsi="宋体" w:eastAsia="宋体" w:cs="宋体"/>
          <w:color w:val="FF0000"/>
          <w:sz w:val="24"/>
          <w:szCs w:val="24"/>
          <w:shd w:val="clear" w:color="auto" w:fill="auto"/>
          <w:lang w:val="en-US" w:eastAsia="zh-CN"/>
        </w:rPr>
        <w:t>厢</w:t>
      </w:r>
      <w:r>
        <w:rPr>
          <w:rFonts w:hint="default" w:ascii="宋体" w:hAnsi="宋体" w:eastAsia="宋体" w:cs="宋体"/>
          <w:color w:val="FF0000"/>
          <w:sz w:val="24"/>
          <w:szCs w:val="24"/>
          <w:shd w:val="clear" w:color="auto" w:fill="auto"/>
        </w:rPr>
        <w:t>内干净卫生。</w:t>
      </w:r>
      <w:bookmarkEnd w:id="76"/>
      <w:bookmarkEnd w:id="77"/>
    </w:p>
    <w:p w14:paraId="59715CAE">
      <w:pPr>
        <w:snapToGrid w:val="0"/>
        <w:spacing w:line="400" w:lineRule="exact"/>
        <w:ind w:firstLine="54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default" w:ascii="宋体" w:hAnsi="宋体" w:eastAsia="宋体" w:cs="宋体"/>
          <w:color w:val="FF0000"/>
          <w:sz w:val="24"/>
          <w:szCs w:val="24"/>
          <w:shd w:val="clear" w:color="auto" w:fill="auto"/>
        </w:rPr>
        <w:t>.投标方车辆驾驶员应持有合法有效的中国大陆交管部门核发的并按要求审验的机动车驾驶证，须有5年安全驾驶经历，且在5年内未发生过重大交通安全事故。</w:t>
      </w:r>
    </w:p>
    <w:p w14:paraId="291E0F34">
      <w:pPr>
        <w:snapToGrid w:val="0"/>
        <w:spacing w:line="400" w:lineRule="exact"/>
        <w:ind w:firstLine="54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default" w:ascii="宋体" w:hAnsi="宋体" w:eastAsia="宋体" w:cs="宋体"/>
          <w:color w:val="FF0000"/>
          <w:sz w:val="24"/>
          <w:szCs w:val="24"/>
          <w:shd w:val="clear" w:color="auto" w:fill="auto"/>
        </w:rPr>
        <w:t>.</w:t>
      </w:r>
      <w:r>
        <w:rPr>
          <w:rFonts w:hint="default" w:ascii="宋体" w:hAnsi="宋体" w:eastAsia="宋体" w:cs="宋体"/>
          <w:color w:val="FF0000"/>
          <w:sz w:val="24"/>
          <w:szCs w:val="24"/>
          <w:shd w:val="clear" w:color="auto" w:fill="auto"/>
          <w:lang w:val="en-US" w:eastAsia="zh-CN"/>
        </w:rPr>
        <w:t>服务</w:t>
      </w:r>
      <w:r>
        <w:rPr>
          <w:rFonts w:hint="default" w:ascii="宋体" w:hAnsi="宋体" w:eastAsia="宋体" w:cs="宋体"/>
          <w:color w:val="FF0000"/>
          <w:sz w:val="24"/>
          <w:szCs w:val="24"/>
          <w:shd w:val="clear" w:color="auto" w:fill="auto"/>
        </w:rPr>
        <w:t>方驾驶人员在驾驶过程中须遵守交通及其相关法律法规，不违章、超速及违规操作</w:t>
      </w:r>
      <w:r>
        <w:rPr>
          <w:rFonts w:hint="eastAsia" w:ascii="宋体" w:hAnsi="宋体" w:eastAsia="宋体" w:cs="宋体"/>
          <w:color w:val="FF0000"/>
          <w:sz w:val="24"/>
          <w:szCs w:val="24"/>
          <w:shd w:val="clear" w:color="auto" w:fill="auto"/>
          <w:lang w:eastAsia="zh-CN"/>
        </w:rPr>
        <w:t>，</w:t>
      </w:r>
      <w:r>
        <w:rPr>
          <w:rFonts w:hint="default" w:ascii="宋体" w:hAnsi="宋体" w:eastAsia="宋体" w:cs="宋体"/>
          <w:color w:val="FF0000"/>
          <w:sz w:val="24"/>
          <w:szCs w:val="24"/>
          <w:shd w:val="clear" w:color="auto" w:fill="auto"/>
        </w:rPr>
        <w:t>不得将车辆交给其他人员驾驶。</w:t>
      </w:r>
    </w:p>
    <w:p w14:paraId="0A26907C">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w:t>
      </w:r>
      <w:r>
        <w:rPr>
          <w:rFonts w:hint="default" w:ascii="宋体" w:hAnsi="宋体" w:eastAsia="宋体" w:cs="宋体"/>
          <w:color w:val="FF0000"/>
          <w:sz w:val="24"/>
          <w:szCs w:val="24"/>
          <w:shd w:val="clear" w:color="auto" w:fill="auto"/>
        </w:rPr>
        <w:t>.服务周期：半年</w:t>
      </w:r>
      <w:r>
        <w:rPr>
          <w:rFonts w:hint="eastAsia" w:ascii="宋体" w:hAnsi="宋体" w:eastAsia="宋体" w:cs="宋体"/>
          <w:color w:val="FF0000"/>
          <w:sz w:val="24"/>
          <w:szCs w:val="24"/>
          <w:shd w:val="clear" w:color="auto" w:fill="auto"/>
          <w:lang w:eastAsia="zh-CN"/>
        </w:rPr>
        <w:t>，</w:t>
      </w:r>
      <w:r>
        <w:rPr>
          <w:rFonts w:hint="default" w:ascii="宋体" w:hAnsi="宋体" w:eastAsia="宋体" w:cs="宋体"/>
          <w:color w:val="FF0000"/>
          <w:sz w:val="24"/>
          <w:szCs w:val="24"/>
          <w:shd w:val="clear" w:color="auto" w:fill="auto"/>
          <w:lang w:val="en-US" w:eastAsia="zh-CN"/>
        </w:rPr>
        <w:t>自2025年6月1日起至2025年11月30日止。</w:t>
      </w:r>
    </w:p>
    <w:p w14:paraId="084C3944">
      <w:pPr>
        <w:snapToGrid w:val="0"/>
        <w:spacing w:line="400" w:lineRule="exact"/>
        <w:ind w:firstLine="54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default" w:ascii="宋体" w:hAnsi="宋体" w:eastAsia="宋体" w:cs="宋体"/>
          <w:color w:val="FF0000"/>
          <w:sz w:val="24"/>
          <w:szCs w:val="24"/>
          <w:shd w:val="clear" w:color="auto" w:fill="auto"/>
        </w:rPr>
        <w:t>.付款方式：按月结算费用，</w:t>
      </w:r>
      <w:r>
        <w:rPr>
          <w:rFonts w:hint="eastAsia" w:ascii="宋体" w:hAnsi="宋体" w:eastAsia="宋体" w:cs="宋体"/>
          <w:color w:val="FF0000"/>
          <w:sz w:val="24"/>
          <w:szCs w:val="24"/>
          <w:shd w:val="clear" w:color="auto" w:fill="auto"/>
          <w:lang w:val="en-US" w:eastAsia="zh-CN"/>
        </w:rPr>
        <w:t>服务方</w:t>
      </w:r>
      <w:r>
        <w:rPr>
          <w:rFonts w:hint="default" w:ascii="宋体" w:hAnsi="宋体" w:eastAsia="宋体" w:cs="宋体"/>
          <w:color w:val="FF0000"/>
          <w:sz w:val="24"/>
          <w:szCs w:val="24"/>
          <w:shd w:val="clear" w:color="auto" w:fill="auto"/>
        </w:rPr>
        <w:t>应于次月的前5个工作日内提供合法发票，经采购方审核无误后60日内支付费用。</w:t>
      </w:r>
    </w:p>
    <w:p w14:paraId="2519938F">
      <w:pPr>
        <w:pBdr>
          <w:right w:val="none" w:color="000000" w:sz="0" w:space="1"/>
        </w:pBdr>
        <w:tabs>
          <w:tab w:val="left" w:pos="312"/>
        </w:tabs>
        <w:spacing w:line="520" w:lineRule="exact"/>
        <w:ind w:firstLine="560" w:firstLineChars="200"/>
        <w:jc w:val="left"/>
        <w:rPr>
          <w:rFonts w:hint="default" w:ascii="Times New Roman" w:hAnsi="Times New Roman" w:eastAsia="方正仿宋_GBK" w:cs="Times New Roman"/>
          <w:sz w:val="28"/>
          <w:szCs w:val="32"/>
        </w:rPr>
      </w:pP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2"/>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3"/>
      <w:bookmarkEnd w:id="74"/>
      <w:bookmarkEnd w:id="75"/>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0"/>
      <w:bookmarkEnd w:id="71"/>
      <w:bookmarkStart w:id="78" w:name="_Toc403569796"/>
      <w:bookmarkStart w:id="79" w:name="_Toc14840"/>
      <w:bookmarkStart w:id="80" w:name="_Toc485108794"/>
      <w:bookmarkStart w:id="81" w:name="_Toc303945820"/>
      <w:bookmarkStart w:id="82"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8"/>
      <w:bookmarkEnd w:id="79"/>
      <w:bookmarkEnd w:id="80"/>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815"/>
      <w:bookmarkStart w:id="84"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3"/>
      <w:bookmarkEnd w:id="84"/>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5"/>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6"/>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7"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7"/>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8"/>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9"/>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54718203"/>
      <w:bookmarkStart w:id="91"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0"/>
      <w:bookmarkEnd w:id="91"/>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2"/>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54718204"/>
      <w:bookmarkStart w:id="94"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3"/>
      <w:bookmarkEnd w:id="94"/>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5177"/>
      <w:bookmarkStart w:id="96"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5"/>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7"/>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6"/>
      <w:bookmarkEnd w:id="98"/>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9"/>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0"/>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1"/>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241"/>
      <w:bookmarkStart w:id="103"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2"/>
      <w:bookmarkEnd w:id="103"/>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4" w:name="_Toc12985"/>
      <w:bookmarkStart w:id="105"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4"/>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5"/>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54718207"/>
      <w:bookmarkStart w:id="107"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6"/>
      <w:bookmarkEnd w:id="107"/>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8"/>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9"/>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0"/>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11586"/>
      <w:bookmarkStart w:id="112"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1"/>
      <w:bookmarkEnd w:id="112"/>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3"/>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4"/>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5" w:name="_Toc31719"/>
      <w:bookmarkStart w:id="116" w:name="_Toc54718210"/>
      <w:bookmarkStart w:id="117" w:name="_Toc26580"/>
      <w:bookmarkStart w:id="118"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5"/>
      <w:bookmarkEnd w:id="116"/>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9"/>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0"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0"/>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7"/>
      <w:bookmarkEnd w:id="118"/>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1"/>
      <w:bookmarkEnd w:id="122"/>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3"/>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4"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4"/>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5"/>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6"/>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7"/>
    </w:p>
    <w:bookmarkEnd w:id="81"/>
    <w:bookmarkEnd w:id="82"/>
    <w:p w14:paraId="2DC2BF2F">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8" w:name="_Hlt41879464"/>
      <w:bookmarkEnd w:id="128"/>
      <w:bookmarkStart w:id="129" w:name="_Toc12789072"/>
      <w:bookmarkStart w:id="130" w:name="_Toc485108795"/>
      <w:bookmarkStart w:id="131"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9"/>
      <w:bookmarkEnd w:id="130"/>
      <w:bookmarkEnd w:id="131"/>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3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3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38358147"/>
      <w:bookmarkStart w:id="136" w:name="OLE_LINK11"/>
      <w:bookmarkStart w:id="13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9"/>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6"/>
    <w:bookmarkEnd w:id="13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0F524B12">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40" w:name="_Toc485108796"/>
      <w:bookmarkStart w:id="141" w:name="_Toc342913419"/>
      <w:bookmarkStart w:id="142" w:name="_Toc313888360"/>
      <w:bookmarkStart w:id="143" w:name="_Toc313008356"/>
      <w:bookmarkStart w:id="144" w:name="_Toc480979018"/>
      <w:bookmarkStart w:id="145" w:name="_Toc283382454"/>
      <w:bookmarkStart w:id="146"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40"/>
      <w:bookmarkEnd w:id="141"/>
      <w:bookmarkEnd w:id="142"/>
      <w:bookmarkEnd w:id="143"/>
      <w:bookmarkEnd w:id="144"/>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5"/>
    <w:bookmarkEnd w:id="146"/>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158E5E15">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786BB60A">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cs="Times New Roman"/>
          <w:sz w:val="28"/>
          <w:szCs w:val="28"/>
        </w:rPr>
      </w:pPr>
      <w:bookmarkStart w:id="147" w:name="_Toc313008357"/>
      <w:bookmarkStart w:id="148" w:name="_Toc480979019"/>
      <w:bookmarkStart w:id="149" w:name="_Toc342913420"/>
      <w:bookmarkStart w:id="150" w:name="_Toc313888361"/>
      <w:bookmarkStart w:id="151" w:name="_Toc485108797"/>
      <w:r>
        <w:rPr>
          <w:rFonts w:hint="default" w:ascii="Times New Roman" w:hAnsi="Times New Roman" w:cs="Times New Roman"/>
          <w:sz w:val="28"/>
          <w:szCs w:val="28"/>
        </w:rPr>
        <w:t>报价表</w:t>
      </w:r>
    </w:p>
    <w:p w14:paraId="4E86A6BA">
      <w:pPr>
        <w:keepNext w:val="0"/>
        <w:keepLines w:val="0"/>
        <w:pageBreakBefore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sz w:val="28"/>
          <w:szCs w:val="28"/>
        </w:rPr>
      </w:pPr>
    </w:p>
    <w:tbl>
      <w:tblPr>
        <w:tblStyle w:val="59"/>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3804"/>
        <w:gridCol w:w="1854"/>
      </w:tblGrid>
      <w:tr w14:paraId="0696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55" w:type="dxa"/>
            <w:noWrap w:val="0"/>
            <w:vAlign w:val="center"/>
          </w:tcPr>
          <w:p w14:paraId="3072694D">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24"/>
              </w:rPr>
            </w:pPr>
            <w:r>
              <w:rPr>
                <w:rFonts w:hint="default" w:ascii="Times New Roman" w:hAnsi="Times New Roman" w:cs="Times New Roman"/>
                <w:sz w:val="24"/>
              </w:rPr>
              <w:t>项目名称</w:t>
            </w:r>
          </w:p>
        </w:tc>
        <w:tc>
          <w:tcPr>
            <w:tcW w:w="3804" w:type="dxa"/>
            <w:noWrap w:val="0"/>
            <w:vAlign w:val="center"/>
          </w:tcPr>
          <w:p w14:paraId="47E09757">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方正仿宋_GB2312" w:cs="Times New Roman"/>
                <w:sz w:val="24"/>
                <w:lang w:eastAsia="zh-CN"/>
              </w:rPr>
            </w:pPr>
            <w:r>
              <w:rPr>
                <w:rFonts w:hint="default" w:ascii="Times New Roman" w:hAnsi="Times New Roman" w:cs="Times New Roman"/>
                <w:sz w:val="24"/>
                <w:lang w:val="en-US" w:eastAsia="zh-CN"/>
              </w:rPr>
              <w:t>单价</w:t>
            </w:r>
          </w:p>
        </w:tc>
        <w:tc>
          <w:tcPr>
            <w:tcW w:w="1854" w:type="dxa"/>
            <w:noWrap w:val="0"/>
            <w:vAlign w:val="center"/>
          </w:tcPr>
          <w:p w14:paraId="7697C08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24"/>
              </w:rPr>
            </w:pPr>
            <w:r>
              <w:rPr>
                <w:rFonts w:hint="default" w:ascii="Times New Roman" w:hAnsi="Times New Roman" w:cs="Times New Roman"/>
                <w:sz w:val="24"/>
              </w:rPr>
              <w:t>备注</w:t>
            </w:r>
          </w:p>
        </w:tc>
      </w:tr>
      <w:tr w14:paraId="4944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855" w:type="dxa"/>
            <w:vMerge w:val="restart"/>
            <w:noWrap w:val="0"/>
            <w:vAlign w:val="center"/>
          </w:tcPr>
          <w:p w14:paraId="2F47E71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24"/>
              </w:rPr>
            </w:pPr>
            <w:r>
              <w:rPr>
                <w:rFonts w:hint="default" w:ascii="Times New Roman" w:hAnsi="Times New Roman" w:cs="Times New Roman"/>
                <w:sz w:val="24"/>
              </w:rPr>
              <w:t>服务费</w:t>
            </w:r>
          </w:p>
        </w:tc>
        <w:tc>
          <w:tcPr>
            <w:tcW w:w="3804" w:type="dxa"/>
            <w:noWrap w:val="0"/>
            <w:vAlign w:val="center"/>
          </w:tcPr>
          <w:p w14:paraId="1845DCF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方正仿宋_GB2312" w:cs="Times New Roman"/>
                <w:sz w:val="24"/>
                <w:lang w:val="en-US" w:eastAsia="zh-CN"/>
              </w:rPr>
            </w:pPr>
            <w:r>
              <w:rPr>
                <w:rFonts w:hint="default" w:ascii="Times New Roman" w:hAnsi="Times New Roman" w:cs="Times New Roman"/>
                <w:sz w:val="24"/>
                <w:lang w:val="en-US" w:eastAsia="zh-CN"/>
              </w:rPr>
              <w:t>__________元/月</w:t>
            </w:r>
          </w:p>
        </w:tc>
        <w:tc>
          <w:tcPr>
            <w:tcW w:w="1854" w:type="dxa"/>
            <w:noWrap w:val="0"/>
            <w:vAlign w:val="center"/>
          </w:tcPr>
          <w:p w14:paraId="226BFF8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定时发车</w:t>
            </w:r>
          </w:p>
        </w:tc>
      </w:tr>
      <w:tr w14:paraId="01DF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855" w:type="dxa"/>
            <w:vMerge w:val="continue"/>
            <w:noWrap w:val="0"/>
            <w:vAlign w:val="center"/>
          </w:tcPr>
          <w:p w14:paraId="12693FD8">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24"/>
              </w:rPr>
            </w:pPr>
          </w:p>
        </w:tc>
        <w:tc>
          <w:tcPr>
            <w:tcW w:w="3804" w:type="dxa"/>
            <w:noWrap w:val="0"/>
            <w:vAlign w:val="center"/>
          </w:tcPr>
          <w:p w14:paraId="3DA3DF87">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方正仿宋_GB2312" w:cs="Times New Roman"/>
                <w:sz w:val="24"/>
                <w:lang w:val="en-US" w:eastAsia="zh-CN"/>
              </w:rPr>
            </w:pPr>
            <w:r>
              <w:rPr>
                <w:rFonts w:hint="default" w:ascii="Times New Roman" w:hAnsi="Times New Roman" w:cs="Times New Roman"/>
                <w:sz w:val="24"/>
                <w:lang w:val="en-US" w:eastAsia="zh-CN"/>
              </w:rPr>
              <w:t>__________元/趟</w:t>
            </w:r>
          </w:p>
        </w:tc>
        <w:tc>
          <w:tcPr>
            <w:tcW w:w="1854" w:type="dxa"/>
            <w:noWrap w:val="0"/>
            <w:vAlign w:val="center"/>
          </w:tcPr>
          <w:p w14:paraId="077B5637">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单独调车</w:t>
            </w:r>
          </w:p>
        </w:tc>
      </w:tr>
    </w:tbl>
    <w:p w14:paraId="5D6B37AA">
      <w:pPr>
        <w:rPr>
          <w:rFonts w:hint="default" w:eastAsiaTheme="minorEastAsia"/>
          <w:color w:val="000000" w:themeColor="text1"/>
          <w:lang w:val="en-US"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备注：</w:t>
      </w:r>
      <w:r>
        <w:rPr>
          <w:rFonts w:hint="eastAsia"/>
          <w:color w:val="000000" w:themeColor="text1"/>
          <w:lang w:eastAsia="zh-CN"/>
          <w14:textFill>
            <w14:solidFill>
              <w14:schemeClr w14:val="tx1"/>
            </w14:solidFill>
          </w14:textFill>
        </w:rPr>
        <w:t>注：</w:t>
      </w:r>
      <w:r>
        <w:rPr>
          <w:rFonts w:hint="eastAsia"/>
          <w:color w:val="000000" w:themeColor="text1"/>
          <w:lang w:val="en-US" w:eastAsia="zh-CN"/>
          <w14:textFill>
            <w14:solidFill>
              <w14:schemeClr w14:val="tx1"/>
            </w14:solidFill>
          </w14:textFill>
        </w:rPr>
        <w:t>1.</w:t>
      </w:r>
      <w:r>
        <w:rPr>
          <w:rFonts w:hint="eastAsia" w:cs="宋体"/>
          <w:color w:val="000000" w:themeColor="text1"/>
          <w:kern w:val="2"/>
          <w:sz w:val="24"/>
          <w:szCs w:val="24"/>
          <w:shd w:val="clear" w:color="auto" w:fill="auto"/>
          <w:lang w:val="en-US" w:eastAsia="zh-CN" w:bidi="ar-SA"/>
          <w14:textFill>
            <w14:solidFill>
              <w14:schemeClr w14:val="tx1"/>
            </w14:solidFill>
          </w14:textFill>
        </w:rPr>
        <w:t>投标报价为包干价，包含但不限于服务费、驾驶员劳务费、税费等。</w:t>
      </w:r>
    </w:p>
    <w:p w14:paraId="77E9A57A">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08FFC344">
      <w:pPr>
        <w:rPr>
          <w:rFonts w:hint="eastAsia" w:ascii="宋体" w:hAnsi="宋体" w:eastAsia="宋体" w:cs="宋体"/>
          <w:b/>
          <w:color w:val="000000" w:themeColor="text1"/>
          <w:shd w:val="clear" w:color="auto" w:fill="auto"/>
          <w14:textFill>
            <w14:solidFill>
              <w14:schemeClr w14:val="tx1"/>
            </w14:solidFill>
          </w14:textFill>
        </w:rPr>
      </w:pPr>
    </w:p>
    <w:p w14:paraId="6B0E1B4D">
      <w:pPr>
        <w:rPr>
          <w:rFonts w:hint="eastAsia" w:ascii="宋体" w:hAnsi="宋体" w:eastAsia="宋体" w:cs="宋体"/>
          <w:b/>
          <w:color w:val="000000" w:themeColor="text1"/>
          <w:shd w:val="clear" w:color="auto" w:fill="auto"/>
          <w14:textFill>
            <w14:solidFill>
              <w14:schemeClr w14:val="tx1"/>
            </w14:solidFill>
          </w14:textFill>
        </w:rPr>
      </w:pPr>
    </w:p>
    <w:p w14:paraId="3FC0CF4D">
      <w:pPr>
        <w:rPr>
          <w:rFonts w:hint="eastAsia" w:ascii="宋体" w:hAnsi="宋体" w:eastAsia="宋体" w:cs="宋体"/>
          <w:b/>
          <w:color w:val="000000" w:themeColor="text1"/>
          <w:shd w:val="clear" w:color="auto" w:fill="auto"/>
          <w14:textFill>
            <w14:solidFill>
              <w14:schemeClr w14:val="tx1"/>
            </w14:solidFill>
          </w14:textFill>
        </w:rPr>
      </w:pPr>
    </w:p>
    <w:p w14:paraId="5F157284">
      <w:pPr>
        <w:rPr>
          <w:rFonts w:hint="eastAsia" w:ascii="宋体" w:hAnsi="宋体" w:eastAsia="宋体" w:cs="宋体"/>
          <w:b/>
          <w:color w:val="000000" w:themeColor="text1"/>
          <w:shd w:val="clear" w:color="auto" w:fill="auto"/>
          <w14:textFill>
            <w14:solidFill>
              <w14:schemeClr w14:val="tx1"/>
            </w14:solidFill>
          </w14:textFill>
        </w:rPr>
      </w:pPr>
    </w:p>
    <w:p w14:paraId="7DD08767">
      <w:pPr>
        <w:rPr>
          <w:rFonts w:hint="eastAsia" w:ascii="宋体" w:hAnsi="宋体" w:eastAsia="宋体" w:cs="宋体"/>
          <w:b/>
          <w:color w:val="000000" w:themeColor="text1"/>
          <w:shd w:val="clear" w:color="auto" w:fill="auto"/>
          <w14:textFill>
            <w14:solidFill>
              <w14:schemeClr w14:val="tx1"/>
            </w14:solidFill>
          </w14:textFill>
        </w:rPr>
      </w:pPr>
    </w:p>
    <w:p w14:paraId="444B2323">
      <w:pPr>
        <w:rPr>
          <w:rFonts w:hint="eastAsia" w:ascii="宋体" w:hAnsi="宋体" w:eastAsia="宋体" w:cs="宋体"/>
          <w:b/>
          <w:color w:val="000000" w:themeColor="text1"/>
          <w:shd w:val="clear" w:color="auto" w:fill="auto"/>
          <w14:textFill>
            <w14:solidFill>
              <w14:schemeClr w14:val="tx1"/>
            </w14:solidFill>
          </w14:textFill>
        </w:rPr>
      </w:pPr>
    </w:p>
    <w:p w14:paraId="2BA7085F">
      <w:pPr>
        <w:rPr>
          <w:rFonts w:hint="eastAsia" w:ascii="宋体" w:hAnsi="宋体" w:eastAsia="宋体" w:cs="宋体"/>
          <w:b/>
          <w:color w:val="000000" w:themeColor="text1"/>
          <w:shd w:val="clear" w:color="auto" w:fill="auto"/>
          <w14:textFill>
            <w14:solidFill>
              <w14:schemeClr w14:val="tx1"/>
            </w14:solidFill>
          </w14:textFill>
        </w:rPr>
      </w:pPr>
    </w:p>
    <w:p w14:paraId="1C56ED8C">
      <w:pPr>
        <w:rPr>
          <w:rFonts w:hint="eastAsia" w:ascii="宋体" w:hAnsi="宋体" w:eastAsia="宋体" w:cs="宋体"/>
          <w:b/>
          <w:color w:val="000000" w:themeColor="text1"/>
          <w:shd w:val="clear" w:color="auto" w:fill="auto"/>
          <w14:textFill>
            <w14:solidFill>
              <w14:schemeClr w14:val="tx1"/>
            </w14:solidFill>
          </w14:textFill>
        </w:rPr>
      </w:pPr>
    </w:p>
    <w:p w14:paraId="7496D936">
      <w:pPr>
        <w:rPr>
          <w:rFonts w:hint="eastAsia" w:ascii="宋体" w:hAnsi="宋体" w:eastAsia="宋体" w:cs="宋体"/>
          <w:b/>
          <w:color w:val="000000" w:themeColor="text1"/>
          <w:shd w:val="clear" w:color="auto" w:fill="auto"/>
          <w14:textFill>
            <w14:solidFill>
              <w14:schemeClr w14:val="tx1"/>
            </w14:solidFill>
          </w14:textFill>
        </w:rPr>
      </w:pPr>
    </w:p>
    <w:p w14:paraId="083F8B36">
      <w:pPr>
        <w:rPr>
          <w:rFonts w:hint="eastAsia" w:ascii="宋体" w:hAnsi="宋体" w:eastAsia="宋体" w:cs="宋体"/>
          <w:b/>
          <w:color w:val="000000" w:themeColor="text1"/>
          <w:shd w:val="clear" w:color="auto" w:fill="auto"/>
          <w14:textFill>
            <w14:solidFill>
              <w14:schemeClr w14:val="tx1"/>
            </w14:solidFill>
          </w14:textFill>
        </w:rPr>
      </w:pPr>
    </w:p>
    <w:p w14:paraId="6A0D6AFF">
      <w:pPr>
        <w:rPr>
          <w:rFonts w:hint="eastAsia" w:ascii="宋体" w:hAnsi="宋体" w:eastAsia="宋体" w:cs="宋体"/>
          <w:b/>
          <w:color w:val="000000" w:themeColor="text1"/>
          <w:shd w:val="clear" w:color="auto" w:fill="auto"/>
          <w14:textFill>
            <w14:solidFill>
              <w14:schemeClr w14:val="tx1"/>
            </w14:solidFill>
          </w14:textFill>
        </w:rPr>
      </w:pPr>
    </w:p>
    <w:p w14:paraId="6FBA0EC2">
      <w:pPr>
        <w:rPr>
          <w:rFonts w:hint="eastAsia" w:ascii="宋体" w:hAnsi="宋体" w:eastAsia="宋体" w:cs="宋体"/>
          <w:b/>
          <w:color w:val="000000" w:themeColor="text1"/>
          <w:shd w:val="clear" w:color="auto" w:fill="auto"/>
          <w14:textFill>
            <w14:solidFill>
              <w14:schemeClr w14:val="tx1"/>
            </w14:solidFill>
          </w14:textFill>
        </w:rPr>
      </w:pPr>
    </w:p>
    <w:p w14:paraId="135258C5">
      <w:pPr>
        <w:rPr>
          <w:rFonts w:hint="eastAsia" w:ascii="宋体" w:hAnsi="宋体" w:eastAsia="宋体" w:cs="宋体"/>
          <w:b/>
          <w:color w:val="000000" w:themeColor="text1"/>
          <w:shd w:val="clear" w:color="auto" w:fill="auto"/>
          <w14:textFill>
            <w14:solidFill>
              <w14:schemeClr w14:val="tx1"/>
            </w14:solidFill>
          </w14:textFill>
        </w:rPr>
      </w:pPr>
    </w:p>
    <w:p w14:paraId="607FA07C">
      <w:pPr>
        <w:rPr>
          <w:rFonts w:hint="eastAsia" w:ascii="宋体" w:hAnsi="宋体" w:eastAsia="宋体" w:cs="宋体"/>
          <w:b/>
          <w:color w:val="000000" w:themeColor="text1"/>
          <w:shd w:val="clear" w:color="auto" w:fill="auto"/>
          <w14:textFill>
            <w14:solidFill>
              <w14:schemeClr w14:val="tx1"/>
            </w14:solidFill>
          </w14:textFill>
        </w:rPr>
      </w:pPr>
    </w:p>
    <w:p w14:paraId="24927813">
      <w:pPr>
        <w:rPr>
          <w:rFonts w:hint="eastAsia" w:ascii="宋体" w:hAnsi="宋体" w:eastAsia="宋体" w:cs="宋体"/>
          <w:b/>
          <w:color w:val="000000" w:themeColor="text1"/>
          <w:shd w:val="clear" w:color="auto" w:fill="auto"/>
          <w14:textFill>
            <w14:solidFill>
              <w14:schemeClr w14:val="tx1"/>
            </w14:solidFill>
          </w14:textFill>
        </w:rPr>
      </w:pPr>
    </w:p>
    <w:p w14:paraId="64C93DFC">
      <w:pPr>
        <w:rPr>
          <w:rFonts w:hint="eastAsia" w:ascii="宋体" w:hAnsi="宋体" w:eastAsia="宋体" w:cs="宋体"/>
          <w:b/>
          <w:color w:val="000000" w:themeColor="text1"/>
          <w:shd w:val="clear" w:color="auto" w:fill="auto"/>
          <w14:textFill>
            <w14:solidFill>
              <w14:schemeClr w14:val="tx1"/>
            </w14:solidFill>
          </w14:textFill>
        </w:rPr>
      </w:pPr>
    </w:p>
    <w:p w14:paraId="3B2C84FB">
      <w:pPr>
        <w:rPr>
          <w:rFonts w:hint="eastAsia" w:ascii="宋体" w:hAnsi="宋体" w:eastAsia="宋体" w:cs="宋体"/>
          <w:b/>
          <w:color w:val="000000" w:themeColor="text1"/>
          <w:shd w:val="clear" w:color="auto" w:fill="auto"/>
          <w14:textFill>
            <w14:solidFill>
              <w14:schemeClr w14:val="tx1"/>
            </w14:solidFill>
          </w14:textFill>
        </w:rPr>
      </w:pPr>
    </w:p>
    <w:p w14:paraId="571CD036">
      <w:pPr>
        <w:rPr>
          <w:rFonts w:hint="eastAsia" w:ascii="宋体" w:hAnsi="宋体" w:eastAsia="宋体" w:cs="宋体"/>
          <w:b/>
          <w:color w:val="000000" w:themeColor="text1"/>
          <w:shd w:val="clear" w:color="auto" w:fill="auto"/>
          <w14:textFill>
            <w14:solidFill>
              <w14:schemeClr w14:val="tx1"/>
            </w14:solidFill>
          </w14:textFill>
        </w:rPr>
      </w:pPr>
    </w:p>
    <w:p w14:paraId="14F2F0CD">
      <w:pPr>
        <w:rPr>
          <w:rFonts w:hint="eastAsia" w:ascii="宋体" w:hAnsi="宋体" w:eastAsia="宋体" w:cs="宋体"/>
          <w:b/>
          <w:color w:val="000000" w:themeColor="text1"/>
          <w:shd w:val="clear" w:color="auto" w:fill="auto"/>
          <w14:textFill>
            <w14:solidFill>
              <w14:schemeClr w14:val="tx1"/>
            </w14:solidFill>
          </w14:textFill>
        </w:rPr>
      </w:pPr>
    </w:p>
    <w:p w14:paraId="5C2DEE3C">
      <w:pPr>
        <w:rPr>
          <w:rFonts w:hint="eastAsia" w:ascii="宋体" w:hAnsi="宋体" w:eastAsia="宋体" w:cs="宋体"/>
          <w:b/>
          <w:color w:val="000000" w:themeColor="text1"/>
          <w:shd w:val="clear" w:color="auto" w:fill="auto"/>
          <w14:textFill>
            <w14:solidFill>
              <w14:schemeClr w14:val="tx1"/>
            </w14:solidFill>
          </w14:textFill>
        </w:rPr>
      </w:pPr>
    </w:p>
    <w:p w14:paraId="50BD66D2">
      <w:pPr>
        <w:rPr>
          <w:rFonts w:hint="eastAsia" w:ascii="宋体" w:hAnsi="宋体" w:eastAsia="宋体" w:cs="宋体"/>
          <w:b/>
          <w:color w:val="000000" w:themeColor="text1"/>
          <w:shd w:val="clear" w:color="auto" w:fill="auto"/>
          <w14:textFill>
            <w14:solidFill>
              <w14:schemeClr w14:val="tx1"/>
            </w14:solidFill>
          </w14:textFill>
        </w:rPr>
      </w:pPr>
    </w:p>
    <w:p w14:paraId="5A9775BB">
      <w:pPr>
        <w:rPr>
          <w:rFonts w:hint="eastAsia" w:ascii="宋体" w:hAnsi="宋体" w:eastAsia="宋体" w:cs="宋体"/>
          <w:b/>
          <w:color w:val="000000" w:themeColor="text1"/>
          <w:shd w:val="clear" w:color="auto" w:fill="auto"/>
          <w14:textFill>
            <w14:solidFill>
              <w14:schemeClr w14:val="tx1"/>
            </w14:solidFill>
          </w14:textFill>
        </w:rPr>
      </w:pPr>
    </w:p>
    <w:p w14:paraId="321156F6">
      <w:pPr>
        <w:rPr>
          <w:rFonts w:hint="eastAsia" w:ascii="宋体" w:hAnsi="宋体" w:eastAsia="宋体" w:cs="宋体"/>
          <w:b/>
          <w:color w:val="000000" w:themeColor="text1"/>
          <w:shd w:val="clear" w:color="auto" w:fill="auto"/>
          <w14:textFill>
            <w14:solidFill>
              <w14:schemeClr w14:val="tx1"/>
            </w14:solidFill>
          </w14:textFill>
        </w:rPr>
      </w:pPr>
    </w:p>
    <w:p w14:paraId="05A74EDE">
      <w:pPr>
        <w:rPr>
          <w:rFonts w:hint="eastAsia" w:ascii="宋体" w:hAnsi="宋体" w:eastAsia="宋体" w:cs="宋体"/>
          <w:b/>
          <w:color w:val="000000" w:themeColor="text1"/>
          <w:shd w:val="clear" w:color="auto" w:fill="auto"/>
          <w14:textFill>
            <w14:solidFill>
              <w14:schemeClr w14:val="tx1"/>
            </w14:solidFill>
          </w14:textFill>
        </w:rPr>
      </w:pPr>
    </w:p>
    <w:p w14:paraId="1B15CB8D">
      <w:pPr>
        <w:rPr>
          <w:rFonts w:hint="eastAsia" w:ascii="宋体" w:hAnsi="宋体" w:eastAsia="宋体" w:cs="宋体"/>
          <w:b/>
          <w:color w:val="000000" w:themeColor="text1"/>
          <w:shd w:val="clear" w:color="auto" w:fill="auto"/>
          <w14:textFill>
            <w14:solidFill>
              <w14:schemeClr w14:val="tx1"/>
            </w14:solidFill>
          </w14:textFill>
        </w:rPr>
      </w:pPr>
    </w:p>
    <w:p w14:paraId="67114427">
      <w:pPr>
        <w:rPr>
          <w:rFonts w:hint="eastAsia" w:ascii="宋体" w:hAnsi="宋体" w:eastAsia="宋体" w:cs="宋体"/>
          <w:b/>
          <w:color w:val="000000" w:themeColor="text1"/>
          <w:shd w:val="clear" w:color="auto" w:fill="auto"/>
          <w14:textFill>
            <w14:solidFill>
              <w14:schemeClr w14:val="tx1"/>
            </w14:solidFill>
          </w14:textFill>
        </w:rPr>
      </w:pPr>
    </w:p>
    <w:p w14:paraId="4F27DA10">
      <w:pPr>
        <w:rPr>
          <w:rFonts w:hint="eastAsia" w:ascii="宋体" w:hAnsi="宋体" w:eastAsia="宋体" w:cs="宋体"/>
          <w:b/>
          <w:color w:val="000000" w:themeColor="text1"/>
          <w:shd w:val="clear" w:color="auto" w:fill="auto"/>
          <w14:textFill>
            <w14:solidFill>
              <w14:schemeClr w14:val="tx1"/>
            </w14:solidFill>
          </w14:textFill>
        </w:rPr>
      </w:pPr>
    </w:p>
    <w:p w14:paraId="5AF8FCC7">
      <w:pPr>
        <w:rPr>
          <w:rFonts w:hint="eastAsia" w:ascii="宋体" w:hAnsi="宋体" w:eastAsia="宋体" w:cs="宋体"/>
          <w:b/>
          <w:color w:val="000000" w:themeColor="text1"/>
          <w:shd w:val="clear" w:color="auto" w:fill="auto"/>
          <w14:textFill>
            <w14:solidFill>
              <w14:schemeClr w14:val="tx1"/>
            </w14:solidFill>
          </w14:textFill>
        </w:rPr>
      </w:pPr>
    </w:p>
    <w:p w14:paraId="65B7799A">
      <w:pPr>
        <w:rPr>
          <w:rFonts w:hint="eastAsia" w:ascii="宋体" w:hAnsi="宋体" w:eastAsia="宋体" w:cs="宋体"/>
          <w:b/>
          <w:color w:val="000000" w:themeColor="text1"/>
          <w:shd w:val="clear" w:color="auto" w:fill="auto"/>
          <w14:textFill>
            <w14:solidFill>
              <w14:schemeClr w14:val="tx1"/>
            </w14:solidFill>
          </w14:textFill>
        </w:rPr>
      </w:pPr>
    </w:p>
    <w:p w14:paraId="5D5D3E72">
      <w:pPr>
        <w:rPr>
          <w:rFonts w:hint="eastAsia" w:ascii="宋体" w:hAnsi="宋体" w:eastAsia="宋体" w:cs="宋体"/>
          <w:b/>
          <w:color w:val="000000" w:themeColor="text1"/>
          <w:shd w:val="clear" w:color="auto" w:fill="auto"/>
          <w14:textFill>
            <w14:solidFill>
              <w14:schemeClr w14:val="tx1"/>
            </w14:solidFill>
          </w14:textFill>
        </w:rPr>
      </w:pPr>
    </w:p>
    <w:p w14:paraId="6BA04589">
      <w:pPr>
        <w:rPr>
          <w:rFonts w:hint="eastAsia" w:ascii="宋体" w:hAnsi="宋体" w:eastAsia="宋体" w:cs="宋体"/>
          <w:b/>
          <w:color w:val="000000" w:themeColor="text1"/>
          <w:shd w:val="clear" w:color="auto" w:fill="auto"/>
          <w14:textFill>
            <w14:solidFill>
              <w14:schemeClr w14:val="tx1"/>
            </w14:solidFill>
          </w14:textFill>
        </w:rPr>
      </w:pPr>
    </w:p>
    <w:p w14:paraId="3BC69C50">
      <w:pPr>
        <w:rPr>
          <w:rFonts w:hint="eastAsia" w:ascii="宋体" w:hAnsi="宋体" w:eastAsia="宋体" w:cs="宋体"/>
          <w:b/>
          <w:color w:val="000000" w:themeColor="text1"/>
          <w:shd w:val="clear" w:color="auto" w:fill="auto"/>
          <w14:textFill>
            <w14:solidFill>
              <w14:schemeClr w14:val="tx1"/>
            </w14:solidFill>
          </w14:textFill>
        </w:rPr>
      </w:pPr>
    </w:p>
    <w:p w14:paraId="06059261">
      <w:pPr>
        <w:rPr>
          <w:rFonts w:hint="eastAsia" w:ascii="宋体" w:hAnsi="宋体" w:eastAsia="宋体" w:cs="宋体"/>
          <w:b/>
          <w:color w:val="000000" w:themeColor="text1"/>
          <w:shd w:val="clear" w:color="auto" w:fill="auto"/>
          <w14:textFill>
            <w14:solidFill>
              <w14:schemeClr w14:val="tx1"/>
            </w14:solidFill>
          </w14:textFill>
        </w:rPr>
      </w:pPr>
    </w:p>
    <w:p w14:paraId="753EAD79">
      <w:pPr>
        <w:rPr>
          <w:rFonts w:hint="eastAsia" w:ascii="宋体" w:hAnsi="宋体" w:eastAsia="宋体" w:cs="宋体"/>
          <w:b/>
          <w:color w:val="000000" w:themeColor="text1"/>
          <w:shd w:val="clear" w:color="auto" w:fill="auto"/>
          <w14:textFill>
            <w14:solidFill>
              <w14:schemeClr w14:val="tx1"/>
            </w14:solidFill>
          </w14:textFill>
        </w:rPr>
      </w:pPr>
    </w:p>
    <w:p w14:paraId="5FE1CEBF">
      <w:pPr>
        <w:rPr>
          <w:rFonts w:hint="eastAsia" w:ascii="宋体" w:hAnsi="宋体" w:eastAsia="宋体" w:cs="宋体"/>
          <w:b/>
          <w:color w:val="000000" w:themeColor="text1"/>
          <w:shd w:val="clear" w:color="auto" w:fill="auto"/>
          <w14:textFill>
            <w14:solidFill>
              <w14:schemeClr w14:val="tx1"/>
            </w14:solidFill>
          </w14:textFill>
        </w:rPr>
      </w:pPr>
    </w:p>
    <w:p w14:paraId="45F98B26">
      <w:pPr>
        <w:rPr>
          <w:rFonts w:hint="eastAsia" w:ascii="宋体" w:hAnsi="宋体" w:eastAsia="宋体" w:cs="宋体"/>
          <w:b/>
          <w:color w:val="000000" w:themeColor="text1"/>
          <w:shd w:val="clear" w:color="auto" w:fill="auto"/>
          <w14:textFill>
            <w14:solidFill>
              <w14:schemeClr w14:val="tx1"/>
            </w14:solidFill>
          </w14:textFill>
        </w:rPr>
      </w:pPr>
    </w:p>
    <w:p w14:paraId="70AA52A3">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7"/>
      <w:bookmarkEnd w:id="148"/>
      <w:bookmarkEnd w:id="149"/>
      <w:bookmarkEnd w:id="150"/>
      <w:bookmarkEnd w:id="151"/>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52" w:name="_Toc342913421"/>
      <w:bookmarkStart w:id="153" w:name="_Toc480979020"/>
      <w:bookmarkStart w:id="154" w:name="_Toc485108798"/>
      <w:bookmarkStart w:id="155" w:name="_Toc313008358"/>
      <w:bookmarkStart w:id="156"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52"/>
      <w:bookmarkEnd w:id="153"/>
      <w:bookmarkEnd w:id="154"/>
      <w:bookmarkEnd w:id="155"/>
      <w:bookmarkEnd w:id="156"/>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8437F9F">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33ABE8E4">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7"/>
      <w:bookmarkStart w:id="158" w:name="_Toc313888363"/>
      <w:bookmarkStart w:id="159" w:name="_Toc313008359"/>
      <w:bookmarkStart w:id="160"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8"/>
      <w:bookmarkEnd w:id="159"/>
      <w:bookmarkEnd w:id="160"/>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61" w:name="OLE_LINK4"/>
      <w:bookmarkStart w:id="162" w:name="OLE_LINK7"/>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61"/>
    <w:bookmarkEnd w:id="162"/>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63" w:name="_Toc27212"/>
      <w:bookmarkStart w:id="164"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63"/>
    <w:bookmarkEnd w:id="164"/>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24FB31CB">
      <w:pPr>
        <w:rPr>
          <w:rFonts w:hint="eastAsia" w:ascii="宋体" w:hAnsi="宋体" w:eastAsia="宋体" w:cs="宋体"/>
          <w:color w:val="000000" w:themeColor="text1"/>
          <w:shd w:val="clear" w:color="auto" w:fill="auto"/>
          <w14:textFill>
            <w14:solidFill>
              <w14:schemeClr w14:val="tx1"/>
            </w14:solidFill>
          </w14:textFill>
        </w:rPr>
      </w:pPr>
    </w:p>
    <w:p w14:paraId="436E327D">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CA403451-AF5D-4E97-98FF-D9C395831D54}"/>
  </w:font>
  <w:font w:name="方正仿宋_GB2312">
    <w:panose1 w:val="02000000000000000000"/>
    <w:charset w:val="86"/>
    <w:family w:val="auto"/>
    <w:pitch w:val="default"/>
    <w:sig w:usb0="A00002BF" w:usb1="184F6CFA" w:usb2="00000012" w:usb3="00000000" w:csb0="00040001" w:csb1="00000000"/>
    <w:embedRegular r:id="rId2" w:fontKey="{9B2BDE4F-BF5B-4B1B-B9EF-0E3770D51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76134D"/>
    <w:rsid w:val="0C931BB2"/>
    <w:rsid w:val="0C975B64"/>
    <w:rsid w:val="0C9D3992"/>
    <w:rsid w:val="0DC167EC"/>
    <w:rsid w:val="0E0E625A"/>
    <w:rsid w:val="0E38674E"/>
    <w:rsid w:val="0E4D3D6E"/>
    <w:rsid w:val="0E5721EA"/>
    <w:rsid w:val="0E5A796A"/>
    <w:rsid w:val="0E5B6625"/>
    <w:rsid w:val="0E9859A3"/>
    <w:rsid w:val="0E987B2D"/>
    <w:rsid w:val="0ECE4584"/>
    <w:rsid w:val="0F291536"/>
    <w:rsid w:val="0FAB0EE6"/>
    <w:rsid w:val="0FC701EB"/>
    <w:rsid w:val="0FD61CDB"/>
    <w:rsid w:val="10246EEB"/>
    <w:rsid w:val="10413B50"/>
    <w:rsid w:val="104D689B"/>
    <w:rsid w:val="109D57E0"/>
    <w:rsid w:val="10BF5E9B"/>
    <w:rsid w:val="11782A26"/>
    <w:rsid w:val="13141499"/>
    <w:rsid w:val="131D034D"/>
    <w:rsid w:val="134E0964"/>
    <w:rsid w:val="13653AA2"/>
    <w:rsid w:val="13F41DC8"/>
    <w:rsid w:val="14B95EDB"/>
    <w:rsid w:val="14C6168E"/>
    <w:rsid w:val="14C6556D"/>
    <w:rsid w:val="1554725E"/>
    <w:rsid w:val="15604521"/>
    <w:rsid w:val="158D32E0"/>
    <w:rsid w:val="17E52B34"/>
    <w:rsid w:val="18130842"/>
    <w:rsid w:val="18465822"/>
    <w:rsid w:val="18675712"/>
    <w:rsid w:val="18E50010"/>
    <w:rsid w:val="19394057"/>
    <w:rsid w:val="19B7492C"/>
    <w:rsid w:val="1A511E59"/>
    <w:rsid w:val="1A705757"/>
    <w:rsid w:val="1B1D5FE3"/>
    <w:rsid w:val="1B484046"/>
    <w:rsid w:val="1B4A5E5B"/>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B348E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A0812C8"/>
    <w:rsid w:val="2B3D6767"/>
    <w:rsid w:val="2B57565F"/>
    <w:rsid w:val="2BBD2276"/>
    <w:rsid w:val="2BD77C54"/>
    <w:rsid w:val="2C812A23"/>
    <w:rsid w:val="2CDF621C"/>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834056"/>
    <w:rsid w:val="369E4A52"/>
    <w:rsid w:val="36A73740"/>
    <w:rsid w:val="36EC0B56"/>
    <w:rsid w:val="375A306E"/>
    <w:rsid w:val="37D83F93"/>
    <w:rsid w:val="38442273"/>
    <w:rsid w:val="385D0EF3"/>
    <w:rsid w:val="389536A9"/>
    <w:rsid w:val="38C010B0"/>
    <w:rsid w:val="38E86458"/>
    <w:rsid w:val="38EB2B69"/>
    <w:rsid w:val="391C67AE"/>
    <w:rsid w:val="39486CC3"/>
    <w:rsid w:val="39A3534F"/>
    <w:rsid w:val="39D65068"/>
    <w:rsid w:val="3AA25DEC"/>
    <w:rsid w:val="3B30241A"/>
    <w:rsid w:val="3B5B756F"/>
    <w:rsid w:val="3B870893"/>
    <w:rsid w:val="3C4F6F1A"/>
    <w:rsid w:val="3D2F290C"/>
    <w:rsid w:val="3D4C1E7B"/>
    <w:rsid w:val="3DB7283C"/>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D4500D"/>
    <w:rsid w:val="41D67141"/>
    <w:rsid w:val="41F534A6"/>
    <w:rsid w:val="41F5463E"/>
    <w:rsid w:val="42030507"/>
    <w:rsid w:val="420A020E"/>
    <w:rsid w:val="423F7EC6"/>
    <w:rsid w:val="428345E9"/>
    <w:rsid w:val="429D5EC0"/>
    <w:rsid w:val="42A40896"/>
    <w:rsid w:val="437470EA"/>
    <w:rsid w:val="437C12A7"/>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092F71"/>
    <w:rsid w:val="492C6FBB"/>
    <w:rsid w:val="499D1F70"/>
    <w:rsid w:val="4A1025A8"/>
    <w:rsid w:val="4A832C17"/>
    <w:rsid w:val="4A9100D0"/>
    <w:rsid w:val="4AC26B09"/>
    <w:rsid w:val="4AD41B9B"/>
    <w:rsid w:val="4AED1C9D"/>
    <w:rsid w:val="4BE8259F"/>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9620AE"/>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8625BCC"/>
    <w:rsid w:val="58B574EB"/>
    <w:rsid w:val="58FC1D80"/>
    <w:rsid w:val="593509FB"/>
    <w:rsid w:val="59893E96"/>
    <w:rsid w:val="599D432B"/>
    <w:rsid w:val="59E56370"/>
    <w:rsid w:val="5B1E275D"/>
    <w:rsid w:val="5B3E21DC"/>
    <w:rsid w:val="5B4A5024"/>
    <w:rsid w:val="5BBD57F6"/>
    <w:rsid w:val="5BC414F3"/>
    <w:rsid w:val="5C953453"/>
    <w:rsid w:val="5CAE15E3"/>
    <w:rsid w:val="5D290C69"/>
    <w:rsid w:val="5E254884"/>
    <w:rsid w:val="5E36741C"/>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4EB6F6F"/>
    <w:rsid w:val="656A40F1"/>
    <w:rsid w:val="658C5E23"/>
    <w:rsid w:val="65F9363E"/>
    <w:rsid w:val="667E25AF"/>
    <w:rsid w:val="66815672"/>
    <w:rsid w:val="67152E14"/>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0E1C83"/>
    <w:rsid w:val="6E45126B"/>
    <w:rsid w:val="6F062BB9"/>
    <w:rsid w:val="6F213E8F"/>
    <w:rsid w:val="70E64A50"/>
    <w:rsid w:val="71231A63"/>
    <w:rsid w:val="714B6E37"/>
    <w:rsid w:val="71C72BEE"/>
    <w:rsid w:val="72517AB9"/>
    <w:rsid w:val="73614D85"/>
    <w:rsid w:val="7363682B"/>
    <w:rsid w:val="739465A0"/>
    <w:rsid w:val="73A82490"/>
    <w:rsid w:val="73B34AD5"/>
    <w:rsid w:val="743B3E3F"/>
    <w:rsid w:val="74E41D61"/>
    <w:rsid w:val="765A00C6"/>
    <w:rsid w:val="77452BA0"/>
    <w:rsid w:val="774923FD"/>
    <w:rsid w:val="777E28EC"/>
    <w:rsid w:val="77B52272"/>
    <w:rsid w:val="78120C80"/>
    <w:rsid w:val="783A1618"/>
    <w:rsid w:val="788222E3"/>
    <w:rsid w:val="7908485F"/>
    <w:rsid w:val="7936053E"/>
    <w:rsid w:val="793F0B2C"/>
    <w:rsid w:val="797D07AB"/>
    <w:rsid w:val="79AC25AE"/>
    <w:rsid w:val="7A804294"/>
    <w:rsid w:val="7AAC0A0E"/>
    <w:rsid w:val="7B237CCD"/>
    <w:rsid w:val="7B306E47"/>
    <w:rsid w:val="7B8C6B3B"/>
    <w:rsid w:val="7BD77DB7"/>
    <w:rsid w:val="7C3F595C"/>
    <w:rsid w:val="7C683BAE"/>
    <w:rsid w:val="7CBD0742"/>
    <w:rsid w:val="7D7D55A3"/>
    <w:rsid w:val="7DE81FDD"/>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12309</Words>
  <Characters>12647</Characters>
  <Lines>182</Lines>
  <Paragraphs>51</Paragraphs>
  <TotalTime>0</TotalTime>
  <ScaleCrop>false</ScaleCrop>
  <LinksUpToDate>false</LinksUpToDate>
  <CharactersWithSpaces>13114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2025-05-06T07:26:04Z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