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2025FW054</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萱花院区污水处理站污泥清掏、干化处理服务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0"/>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五月</w:t>
      </w:r>
    </w:p>
    <w:p w14:paraId="54FB0A7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3AF45A">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目   录</w:t>
      </w:r>
    </w:p>
    <w:p w14:paraId="75515588">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TOC \o "1-3" \h \z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_Toc25875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_Toc25875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550B1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_Toc28443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_Toc28443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A4EDE0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_Toc6609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val="en-US" w:eastAsia="zh-CN"/>
          <w14:textFill>
            <w14:solidFill>
              <w14:schemeClr w14:val="tx1"/>
            </w14:solidFill>
          </w14:textFill>
        </w:rPr>
        <w:t>二、资金来源</w:t>
      </w:r>
      <w:r>
        <w:rPr>
          <w:rFonts w:hint="eastAsia" w:ascii="宋体" w:hAnsi="宋体" w:cs="宋体"/>
          <w:color w:val="000000" w:themeColor="text1"/>
          <w:szCs w:val="24"/>
          <w:shd w:val="clear" w:color="auto" w:fill="auto"/>
          <w:lang w:val="en-US" w:eastAsia="zh-CN"/>
          <w14:textFill>
            <w14:solidFill>
              <w14:schemeClr w14:val="tx1"/>
            </w14:solidFill>
          </w14:textFill>
        </w:rPr>
        <w:t>与项目预算</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_Toc6609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1DCE9B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_Toc23857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三、供应商资格要求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_Toc23857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B0D8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_Toc11958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四、比选有关说明</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_Toc11958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A09181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_Toc29866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五、本项目无需购买比选文件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_Toc29866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43A65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_Toc2806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六、其它有关规定</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_Toc2806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CDE6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_Toc9130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、联系方式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_Toc9130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51ECB5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_Toc22321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_Toc22321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D1182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_Toc11386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一、比选费用</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_Toc11386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D70E41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_Toc8430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_Toc8430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45AB1F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_Toc23254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三、比选要求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_Toc23254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993C3E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_Toc19143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四、比选程序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_Toc19143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33500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_Toc14247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五、评审依据</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_Toc14247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6C5212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六、成交原则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DF3A43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_Toc7135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七、成交通知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_Toc7135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11</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4C52E46">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_Toc12880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八、关于质疑和投诉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_Toc12880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12</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4D57AC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_Toc5728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九、签订合同</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_Toc5728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EA241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十、其他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CFFE3B">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_Toc11770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_Toc11770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917EE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项目概况</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50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_Toc18590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w:t>
      </w:r>
      <w:r>
        <w:rPr>
          <w:rFonts w:hint="eastAsia" w:ascii="宋体" w:hAnsi="宋体" w:eastAsia="宋体" w:cs="宋体"/>
          <w:color w:val="000000" w:themeColor="text1"/>
          <w:szCs w:val="24"/>
          <w:shd w:val="clear" w:color="auto" w:fill="auto"/>
          <w:lang w:eastAsia="zh-CN"/>
          <w14:textFill>
            <w14:solidFill>
              <w14:schemeClr w14:val="tx1"/>
            </w14:solidFill>
          </w14:textFill>
        </w:rPr>
        <w:t>需</w:t>
      </w:r>
      <w:r>
        <w:rPr>
          <w:rFonts w:hint="eastAsia" w:ascii="宋体" w:hAnsi="宋体" w:eastAsia="宋体" w:cs="宋体"/>
          <w:color w:val="000000" w:themeColor="text1"/>
          <w:szCs w:val="24"/>
          <w:shd w:val="clear" w:color="auto" w:fill="auto"/>
          <w14:textFill>
            <w14:solidFill>
              <w14:schemeClr w14:val="tx1"/>
            </w14:solidFill>
          </w14:textFill>
        </w:rPr>
        <w:t>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_Toc18590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6D2F55">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_Toc28327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_Toc28327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35E20D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_Toc2302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_Toc2302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7330D7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_Toc26361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二</w:t>
      </w:r>
      <w:r>
        <w:rPr>
          <w:rFonts w:hint="eastAsia" w:ascii="宋体" w:hAnsi="宋体" w:eastAsia="宋体" w:cs="宋体"/>
          <w:color w:val="000000" w:themeColor="text1"/>
          <w:szCs w:val="24"/>
          <w:shd w:val="clear" w:color="auto" w:fill="auto"/>
          <w14:textFill>
            <w14:solidFill>
              <w14:schemeClr w14:val="tx1"/>
            </w14:solidFill>
          </w14:textFill>
        </w:rPr>
        <w:t>、</w:t>
      </w:r>
      <w:r>
        <w:rPr>
          <w:rFonts w:hint="eastAsia" w:ascii="宋体" w:hAnsi="宋体" w:eastAsia="宋体" w:cs="宋体"/>
          <w:color w:val="000000" w:themeColor="text1"/>
          <w:szCs w:val="24"/>
          <w:shd w:val="clear" w:color="auto" w:fill="auto"/>
          <w:lang w:eastAsia="zh-CN"/>
          <w14:textFill>
            <w14:solidFill>
              <w14:schemeClr w14:val="tx1"/>
            </w14:solidFill>
          </w14:textFill>
        </w:rPr>
        <w:t>知识产权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_Toc26361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127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_Toc7358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三</w:t>
      </w:r>
      <w:r>
        <w:rPr>
          <w:rFonts w:hint="eastAsia" w:ascii="宋体" w:hAnsi="宋体" w:eastAsia="宋体" w:cs="宋体"/>
          <w:color w:val="000000" w:themeColor="text1"/>
          <w:szCs w:val="24"/>
          <w:shd w:val="clear" w:color="auto" w:fill="auto"/>
          <w14:textFill>
            <w14:solidFill>
              <w14:schemeClr w14:val="tx1"/>
            </w14:solidFill>
          </w14:textFill>
        </w:rPr>
        <w:t>、其他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_Toc7358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7FE2E0">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_Toc14840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_Toc14840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2D119B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_Toc30815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一、定义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_Toc30815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44C3C3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_Toc17879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w:t>
      </w:r>
      <w:r>
        <w:rPr>
          <w:rFonts w:hint="eastAsia" w:ascii="宋体" w:hAnsi="宋体" w:eastAsia="宋体" w:cs="宋体"/>
          <w:color w:val="000000" w:themeColor="text1"/>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Cs w:val="24"/>
          <w:shd w:val="clear" w:color="auto" w:fill="auto"/>
          <w14:textFill>
            <w14:solidFill>
              <w14:schemeClr w14:val="tx1"/>
            </w14:solidFill>
          </w14:textFill>
        </w:rPr>
        <w:t>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_Toc17879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05BEB5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_Toc8853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三、合同价格</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_Toc8853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15E0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_Toc24410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四、转包或分包</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_Toc24410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E1E0B9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_Toc2241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五、质量保证及售后服务</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_Toc2241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185E2D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_Toc9053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六、付款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_Toc9053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F845E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_Toc11586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、合同争议的解决</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_Toc11586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3C630B">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_Toc26580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八</w:t>
      </w:r>
      <w:r>
        <w:rPr>
          <w:rFonts w:hint="eastAsia" w:ascii="宋体" w:hAnsi="宋体" w:eastAsia="宋体" w:cs="宋体"/>
          <w:color w:val="000000" w:themeColor="text1"/>
          <w:szCs w:val="24"/>
          <w:shd w:val="clear" w:color="auto" w:fill="auto"/>
          <w14:textFill>
            <w14:solidFill>
              <w14:schemeClr w14:val="tx1"/>
            </w14:solidFill>
          </w14:textFill>
        </w:rPr>
        <w:t>、违约责任</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_Toc26580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F2B003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_Toc16142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九</w:t>
      </w:r>
      <w:r>
        <w:rPr>
          <w:rFonts w:hint="eastAsia" w:ascii="宋体" w:hAnsi="宋体" w:eastAsia="宋体" w:cs="宋体"/>
          <w:color w:val="000000" w:themeColor="text1"/>
          <w:szCs w:val="24"/>
          <w:shd w:val="clear" w:color="auto" w:fill="auto"/>
          <w14:textFill>
            <w14:solidFill>
              <w14:schemeClr w14:val="tx1"/>
            </w14:solidFill>
          </w14:textFill>
        </w:rPr>
        <w:t>、合同生效及其它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_Toc16142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2D0DED4">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_Toc13696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_Toc13696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AEA010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_Toc27382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一、经济部分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_Toc27382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B98A42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_Toc6305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_Toc6305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5EDB1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_Toc7207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三、商务部分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_Toc7207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1E117B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_Toc18417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四、资格条件及其他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_Toc18417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3CF481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_Toc19884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五、其他应提供的资料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_Toc19884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20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85A0322">
      <w:pPr>
        <w:jc w:val="both"/>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_Toc23716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19BBA0A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_Toc23716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3F492CA">
      <w:pPr>
        <w:tabs>
          <w:tab w:val="right" w:leader="dot" w:pos="9402"/>
        </w:tabs>
        <w:spacing w:line="480" w:lineRule="exact"/>
        <w:ind w:left="420" w:leftChars="200"/>
        <w:rPr>
          <w:rFonts w:hint="eastAsia" w:ascii="宋体" w:hAnsi="宋体" w:eastAsia="宋体" w:cs="宋体"/>
          <w:color w:val="000000" w:themeColor="text1"/>
          <w:sz w:val="18"/>
          <w:shd w:val="clear" w:color="auto" w:fill="auto"/>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2789052"/>
      <w:bookmarkStart w:id="1" w:name="_Toc11641050"/>
      <w:bookmarkStart w:id="2" w:name="_Toc25875"/>
      <w:bookmarkStart w:id="3" w:name="_Toc485108766"/>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4" w:name="_Toc373860293"/>
      <w:bookmarkStart w:id="5"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萱花院区污水处理站污泥清掏、干化处理服务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28443"/>
      <w:bookmarkStart w:id="7" w:name="_Toc485108767"/>
      <w:bookmarkStart w:id="8" w:name="_Toc313893526"/>
      <w:bookmarkStart w:id="9" w:name="_Toc317775175"/>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6"/>
      <w:bookmarkEnd w:id="7"/>
      <w:bookmarkEnd w:id="8"/>
      <w:bookmarkEnd w:id="9"/>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萱花院区污水处理站污泥清掏、干化处理服务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0" w:name="_Toc6609"/>
      <w:bookmarkStart w:id="11"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0"/>
      <w:bookmarkEnd w:id="1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：自筹资金,项目预算：4.95万元。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 w:name="_Toc485108769"/>
      <w:bookmarkStart w:id="13"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2"/>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3"/>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4"/>
      <w:bookmarkEnd w:id="5"/>
      <w:bookmarkStart w:id="14" w:name="_Toc11958"/>
      <w:bookmarkStart w:id="15" w:name="_Toc6"/>
      <w:bookmarkStart w:id="16" w:name="_Toc485108774"/>
      <w:bookmarkStart w:id="17" w:name="_Toc102227313"/>
    </w:p>
    <w:p w14:paraId="1A0E4A0F">
      <w:pPr>
        <w:spacing w:line="48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资质要求：有效期内的三证合一营业执照，经营范围包含化粪池清掏；下井下池作业人员须持有毒有害有限空间作业证书。 </w:t>
      </w:r>
    </w:p>
    <w:p w14:paraId="54D434CB">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4"/>
      <w:bookmarkEnd w:id="1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21</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w:t>
      </w:r>
      <w:bookmarkStart w:id="161" w:name="_GoBack"/>
      <w:bookmarkEnd w:id="161"/>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8"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18"/>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9"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19"/>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0"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0"/>
      <w:bookmarkStart w:id="21" w:name="_Toc373860294"/>
      <w:bookmarkStart w:id="22" w:name="_Toc54171062"/>
      <w:bookmarkStart w:id="23" w:name="_Toc54718176"/>
    </w:p>
    <w:bookmarkEnd w:id="21"/>
    <w:bookmarkEnd w:id="22"/>
    <w:bookmarkEnd w:id="23"/>
    <w:p w14:paraId="1FD6A981">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24" w:name="_Toc1625"/>
      <w:bookmarkStart w:id="25"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4"/>
      <w:bookmarkEnd w:id="25"/>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9130"/>
      <w:bookmarkStart w:id="27"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6"/>
      <w:bookmarkEnd w:id="27"/>
    </w:p>
    <w:bookmarkEnd w:id="16"/>
    <w:bookmarkEnd w:id="17"/>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28"/>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pStyle w:val="2"/>
        <w:bidi w:val="0"/>
        <w:jc w:val="center"/>
        <w:rPr>
          <w:rFonts w:hint="eastAsia" w:ascii="宋体" w:hAnsi="宋体" w:eastAsia="宋体" w:cs="宋体"/>
          <w:b/>
          <w:bCs/>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29"/>
    </w:p>
    <w:p w14:paraId="7768EA36">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0"/>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rPr>
          <w:rFonts w:hint="eastAsia" w:ascii="宋体" w:hAnsi="宋体" w:eastAsia="宋体" w:cs="宋体"/>
          <w:color w:val="000000" w:themeColor="text1"/>
          <w:shd w:val="clear" w:color="auto" w:fill="auto"/>
          <w14:textFill>
            <w14:solidFill>
              <w14:schemeClr w14:val="tx1"/>
            </w14:solidFill>
          </w14:textFill>
        </w:rPr>
      </w:pPr>
      <w:bookmarkStart w:id="31"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1"/>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32"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2"/>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报价要求：</w:t>
      </w:r>
    </w:p>
    <w:p w14:paraId="2E755E68">
      <w:pPr>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投标报价为包干价（报价表见</w:t>
      </w:r>
      <w:r>
        <w:rPr>
          <w:rFonts w:hint="eastAsia" w:ascii="宋体" w:hAnsi="宋体" w:eastAsia="宋体" w:cs="宋体"/>
          <w:color w:val="FF0000"/>
          <w:sz w:val="24"/>
          <w:szCs w:val="24"/>
          <w:shd w:val="clear" w:color="auto" w:fill="auto"/>
          <w:lang w:eastAsia="zh-CN"/>
        </w:rPr>
        <w:t>第六章</w:t>
      </w:r>
      <w:r>
        <w:rPr>
          <w:rFonts w:hint="eastAsia" w:ascii="宋体" w:hAnsi="宋体" w:eastAsia="宋体" w:cs="宋体"/>
          <w:color w:val="FF0000"/>
          <w:sz w:val="24"/>
          <w:szCs w:val="24"/>
          <w:shd w:val="clear" w:color="auto" w:fill="auto"/>
        </w:rPr>
        <w:t>），包含服务费、差旅费、住宿费、保险费、税费等各项费用。</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3" w:name="OLE_LINK9"/>
      <w:bookmarkStart w:id="34" w:name="OLE_LINK8"/>
      <w:bookmarkStart w:id="35" w:name="OLE_LINK3"/>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18122"/>
      <w:bookmarkStart w:id="37" w:name="_Toc342913393"/>
      <w:bookmarkStart w:id="38" w:name="_Toc179714298"/>
      <w:bookmarkStart w:id="39" w:name="_Toc102227319"/>
      <w:bookmarkStart w:id="40" w:name="_Toc19143"/>
      <w:bookmarkStart w:id="41" w:name="_Toc403569780"/>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Align w:val="center"/>
          </w:tcPr>
          <w:p w14:paraId="2651D616">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或202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3</w:t>
            </w:r>
            <w:r>
              <w:rPr>
                <w:rFonts w:hint="eastAsia" w:ascii="宋体" w:hAnsi="宋体" w:eastAsia="宋体" w:cs="宋体"/>
                <w:color w:val="000000" w:themeColor="text1"/>
                <w:szCs w:val="21"/>
                <w:shd w:val="clear" w:color="auto" w:fill="auto"/>
                <w14:textFill>
                  <w14:solidFill>
                    <w14:schemeClr w14:val="tx1"/>
                  </w14:solidFill>
                </w14:textFill>
              </w:rPr>
              <w:t>年度财务状况报告（表）或其基本开户银行出具的资信证明（提供复印件）。</w:t>
            </w:r>
          </w:p>
          <w:p w14:paraId="53355760">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Align w:val="center"/>
          </w:tcPr>
          <w:p w14:paraId="1BA58B19">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1.税务登记证（副本）（提供复印件）。</w:t>
            </w:r>
          </w:p>
          <w:p w14:paraId="6E7EB7A1">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1.供应商提供书面声明（见格式文件）</w:t>
            </w:r>
          </w:p>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r>
              <w:rPr>
                <w:rFonts w:hint="eastAsia" w:ascii="宋体" w:hAnsi="宋体" w:eastAsia="宋体" w:cs="宋体"/>
                <w:b/>
                <w:color w:val="000000" w:themeColor="text1"/>
                <w:szCs w:val="21"/>
                <w:shd w:val="clear" w:color="auto" w:fill="auto"/>
                <w14:textFill>
                  <w14:solidFill>
                    <w14:schemeClr w14:val="tx1"/>
                  </w14:solidFill>
                </w14:textFill>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14247"/>
      <w:bookmarkStart w:id="43" w:name="_Toc403569781"/>
      <w:bookmarkStart w:id="44" w:name="_Toc28776"/>
      <w:bookmarkStart w:id="45" w:name="_Toc102227320"/>
      <w:bookmarkStart w:id="46"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2"/>
      <w:bookmarkEnd w:id="43"/>
      <w:bookmarkEnd w:id="44"/>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7" w:name="_Toc403569782"/>
      <w:bookmarkStart w:id="48" w:name="_Toc14816"/>
      <w:bookmarkStart w:id="49"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5"/>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0" w:name="_Toc7135"/>
      <w:bookmarkStart w:id="51" w:name="_Toc403569783"/>
      <w:bookmarkStart w:id="52" w:name="_Toc3212"/>
      <w:bookmarkStart w:id="53" w:name="_Toc342913395"/>
      <w:bookmarkStart w:id="54" w:name="_Toc102227321"/>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0"/>
      <w:bookmarkEnd w:id="51"/>
      <w:bookmarkEnd w:id="52"/>
      <w:bookmarkEnd w:id="53"/>
      <w:bookmarkEnd w:id="54"/>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5" w:name="_Toc403569784"/>
      <w:bookmarkStart w:id="56" w:name="_Toc17413"/>
      <w:bookmarkStart w:id="57"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58" w:name="_Toc102227322"/>
      <w:bookmarkStart w:id="59" w:name="_Toc342913396"/>
      <w:bookmarkStart w:id="60" w:name="_Toc403569785"/>
      <w:bookmarkStart w:id="61"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58"/>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7C9A12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3F1D6D2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B4430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A5B576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EC3EF2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634E9D2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pStyle w:val="2"/>
        <w:jc w:val="both"/>
        <w:rPr>
          <w:rFonts w:hint="eastAsia" w:ascii="宋体" w:hAnsi="宋体" w:eastAsia="宋体" w:cs="宋体"/>
          <w:b/>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3" w:name="_Toc11770"/>
      <w:bookmarkStart w:id="64"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3"/>
      <w:bookmarkEnd w:id="64"/>
    </w:p>
    <w:p w14:paraId="53EC4B1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5" w:name="_Toc485108787"/>
      <w:bookmarkStart w:id="66" w:name="_Toc28327"/>
      <w:bookmarkStart w:id="67"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3A4A0667">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1.服务内容：</w:t>
      </w:r>
    </w:p>
    <w:p w14:paraId="57529DB3">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（1）清掏萱花院区污水处理站调节池、反应池、沉淀池、消毒池、污泥浓缩池，共724.2立方米。</w:t>
      </w:r>
    </w:p>
    <w:p w14:paraId="2A582F45">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（2）清掏出的污泥消毒，用防渗漏编织袋封装干化后的污泥，交给具有相应资质的部门处理。</w:t>
      </w:r>
    </w:p>
    <w:p w14:paraId="01A447F0">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（3）配合采购方完成调节池潜污泵、导轨等安装，具体要求为所有池子需清掏见底，潜污泵、导轨等未安装完成前不得向池内进水。</w:t>
      </w:r>
    </w:p>
    <w:p w14:paraId="2770CA5F">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2.服务要求：施工前需由采购方相关部门提交院内施工安全许可审批，取得院内施工许可后方可施工。</w:t>
      </w:r>
    </w:p>
    <w:p w14:paraId="7762CA65">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3.安全要求：在服务过程中，服务方应采取有效的安全措施，保证工作人员和其他人员的人身安全，并承担因安全事故导致的一切经济和法律责任。如有损坏财产须照价赔偿。</w:t>
      </w:r>
    </w:p>
    <w:p w14:paraId="30E72639">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0196F2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DD9DF3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3C415B1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C6DDB8A">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59F43896">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B0105C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B1DAD0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754348A">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9FD591C">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F4A47B">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D222FD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F60610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A0BCBE7">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EBC5D8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65"/>
      <w:bookmarkEnd w:id="66"/>
      <w:bookmarkEnd w:id="67"/>
      <w:bookmarkStart w:id="68" w:name="_Toc11641055"/>
      <w:bookmarkStart w:id="69" w:name="_Toc12789059"/>
    </w:p>
    <w:p w14:paraId="5642FEE9">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0" w:name="_Toc11645"/>
      <w:bookmarkStart w:id="71" w:name="_Toc7358"/>
      <w:bookmarkStart w:id="72" w:name="_Toc403569795"/>
      <w:bookmarkStart w:id="73"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08E35243">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.工期要求：15个工作日</w:t>
      </w:r>
      <w:r>
        <w:rPr>
          <w:rFonts w:hint="eastAsia" w:ascii="宋体" w:hAnsi="宋体" w:eastAsia="宋体" w:cs="宋体"/>
          <w:color w:val="FF0000"/>
          <w:sz w:val="24"/>
          <w:szCs w:val="24"/>
          <w:shd w:val="clear" w:color="auto" w:fill="auto"/>
          <w:lang w:eastAsia="zh-CN"/>
        </w:rPr>
        <w:t>内</w:t>
      </w:r>
      <w:r>
        <w:rPr>
          <w:rFonts w:hint="eastAsia" w:ascii="宋体" w:hAnsi="宋体" w:eastAsia="宋体" w:cs="宋体"/>
          <w:color w:val="FF0000"/>
          <w:sz w:val="24"/>
          <w:szCs w:val="24"/>
          <w:shd w:val="clear" w:color="auto" w:fill="auto"/>
        </w:rPr>
        <w:t>。</w:t>
      </w:r>
    </w:p>
    <w:p w14:paraId="22D5AA73">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现场勘查：服务方自行勘查现场，联系人：陈老师，电话：17782359688。</w:t>
      </w:r>
    </w:p>
    <w:p w14:paraId="5963289A">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.验收方式：服务方按时完成项目内容后，由采购方签字确认。</w:t>
      </w:r>
    </w:p>
    <w:p w14:paraId="61BDF0A5">
      <w:pPr>
        <w:snapToGrid w:val="0"/>
        <w:spacing w:line="400" w:lineRule="exact"/>
        <w:ind w:firstLine="540"/>
        <w:rPr>
          <w:rFonts w:hint="default"/>
          <w:color w:val="FF0000"/>
          <w:szCs w:val="28"/>
          <w:lang w:val="en-US" w:eastAsia="zh-CN"/>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rPr>
        <w:t>.付款方式：服务方按时完成清掏作业和污泥处理，经采购方验收合格，结算时采购方凭服务方的正式发票于60日内转账支付结算费用。</w:t>
      </w:r>
    </w:p>
    <w:p w14:paraId="5235ADB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1"/>
      <w:bookmarkEnd w:id="72"/>
      <w:bookmarkEnd w:id="7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68"/>
      <w:bookmarkEnd w:id="69"/>
      <w:bookmarkStart w:id="74" w:name="_Toc403569796"/>
      <w:bookmarkStart w:id="75" w:name="_Toc14840"/>
      <w:bookmarkStart w:id="76" w:name="_Toc485108794"/>
      <w:bookmarkStart w:id="77" w:name="_Toc303945820"/>
      <w:bookmarkStart w:id="7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74"/>
      <w:bookmarkEnd w:id="75"/>
      <w:bookmarkEnd w:id="76"/>
    </w:p>
    <w:p w14:paraId="5E46A35E">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79" w:name="_Toc30815"/>
      <w:bookmarkStart w:id="8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79"/>
      <w:bookmarkEnd w:id="8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8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8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8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8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85"/>
    </w:p>
    <w:p w14:paraId="484E102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6" w:name="_Toc54718203"/>
      <w:bookmarkStart w:id="87"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86"/>
      <w:bookmarkEnd w:id="8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8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4"/>
      <w:bookmarkStart w:id="9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89"/>
      <w:bookmarkEnd w:id="9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25177"/>
      <w:bookmarkStart w:id="9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9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93"/>
    </w:p>
    <w:p w14:paraId="16BE7E9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92"/>
      <w:bookmarkEnd w:id="9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9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9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97"/>
    </w:p>
    <w:p w14:paraId="0E692A8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241"/>
      <w:bookmarkStart w:id="9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98"/>
      <w:bookmarkEnd w:id="9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00" w:name="_Toc12985"/>
      <w:bookmarkStart w:id="10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0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01"/>
    </w:p>
    <w:p w14:paraId="318F8000">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54718207"/>
      <w:bookmarkStart w:id="10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02"/>
      <w:bookmarkEnd w:id="10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0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0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06"/>
    </w:p>
    <w:p w14:paraId="0105B42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586"/>
      <w:bookmarkStart w:id="10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07"/>
      <w:bookmarkEnd w:id="10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0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1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11" w:name="_Toc54718210"/>
      <w:bookmarkStart w:id="112" w:name="_Toc31719"/>
      <w:bookmarkStart w:id="113" w:name="_Toc26580"/>
      <w:bookmarkStart w:id="11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11"/>
      <w:bookmarkEnd w:id="11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16"/>
    </w:p>
    <w:p w14:paraId="7F490E8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13"/>
      <w:bookmarkEnd w:id="11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17"/>
      <w:bookmarkEnd w:id="11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1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2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2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2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23"/>
    </w:p>
    <w:bookmarkEnd w:id="77"/>
    <w:bookmarkEnd w:id="7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24" w:name="_Hlt41879464"/>
      <w:bookmarkEnd w:id="124"/>
      <w:bookmarkStart w:id="125" w:name="_Toc12789072"/>
      <w:bookmarkStart w:id="126" w:name="_Toc485108795"/>
      <w:bookmarkStart w:id="127"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25"/>
      <w:bookmarkEnd w:id="126"/>
      <w:bookmarkEnd w:id="127"/>
    </w:p>
    <w:p w14:paraId="3475141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28"/>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29"/>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30"/>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38358147"/>
      <w:bookmarkStart w:id="132" w:name="OLE_LINK11"/>
      <w:bookmarkStart w:id="133"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31"/>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34"/>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74F8954D">
      <w:pPr>
        <w:snapToGrid w:val="0"/>
        <w:spacing w:line="400" w:lineRule="exact"/>
        <w:ind w:firstLine="480" w:firstLineChars="200"/>
        <w:rPr>
          <w:rFonts w:hint="eastAsia" w:ascii="宋体" w:hAnsi="宋体" w:eastAsia="宋体" w:cs="宋体"/>
          <w:color w:val="000000" w:themeColor="text1"/>
          <w:sz w:val="24"/>
          <w:szCs w:val="24"/>
          <w:highlight w:val="yellow"/>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（六）书面声明（格式）</w:t>
      </w:r>
    </w:p>
    <w:p w14:paraId="787ABABD">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（七）税务登记证（副本）复印件</w:t>
      </w:r>
    </w:p>
    <w:p w14:paraId="212D4CC9">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35"/>
    </w:p>
    <w:p w14:paraId="4D84AFC8">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p>
    <w:bookmarkEnd w:id="132"/>
    <w:bookmarkEnd w:id="133"/>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firstLineChars="0"/>
        <w:rPr>
          <w:rFonts w:hint="eastAsia" w:ascii="宋体" w:hAnsi="宋体" w:eastAsia="宋体" w:cs="宋体"/>
          <w:b/>
          <w:color w:val="000000" w:themeColor="text1"/>
          <w:shd w:val="clear" w:color="auto" w:fill="auto"/>
          <w14:textFill>
            <w14:solidFill>
              <w14:schemeClr w14:val="tx1"/>
            </w14:solidFill>
          </w14:textFill>
        </w:rPr>
      </w:pPr>
      <w:bookmarkStart w:id="136" w:name="_Toc485108796"/>
      <w:bookmarkStart w:id="137" w:name="_Toc342913419"/>
      <w:bookmarkStart w:id="138" w:name="_Toc480979018"/>
      <w:bookmarkStart w:id="139" w:name="_Toc313008356"/>
      <w:bookmarkStart w:id="140" w:name="_Toc313888360"/>
      <w:bookmarkStart w:id="141" w:name="_Toc12789073"/>
      <w:bookmarkStart w:id="142"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36"/>
      <w:bookmarkEnd w:id="137"/>
      <w:bookmarkEnd w:id="138"/>
      <w:bookmarkEnd w:id="139"/>
      <w:bookmarkEnd w:id="140"/>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41"/>
    <w:bookmarkEnd w:id="142"/>
    <w:p w14:paraId="6B701359">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0"/>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779E760C">
      <w:pPr>
        <w:adjustRightInd w:val="0"/>
        <w:spacing w:line="500" w:lineRule="exact"/>
        <w:rPr>
          <w:rFonts w:hint="eastAsia" w:ascii="仿宋" w:hAnsi="仿宋" w:eastAsia="仿宋"/>
          <w:b/>
          <w:bCs/>
          <w:sz w:val="32"/>
          <w:szCs w:val="32"/>
          <w:lang w:val="en-US" w:eastAsia="zh-CN"/>
        </w:rPr>
      </w:pPr>
      <w:bookmarkStart w:id="143" w:name="_Toc485108797"/>
      <w:bookmarkStart w:id="144" w:name="_Toc313888361"/>
      <w:bookmarkStart w:id="145" w:name="_Toc480979019"/>
      <w:bookmarkStart w:id="146" w:name="_Toc342913420"/>
      <w:bookmarkStart w:id="147" w:name="_Toc313008357"/>
    </w:p>
    <w:p w14:paraId="1C64941F">
      <w:pPr>
        <w:pStyle w:val="52"/>
        <w:spacing w:before="0" w:beforeAutospacing="0" w:after="0" w:afterAutospacing="0" w:line="480" w:lineRule="exact"/>
        <w:jc w:val="center"/>
        <w:rPr>
          <w:sz w:val="32"/>
          <w:szCs w:val="32"/>
        </w:rPr>
      </w:pPr>
      <w:r>
        <w:rPr>
          <w:rFonts w:hint="eastAsia"/>
          <w:sz w:val="32"/>
          <w:szCs w:val="32"/>
        </w:rPr>
        <w:t>报 价 表</w:t>
      </w:r>
    </w:p>
    <w:tbl>
      <w:tblPr>
        <w:tblStyle w:val="59"/>
        <w:tblpPr w:leftFromText="180" w:rightFromText="180" w:vertAnchor="text" w:horzAnchor="margin" w:tblpXSpec="center" w:tblpY="372"/>
        <w:tblW w:w="8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2049"/>
        <w:gridCol w:w="3368"/>
        <w:gridCol w:w="2612"/>
      </w:tblGrid>
      <w:tr w14:paraId="52201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928" w:type="dxa"/>
            <w:noWrap w:val="0"/>
            <w:vAlign w:val="center"/>
          </w:tcPr>
          <w:p w14:paraId="2E7E29BC">
            <w:pPr>
              <w:pStyle w:val="30"/>
              <w:tabs>
                <w:tab w:val="right" w:leader="hyphen" w:pos="8080"/>
              </w:tabs>
              <w:spacing w:line="360" w:lineRule="auto"/>
              <w:ind w:firstLine="0"/>
              <w:jc w:val="center"/>
              <w:outlineLvl w:val="0"/>
              <w:rPr>
                <w:kern w:val="2"/>
                <w:szCs w:val="24"/>
              </w:rPr>
            </w:pPr>
            <w:r>
              <w:rPr>
                <w:rFonts w:hint="eastAsia"/>
                <w:kern w:val="2"/>
                <w:szCs w:val="24"/>
              </w:rPr>
              <w:t>序号</w:t>
            </w:r>
          </w:p>
        </w:tc>
        <w:tc>
          <w:tcPr>
            <w:tcW w:w="2049" w:type="dxa"/>
            <w:noWrap w:val="0"/>
            <w:vAlign w:val="center"/>
          </w:tcPr>
          <w:p w14:paraId="37C2F71B">
            <w:pPr>
              <w:pStyle w:val="30"/>
              <w:tabs>
                <w:tab w:val="right" w:leader="hyphen" w:pos="8080"/>
              </w:tabs>
              <w:spacing w:line="360" w:lineRule="auto"/>
              <w:ind w:firstLine="0"/>
              <w:jc w:val="center"/>
              <w:outlineLvl w:val="0"/>
              <w:rPr>
                <w:kern w:val="2"/>
                <w:szCs w:val="24"/>
              </w:rPr>
            </w:pPr>
            <w:r>
              <w:rPr>
                <w:rFonts w:hint="eastAsia"/>
                <w:kern w:val="2"/>
                <w:szCs w:val="24"/>
              </w:rPr>
              <w:t>名称</w:t>
            </w:r>
          </w:p>
        </w:tc>
        <w:tc>
          <w:tcPr>
            <w:tcW w:w="3368" w:type="dxa"/>
            <w:noWrap w:val="0"/>
            <w:vAlign w:val="center"/>
          </w:tcPr>
          <w:p w14:paraId="7703F44F">
            <w:pPr>
              <w:pStyle w:val="30"/>
              <w:tabs>
                <w:tab w:val="right" w:leader="hyphen" w:pos="8080"/>
              </w:tabs>
              <w:spacing w:line="360" w:lineRule="auto"/>
              <w:ind w:firstLine="0"/>
              <w:jc w:val="center"/>
              <w:outlineLvl w:val="0"/>
              <w:rPr>
                <w:kern w:val="2"/>
                <w:szCs w:val="24"/>
              </w:rPr>
            </w:pPr>
            <w:r>
              <w:rPr>
                <w:kern w:val="2"/>
                <w:szCs w:val="24"/>
              </w:rPr>
              <w:t>费用（元）</w:t>
            </w:r>
          </w:p>
        </w:tc>
        <w:tc>
          <w:tcPr>
            <w:tcW w:w="2612" w:type="dxa"/>
            <w:noWrap w:val="0"/>
            <w:vAlign w:val="top"/>
          </w:tcPr>
          <w:p w14:paraId="1CCAC9AE">
            <w:pPr>
              <w:pStyle w:val="30"/>
              <w:tabs>
                <w:tab w:val="right" w:leader="hyphen" w:pos="8080"/>
              </w:tabs>
              <w:spacing w:line="360" w:lineRule="auto"/>
              <w:ind w:firstLine="0"/>
              <w:jc w:val="center"/>
              <w:outlineLvl w:val="0"/>
              <w:rPr>
                <w:kern w:val="2"/>
                <w:szCs w:val="24"/>
              </w:rPr>
            </w:pPr>
            <w:r>
              <w:rPr>
                <w:rFonts w:hint="eastAsia"/>
                <w:kern w:val="2"/>
                <w:szCs w:val="24"/>
              </w:rPr>
              <w:t>备注</w:t>
            </w:r>
          </w:p>
        </w:tc>
      </w:tr>
      <w:tr w14:paraId="40D64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8" w:type="dxa"/>
            <w:noWrap w:val="0"/>
            <w:vAlign w:val="center"/>
          </w:tcPr>
          <w:p w14:paraId="6446C865">
            <w:pPr>
              <w:spacing w:line="400" w:lineRule="exact"/>
              <w:jc w:val="center"/>
              <w:rPr>
                <w:rFonts w:ascii="宋体" w:hAnsi="宋体"/>
                <w:sz w:val="24"/>
              </w:rPr>
            </w:pPr>
            <w:r>
              <w:rPr>
                <w:rFonts w:hint="eastAsia" w:ascii="宋体" w:hAnsi="宋体"/>
                <w:sz w:val="24"/>
              </w:rPr>
              <w:t>1</w:t>
            </w:r>
          </w:p>
        </w:tc>
        <w:tc>
          <w:tcPr>
            <w:tcW w:w="2049" w:type="dxa"/>
            <w:noWrap w:val="0"/>
            <w:vAlign w:val="center"/>
          </w:tcPr>
          <w:p w14:paraId="4A14879C">
            <w:pPr>
              <w:spacing w:line="400" w:lineRule="exact"/>
              <w:jc w:val="center"/>
              <w:rPr>
                <w:rFonts w:ascii="宋体" w:hAnsi="宋体"/>
                <w:sz w:val="24"/>
              </w:rPr>
            </w:pPr>
            <w:r>
              <w:rPr>
                <w:rFonts w:ascii="宋体" w:hAnsi="宋体"/>
                <w:sz w:val="24"/>
              </w:rPr>
              <w:t>服务费</w:t>
            </w:r>
          </w:p>
        </w:tc>
        <w:tc>
          <w:tcPr>
            <w:tcW w:w="3368" w:type="dxa"/>
            <w:noWrap w:val="0"/>
            <w:vAlign w:val="center"/>
          </w:tcPr>
          <w:p w14:paraId="711AA790">
            <w:pPr>
              <w:spacing w:line="300" w:lineRule="exact"/>
              <w:jc w:val="center"/>
              <w:rPr>
                <w:rFonts w:ascii="宋体" w:hAnsi="宋体"/>
                <w:szCs w:val="21"/>
              </w:rPr>
            </w:pPr>
          </w:p>
        </w:tc>
        <w:tc>
          <w:tcPr>
            <w:tcW w:w="2612" w:type="dxa"/>
            <w:noWrap w:val="0"/>
            <w:vAlign w:val="top"/>
          </w:tcPr>
          <w:p w14:paraId="38F13DD9">
            <w:pPr>
              <w:spacing w:line="300" w:lineRule="exact"/>
              <w:jc w:val="center"/>
              <w:rPr>
                <w:rFonts w:ascii="宋体" w:hAnsi="宋体"/>
                <w:szCs w:val="21"/>
              </w:rPr>
            </w:pPr>
          </w:p>
        </w:tc>
      </w:tr>
      <w:tr w14:paraId="650E2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8" w:type="dxa"/>
            <w:noWrap w:val="0"/>
            <w:vAlign w:val="center"/>
          </w:tcPr>
          <w:p w14:paraId="272BB1A2">
            <w:pPr>
              <w:spacing w:line="400" w:lineRule="exact"/>
              <w:jc w:val="center"/>
              <w:rPr>
                <w:rFonts w:ascii="宋体" w:hAnsi="宋体"/>
                <w:sz w:val="24"/>
              </w:rPr>
            </w:pPr>
            <w:r>
              <w:rPr>
                <w:rFonts w:hint="eastAsia" w:ascii="宋体" w:hAnsi="宋体"/>
                <w:sz w:val="24"/>
              </w:rPr>
              <w:t>2</w:t>
            </w:r>
          </w:p>
        </w:tc>
        <w:tc>
          <w:tcPr>
            <w:tcW w:w="2049" w:type="dxa"/>
            <w:noWrap w:val="0"/>
            <w:vAlign w:val="center"/>
          </w:tcPr>
          <w:p w14:paraId="6EF8D0A9">
            <w:pPr>
              <w:spacing w:line="400" w:lineRule="exact"/>
              <w:jc w:val="center"/>
              <w:rPr>
                <w:rFonts w:ascii="宋体" w:hAnsi="宋体"/>
                <w:sz w:val="24"/>
              </w:rPr>
            </w:pPr>
            <w:r>
              <w:rPr>
                <w:rFonts w:hint="eastAsia" w:ascii="宋体" w:hAnsi="宋体"/>
                <w:sz w:val="24"/>
              </w:rPr>
              <w:t>合计</w:t>
            </w:r>
          </w:p>
        </w:tc>
        <w:tc>
          <w:tcPr>
            <w:tcW w:w="5980" w:type="dxa"/>
            <w:gridSpan w:val="2"/>
            <w:noWrap w:val="0"/>
            <w:vAlign w:val="center"/>
          </w:tcPr>
          <w:p w14:paraId="6C6BDA95">
            <w:pPr>
              <w:spacing w:line="300" w:lineRule="exact"/>
              <w:jc w:val="center"/>
              <w:rPr>
                <w:rFonts w:ascii="宋体" w:hAnsi="宋体"/>
                <w:szCs w:val="21"/>
              </w:rPr>
            </w:pPr>
          </w:p>
        </w:tc>
      </w:tr>
      <w:tr w14:paraId="794B9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8" w:type="dxa"/>
            <w:noWrap w:val="0"/>
            <w:vAlign w:val="center"/>
          </w:tcPr>
          <w:p w14:paraId="005DC5AA">
            <w:pPr>
              <w:spacing w:line="400" w:lineRule="exact"/>
              <w:jc w:val="center"/>
              <w:rPr>
                <w:rFonts w:ascii="宋体" w:hAnsi="宋体"/>
                <w:sz w:val="24"/>
              </w:rPr>
            </w:pPr>
            <w:r>
              <w:rPr>
                <w:rFonts w:hint="eastAsia" w:ascii="宋体" w:hAnsi="宋体"/>
                <w:sz w:val="24"/>
              </w:rPr>
              <w:t>3</w:t>
            </w:r>
          </w:p>
        </w:tc>
        <w:tc>
          <w:tcPr>
            <w:tcW w:w="2049" w:type="dxa"/>
            <w:noWrap w:val="0"/>
            <w:vAlign w:val="center"/>
          </w:tcPr>
          <w:p w14:paraId="010EF9DF">
            <w:pPr>
              <w:spacing w:line="400" w:lineRule="exact"/>
              <w:jc w:val="center"/>
              <w:rPr>
                <w:rFonts w:ascii="宋体" w:hAnsi="宋体"/>
                <w:sz w:val="24"/>
              </w:rPr>
            </w:pPr>
            <w:r>
              <w:rPr>
                <w:rFonts w:hint="eastAsia" w:ascii="宋体" w:hAnsi="宋体"/>
                <w:sz w:val="24"/>
              </w:rPr>
              <w:t>工期</w:t>
            </w:r>
          </w:p>
        </w:tc>
        <w:tc>
          <w:tcPr>
            <w:tcW w:w="5980" w:type="dxa"/>
            <w:gridSpan w:val="2"/>
            <w:noWrap w:val="0"/>
            <w:vAlign w:val="center"/>
          </w:tcPr>
          <w:p w14:paraId="7CAAA15D">
            <w:pPr>
              <w:spacing w:line="300" w:lineRule="exact"/>
              <w:jc w:val="center"/>
              <w:rPr>
                <w:rFonts w:ascii="宋体" w:hAnsi="宋体"/>
                <w:szCs w:val="21"/>
              </w:rPr>
            </w:pPr>
          </w:p>
        </w:tc>
      </w:tr>
    </w:tbl>
    <w:p w14:paraId="15E3FAE9">
      <w:pPr>
        <w:rPr>
          <w:rFonts w:hint="eastAsia" w:ascii="Times New Roman" w:hAnsi="Times New Roman" w:eastAsia="方正仿宋_GBK" w:cs="Times New Roman"/>
          <w:color w:val="FF0000"/>
          <w:sz w:val="28"/>
          <w:szCs w:val="28"/>
          <w:lang w:val="en-US" w:eastAsia="zh-CN"/>
        </w:rPr>
      </w:pPr>
    </w:p>
    <w:p w14:paraId="05A74EDE">
      <w:pPr>
        <w:rPr>
          <w:rFonts w:hint="default" w:ascii="Times New Roman" w:hAnsi="Times New Roman" w:eastAsia="方正仿宋_GBK" w:cs="Times New Roman"/>
          <w:color w:val="FF0000"/>
          <w:sz w:val="28"/>
          <w:szCs w:val="28"/>
          <w:lang w:val="en-US" w:eastAsia="zh-CN"/>
        </w:rPr>
      </w:pPr>
      <w:r>
        <w:rPr>
          <w:rFonts w:hint="eastAsia" w:ascii="Times New Roman" w:hAnsi="Times New Roman" w:eastAsia="方正仿宋_GBK" w:cs="Times New Roman"/>
          <w:color w:val="FF0000"/>
          <w:sz w:val="28"/>
          <w:szCs w:val="28"/>
          <w:lang w:val="en-US" w:eastAsia="zh-CN"/>
        </w:rPr>
        <w:t>注：1.</w:t>
      </w:r>
      <w:r>
        <w:rPr>
          <w:rFonts w:hint="eastAsia" w:ascii="宋体" w:hAnsi="宋体" w:eastAsia="宋体" w:cs="宋体"/>
          <w:color w:val="FF0000"/>
          <w:sz w:val="24"/>
          <w:szCs w:val="24"/>
          <w:shd w:val="clear" w:color="auto" w:fill="auto"/>
        </w:rPr>
        <w:t>投标报价为包干价（报价表见</w:t>
      </w:r>
      <w:r>
        <w:rPr>
          <w:rFonts w:hint="eastAsia" w:ascii="宋体" w:hAnsi="宋体" w:eastAsia="宋体" w:cs="宋体"/>
          <w:color w:val="FF0000"/>
          <w:sz w:val="24"/>
          <w:szCs w:val="24"/>
          <w:shd w:val="clear" w:color="auto" w:fill="auto"/>
          <w:lang w:eastAsia="zh-CN"/>
        </w:rPr>
        <w:t>第六章</w:t>
      </w:r>
      <w:r>
        <w:rPr>
          <w:rFonts w:hint="eastAsia" w:ascii="宋体" w:hAnsi="宋体" w:eastAsia="宋体" w:cs="宋体"/>
          <w:color w:val="FF0000"/>
          <w:sz w:val="24"/>
          <w:szCs w:val="24"/>
          <w:shd w:val="clear" w:color="auto" w:fill="auto"/>
        </w:rPr>
        <w:t>），包含服务费、差旅费、住宿费、保险费、税费等各项费用。</w:t>
      </w:r>
    </w:p>
    <w:p w14:paraId="6D6C9DAC">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603693E1">
      <w:pPr>
        <w:rPr>
          <w:rFonts w:hint="eastAsia" w:ascii="宋体" w:hAnsi="宋体" w:eastAsia="宋体" w:cs="宋体"/>
          <w:b/>
          <w:color w:val="000000" w:themeColor="text1"/>
          <w:shd w:val="clear" w:color="auto" w:fill="auto"/>
          <w14:textFill>
            <w14:solidFill>
              <w14:schemeClr w14:val="tx1"/>
            </w14:solidFill>
          </w14:textFill>
        </w:rPr>
      </w:pPr>
    </w:p>
    <w:p w14:paraId="200CC85F">
      <w:pPr>
        <w:rPr>
          <w:rFonts w:hint="eastAsia" w:ascii="宋体" w:hAnsi="宋体" w:eastAsia="宋体" w:cs="宋体"/>
          <w:b/>
          <w:color w:val="000000" w:themeColor="text1"/>
          <w:shd w:val="clear" w:color="auto" w:fill="auto"/>
          <w14:textFill>
            <w14:solidFill>
              <w14:schemeClr w14:val="tx1"/>
            </w14:solidFill>
          </w14:textFill>
        </w:rPr>
      </w:pPr>
    </w:p>
    <w:p w14:paraId="6E76235E">
      <w:pPr>
        <w:rPr>
          <w:rFonts w:hint="eastAsia" w:ascii="宋体" w:hAnsi="宋体" w:eastAsia="宋体" w:cs="宋体"/>
          <w:b/>
          <w:color w:val="000000" w:themeColor="text1"/>
          <w:shd w:val="clear" w:color="auto" w:fill="auto"/>
          <w14:textFill>
            <w14:solidFill>
              <w14:schemeClr w14:val="tx1"/>
            </w14:solidFill>
          </w14:textFill>
        </w:rPr>
      </w:pPr>
    </w:p>
    <w:p w14:paraId="1FA6AE67">
      <w:pPr>
        <w:rPr>
          <w:rFonts w:hint="eastAsia" w:ascii="宋体" w:hAnsi="宋体" w:eastAsia="宋体" w:cs="宋体"/>
          <w:b/>
          <w:color w:val="000000" w:themeColor="text1"/>
          <w:shd w:val="clear" w:color="auto" w:fill="auto"/>
          <w14:textFill>
            <w14:solidFill>
              <w14:schemeClr w14:val="tx1"/>
            </w14:solidFill>
          </w14:textFill>
        </w:rPr>
      </w:pPr>
    </w:p>
    <w:p w14:paraId="40F8D654">
      <w:pPr>
        <w:rPr>
          <w:rFonts w:hint="eastAsia" w:ascii="宋体" w:hAnsi="宋体" w:eastAsia="宋体" w:cs="宋体"/>
          <w:b/>
          <w:color w:val="000000" w:themeColor="text1"/>
          <w:shd w:val="clear" w:color="auto" w:fill="auto"/>
          <w14:textFill>
            <w14:solidFill>
              <w14:schemeClr w14:val="tx1"/>
            </w14:solidFill>
          </w14:textFill>
        </w:rPr>
      </w:pPr>
    </w:p>
    <w:p w14:paraId="4D15D52B">
      <w:pPr>
        <w:rPr>
          <w:rFonts w:hint="eastAsia" w:ascii="宋体" w:hAnsi="宋体" w:eastAsia="宋体" w:cs="宋体"/>
          <w:b/>
          <w:color w:val="000000" w:themeColor="text1"/>
          <w:shd w:val="clear" w:color="auto" w:fill="auto"/>
          <w14:textFill>
            <w14:solidFill>
              <w14:schemeClr w14:val="tx1"/>
            </w14:solidFill>
          </w14:textFill>
        </w:rPr>
      </w:pPr>
    </w:p>
    <w:p w14:paraId="71061F26">
      <w:pPr>
        <w:rPr>
          <w:rFonts w:hint="eastAsia" w:ascii="宋体" w:hAnsi="宋体" w:eastAsia="宋体" w:cs="宋体"/>
          <w:b/>
          <w:color w:val="000000" w:themeColor="text1"/>
          <w:shd w:val="clear" w:color="auto" w:fill="auto"/>
          <w14:textFill>
            <w14:solidFill>
              <w14:schemeClr w14:val="tx1"/>
            </w14:solidFill>
          </w14:textFill>
        </w:rPr>
      </w:pPr>
    </w:p>
    <w:p w14:paraId="01A638ED">
      <w:pPr>
        <w:rPr>
          <w:rFonts w:hint="eastAsia" w:ascii="宋体" w:hAnsi="宋体" w:eastAsia="宋体" w:cs="宋体"/>
          <w:b/>
          <w:color w:val="000000" w:themeColor="text1"/>
          <w:shd w:val="clear" w:color="auto" w:fill="auto"/>
          <w14:textFill>
            <w14:solidFill>
              <w14:schemeClr w14:val="tx1"/>
            </w14:solidFill>
          </w14:textFill>
        </w:rPr>
      </w:pPr>
    </w:p>
    <w:p w14:paraId="5D24EC89">
      <w:pPr>
        <w:rPr>
          <w:rFonts w:hint="eastAsia" w:ascii="宋体" w:hAnsi="宋体" w:eastAsia="宋体" w:cs="宋体"/>
          <w:b/>
          <w:color w:val="000000" w:themeColor="text1"/>
          <w:shd w:val="clear" w:color="auto" w:fill="auto"/>
          <w14:textFill>
            <w14:solidFill>
              <w14:schemeClr w14:val="tx1"/>
            </w14:solidFill>
          </w14:textFill>
        </w:rPr>
      </w:pPr>
    </w:p>
    <w:p w14:paraId="56FB1658">
      <w:pPr>
        <w:rPr>
          <w:rFonts w:hint="eastAsia" w:ascii="宋体" w:hAnsi="宋体" w:eastAsia="宋体" w:cs="宋体"/>
          <w:b/>
          <w:color w:val="000000" w:themeColor="text1"/>
          <w:shd w:val="clear" w:color="auto" w:fill="auto"/>
          <w14:textFill>
            <w14:solidFill>
              <w14:schemeClr w14:val="tx1"/>
            </w14:solidFill>
          </w14:textFill>
        </w:rPr>
      </w:pPr>
    </w:p>
    <w:p w14:paraId="59C69363">
      <w:pPr>
        <w:rPr>
          <w:rFonts w:hint="eastAsia" w:ascii="宋体" w:hAnsi="宋体" w:eastAsia="宋体" w:cs="宋体"/>
          <w:b/>
          <w:color w:val="000000" w:themeColor="text1"/>
          <w:shd w:val="clear" w:color="auto" w:fill="auto"/>
          <w14:textFill>
            <w14:solidFill>
              <w14:schemeClr w14:val="tx1"/>
            </w14:solidFill>
          </w14:textFill>
        </w:rPr>
      </w:pPr>
    </w:p>
    <w:p w14:paraId="3AFBDA38">
      <w:pPr>
        <w:rPr>
          <w:rFonts w:hint="eastAsia" w:ascii="宋体" w:hAnsi="宋体" w:eastAsia="宋体" w:cs="宋体"/>
          <w:b/>
          <w:color w:val="000000" w:themeColor="text1"/>
          <w:shd w:val="clear" w:color="auto" w:fill="auto"/>
          <w14:textFill>
            <w14:solidFill>
              <w14:schemeClr w14:val="tx1"/>
            </w14:solidFill>
          </w14:textFill>
        </w:rPr>
      </w:pPr>
    </w:p>
    <w:p w14:paraId="243AC939">
      <w:pPr>
        <w:rPr>
          <w:rFonts w:hint="eastAsia" w:ascii="宋体" w:hAnsi="宋体" w:eastAsia="宋体" w:cs="宋体"/>
          <w:b/>
          <w:color w:val="000000" w:themeColor="text1"/>
          <w:shd w:val="clear" w:color="auto" w:fill="auto"/>
          <w14:textFill>
            <w14:solidFill>
              <w14:schemeClr w14:val="tx1"/>
            </w14:solidFill>
          </w14:textFill>
        </w:rPr>
      </w:pPr>
    </w:p>
    <w:p w14:paraId="668F5F6D">
      <w:pPr>
        <w:rPr>
          <w:rFonts w:hint="eastAsia" w:ascii="宋体" w:hAnsi="宋体" w:eastAsia="宋体" w:cs="宋体"/>
          <w:b/>
          <w:color w:val="000000" w:themeColor="text1"/>
          <w:shd w:val="clear" w:color="auto" w:fill="auto"/>
          <w14:textFill>
            <w14:solidFill>
              <w14:schemeClr w14:val="tx1"/>
            </w14:solidFill>
          </w14:textFill>
        </w:rPr>
      </w:pPr>
    </w:p>
    <w:p w14:paraId="565881DD">
      <w:pPr>
        <w:rPr>
          <w:rFonts w:hint="eastAsia" w:ascii="宋体" w:hAnsi="宋体" w:eastAsia="宋体" w:cs="宋体"/>
          <w:b/>
          <w:color w:val="000000" w:themeColor="text1"/>
          <w:shd w:val="clear" w:color="auto" w:fill="auto"/>
          <w14:textFill>
            <w14:solidFill>
              <w14:schemeClr w14:val="tx1"/>
            </w14:solidFill>
          </w14:textFill>
        </w:rPr>
      </w:pPr>
    </w:p>
    <w:p w14:paraId="63DACDED">
      <w:pPr>
        <w:rPr>
          <w:rFonts w:hint="eastAsia" w:ascii="宋体" w:hAnsi="宋体" w:eastAsia="宋体" w:cs="宋体"/>
          <w:b/>
          <w:color w:val="000000" w:themeColor="text1"/>
          <w:shd w:val="clear" w:color="auto" w:fill="auto"/>
          <w14:textFill>
            <w14:solidFill>
              <w14:schemeClr w14:val="tx1"/>
            </w14:solidFill>
          </w14:textFill>
        </w:rPr>
      </w:pPr>
    </w:p>
    <w:p w14:paraId="08897D60">
      <w:pPr>
        <w:rPr>
          <w:rFonts w:hint="eastAsia" w:ascii="宋体" w:hAnsi="宋体" w:eastAsia="宋体" w:cs="宋体"/>
          <w:b/>
          <w:color w:val="000000" w:themeColor="text1"/>
          <w:shd w:val="clear" w:color="auto" w:fill="auto"/>
          <w14:textFill>
            <w14:solidFill>
              <w14:schemeClr w14:val="tx1"/>
            </w14:solidFill>
          </w14:textFill>
        </w:rPr>
      </w:pPr>
    </w:p>
    <w:p w14:paraId="3276252A">
      <w:pPr>
        <w:rPr>
          <w:rFonts w:hint="eastAsia" w:ascii="宋体" w:hAnsi="宋体" w:eastAsia="宋体" w:cs="宋体"/>
          <w:b/>
          <w:color w:val="000000" w:themeColor="text1"/>
          <w:shd w:val="clear" w:color="auto" w:fill="auto"/>
          <w14:textFill>
            <w14:solidFill>
              <w14:schemeClr w14:val="tx1"/>
            </w14:solidFill>
          </w14:textFill>
        </w:rPr>
      </w:pPr>
    </w:p>
    <w:p w14:paraId="4A077C70">
      <w:pPr>
        <w:rPr>
          <w:rFonts w:hint="eastAsia" w:ascii="宋体" w:hAnsi="宋体" w:eastAsia="宋体" w:cs="宋体"/>
          <w:b/>
          <w:color w:val="000000" w:themeColor="text1"/>
          <w:shd w:val="clear" w:color="auto" w:fill="auto"/>
          <w14:textFill>
            <w14:solidFill>
              <w14:schemeClr w14:val="tx1"/>
            </w14:solidFill>
          </w14:textFill>
        </w:rPr>
      </w:pPr>
    </w:p>
    <w:p w14:paraId="16BDE4D2">
      <w:pPr>
        <w:rPr>
          <w:rFonts w:hint="eastAsia" w:ascii="宋体" w:hAnsi="宋体" w:eastAsia="宋体" w:cs="宋体"/>
          <w:b/>
          <w:color w:val="000000" w:themeColor="text1"/>
          <w:shd w:val="clear" w:color="auto" w:fill="auto"/>
          <w14:textFill>
            <w14:solidFill>
              <w14:schemeClr w14:val="tx1"/>
            </w14:solidFill>
          </w14:textFill>
        </w:rPr>
      </w:pPr>
    </w:p>
    <w:p w14:paraId="0E673699">
      <w:pPr>
        <w:rPr>
          <w:rFonts w:hint="eastAsia" w:ascii="宋体" w:hAnsi="宋体" w:eastAsia="宋体" w:cs="宋体"/>
          <w:b/>
          <w:color w:val="000000" w:themeColor="text1"/>
          <w:shd w:val="clear" w:color="auto" w:fill="auto"/>
          <w14:textFill>
            <w14:solidFill>
              <w14:schemeClr w14:val="tx1"/>
            </w14:solidFill>
          </w14:textFill>
        </w:rPr>
      </w:pPr>
    </w:p>
    <w:p w14:paraId="2F287C01">
      <w:pPr>
        <w:rPr>
          <w:rFonts w:hint="eastAsia" w:ascii="宋体" w:hAnsi="宋体" w:eastAsia="宋体" w:cs="宋体"/>
          <w:b/>
          <w:color w:val="000000" w:themeColor="text1"/>
          <w:shd w:val="clear" w:color="auto" w:fill="auto"/>
          <w14:textFill>
            <w14:solidFill>
              <w14:schemeClr w14:val="tx1"/>
            </w14:solidFill>
          </w14:textFill>
        </w:rPr>
      </w:pPr>
    </w:p>
    <w:p w14:paraId="4471B9E8">
      <w:pPr>
        <w:rPr>
          <w:rFonts w:hint="eastAsia" w:ascii="宋体" w:hAnsi="宋体" w:eastAsia="宋体" w:cs="宋体"/>
          <w:b/>
          <w:color w:val="000000" w:themeColor="text1"/>
          <w:shd w:val="clear" w:color="auto" w:fill="auto"/>
          <w14:textFill>
            <w14:solidFill>
              <w14:schemeClr w14:val="tx1"/>
            </w14:solidFill>
          </w14:textFill>
        </w:rPr>
      </w:pPr>
    </w:p>
    <w:p w14:paraId="36E25D4D">
      <w:pPr>
        <w:rPr>
          <w:rFonts w:hint="eastAsia" w:ascii="宋体" w:hAnsi="宋体" w:eastAsia="宋体" w:cs="宋体"/>
          <w:b/>
          <w:color w:val="000000" w:themeColor="text1"/>
          <w:shd w:val="clear" w:color="auto" w:fill="auto"/>
          <w14:textFill>
            <w14:solidFill>
              <w14:schemeClr w14:val="tx1"/>
            </w14:solidFill>
          </w14:textFill>
        </w:rPr>
      </w:pPr>
    </w:p>
    <w:p w14:paraId="509C623A">
      <w:pPr>
        <w:rPr>
          <w:rFonts w:hint="eastAsia" w:ascii="宋体" w:hAnsi="宋体" w:eastAsia="宋体" w:cs="宋体"/>
          <w:b/>
          <w:color w:val="000000" w:themeColor="text1"/>
          <w:shd w:val="clear" w:color="auto" w:fill="auto"/>
          <w14:textFill>
            <w14:solidFill>
              <w14:schemeClr w14:val="tx1"/>
            </w14:solidFill>
          </w14:textFill>
        </w:rPr>
      </w:pPr>
    </w:p>
    <w:p w14:paraId="75AB022A">
      <w:pPr>
        <w:rPr>
          <w:rFonts w:hint="eastAsia" w:ascii="宋体" w:hAnsi="宋体" w:eastAsia="宋体" w:cs="宋体"/>
          <w:b/>
          <w:color w:val="000000" w:themeColor="text1"/>
          <w:shd w:val="clear" w:color="auto" w:fill="auto"/>
          <w14:textFill>
            <w14:solidFill>
              <w14:schemeClr w14:val="tx1"/>
            </w14:solidFill>
          </w14:textFill>
        </w:rPr>
      </w:pPr>
    </w:p>
    <w:p w14:paraId="10587208">
      <w:pPr>
        <w:rPr>
          <w:rFonts w:hint="eastAsia" w:ascii="宋体" w:hAnsi="宋体" w:eastAsia="宋体" w:cs="宋体"/>
          <w:b/>
          <w:color w:val="000000" w:themeColor="text1"/>
          <w:shd w:val="clear" w:color="auto" w:fill="auto"/>
          <w14:textFill>
            <w14:solidFill>
              <w14:schemeClr w14:val="tx1"/>
            </w14:solidFill>
          </w14:textFill>
        </w:rPr>
      </w:pPr>
    </w:p>
    <w:p w14:paraId="09B0968C">
      <w:pPr>
        <w:rPr>
          <w:rFonts w:hint="eastAsia" w:ascii="宋体" w:hAnsi="宋体" w:eastAsia="宋体" w:cs="宋体"/>
          <w:b/>
          <w:color w:val="000000" w:themeColor="text1"/>
          <w:shd w:val="clear" w:color="auto" w:fill="auto"/>
          <w14:textFill>
            <w14:solidFill>
              <w14:schemeClr w14:val="tx1"/>
            </w14:solidFill>
          </w14:textFill>
        </w:rPr>
      </w:pPr>
    </w:p>
    <w:p w14:paraId="1B4CFAE5">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43"/>
      <w:bookmarkEnd w:id="144"/>
      <w:bookmarkEnd w:id="145"/>
      <w:bookmarkEnd w:id="146"/>
      <w:bookmarkEnd w:id="14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48" w:name="_Toc313888362"/>
      <w:bookmarkStart w:id="149" w:name="_Toc342913421"/>
      <w:bookmarkStart w:id="150" w:name="_Toc313008358"/>
      <w:bookmarkStart w:id="151" w:name="_Toc485108798"/>
      <w:bookmarkStart w:id="152" w:name="_Toc480979020"/>
      <w:r>
        <w:rPr>
          <w:rFonts w:hint="eastAsia" w:ascii="宋体" w:hAnsi="宋体" w:eastAsia="宋体" w:cs="宋体"/>
          <w:b/>
          <w:color w:val="000000" w:themeColor="text1"/>
          <w:shd w:val="clear" w:color="auto" w:fill="auto"/>
          <w14:textFill>
            <w14:solidFill>
              <w14:schemeClr w14:val="tx1"/>
            </w14:solidFill>
          </w14:textFill>
        </w:rPr>
        <w:t>三、商务部分</w:t>
      </w:r>
      <w:bookmarkEnd w:id="148"/>
      <w:bookmarkEnd w:id="149"/>
      <w:bookmarkEnd w:id="150"/>
      <w:bookmarkEnd w:id="151"/>
      <w:bookmarkEnd w:id="152"/>
    </w:p>
    <w:p w14:paraId="355E48A2">
      <w:pPr>
        <w:spacing w:line="360" w:lineRule="auto"/>
        <w:ind w:firstLine="48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53"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四、资格条件及其他</w:t>
      </w:r>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53"/>
      <w:bookmarkStart w:id="154" w:name="_Toc313888363"/>
      <w:bookmarkStart w:id="155" w:name="_Toc342913422"/>
      <w:bookmarkStart w:id="156" w:name="_Toc313008359"/>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54"/>
      <w:bookmarkEnd w:id="155"/>
      <w:bookmarkEnd w:id="156"/>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39BAD07F">
      <w:pPr>
        <w:tabs>
          <w:tab w:val="left" w:pos="6300"/>
        </w:tabs>
        <w:snapToGrid w:val="0"/>
        <w:spacing w:line="500" w:lineRule="exact"/>
        <w:ind w:firstLine="48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p>
    <w:p w14:paraId="15615AB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D29E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44DD4A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6FF353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DD7E3E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703A86A">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0BD9CB2">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8A2864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93CB0E6">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3BB77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DFFA1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3D1CCA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5EDF9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7BDE96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ED0E31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97BD05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6FB343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E096E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C2465A3">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4B009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0ED2D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BC709E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F4B55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825A98">
      <w:pPr>
        <w:tabs>
          <w:tab w:val="left" w:pos="6300"/>
        </w:tabs>
        <w:snapToGrid w:val="0"/>
        <w:spacing w:line="500" w:lineRule="exact"/>
        <w:rPr>
          <w:rFonts w:hint="eastAsia" w:ascii="宋体" w:hAnsi="宋体" w:eastAsia="宋体" w:cs="宋体"/>
          <w:color w:val="000000" w:themeColor="text1"/>
          <w:sz w:val="28"/>
          <w:szCs w:val="20"/>
          <w:shd w:val="clear" w:color="auto" w:fill="auto"/>
          <w14:textFill>
            <w14:solidFill>
              <w14:schemeClr w14:val="tx1"/>
            </w14:solidFill>
          </w14:textFill>
        </w:rPr>
      </w:pPr>
    </w:p>
    <w:p w14:paraId="1122587C">
      <w:pPr>
        <w:tabs>
          <w:tab w:val="left" w:pos="6300"/>
        </w:tabs>
        <w:snapToGrid w:val="0"/>
        <w:spacing w:line="500" w:lineRule="exact"/>
        <w:ind w:firstLine="56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（六）书面声明</w:t>
      </w:r>
    </w:p>
    <w:p w14:paraId="44683994">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68A767E">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0F7F123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61C07EB">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6D188945">
      <w:pPr>
        <w:spacing w:line="440" w:lineRule="exact"/>
        <w:ind w:firstLine="480" w:firstLineChars="2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8"/>
          <w:shd w:val="clear" w:color="auto" w:fill="auto"/>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特此声明。</w:t>
      </w:r>
    </w:p>
    <w:p w14:paraId="024D6A3F">
      <w:pPr>
        <w:tabs>
          <w:tab w:val="left" w:pos="6300"/>
        </w:tabs>
        <w:snapToGrid w:val="0"/>
        <w:spacing w:line="500" w:lineRule="exact"/>
        <w:jc w:val="center"/>
        <w:rPr>
          <w:rFonts w:hint="eastAsia" w:ascii="宋体" w:hAnsi="宋体" w:eastAsia="宋体" w:cs="宋体"/>
          <w:color w:val="000000" w:themeColor="text1"/>
          <w:sz w:val="24"/>
          <w:szCs w:val="28"/>
          <w:shd w:val="clear" w:color="auto" w:fill="auto"/>
          <w14:textFill>
            <w14:solidFill>
              <w14:schemeClr w14:val="tx1"/>
            </w14:solidFill>
          </w14:textFill>
        </w:rPr>
      </w:pPr>
    </w:p>
    <w:p w14:paraId="01CCA724">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p>
    <w:p w14:paraId="2C089E5B">
      <w:pPr>
        <w:tabs>
          <w:tab w:val="left" w:pos="6300"/>
        </w:tabs>
        <w:snapToGrid w:val="0"/>
        <w:spacing w:line="500" w:lineRule="exact"/>
        <w:ind w:firstLine="6480" w:firstLineChars="27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p>
    <w:p w14:paraId="01304D9A">
      <w:pPr>
        <w:tabs>
          <w:tab w:val="left" w:pos="6300"/>
        </w:tabs>
        <w:snapToGrid w:val="0"/>
        <w:spacing w:line="360" w:lineRule="auto"/>
        <w:ind w:right="132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年   月   日</w:t>
      </w:r>
    </w:p>
    <w:p w14:paraId="620C87AE">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1B82A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3A75A04">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C5DEB5C">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39F2DB25">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75641F29">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0BE637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3473D9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914AC6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412AC5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1CC6023A">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62066B72">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DE11C3B">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bookmarkStart w:id="157" w:name="OLE_LINK7"/>
      <w:bookmarkStart w:id="158" w:name="OLE_LINK4"/>
    </w:p>
    <w:p w14:paraId="6E174C50">
      <w:pPr>
        <w:tabs>
          <w:tab w:val="left" w:pos="6300"/>
        </w:tabs>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（七）</w:t>
      </w:r>
      <w:r>
        <w:rPr>
          <w:rFonts w:hint="eastAsia" w:ascii="宋体" w:hAnsi="宋体" w:eastAsia="宋体" w:cs="宋体"/>
          <w:color w:val="000000" w:themeColor="text1"/>
          <w:sz w:val="28"/>
          <w:szCs w:val="28"/>
          <w:shd w:val="clear" w:color="auto" w:fill="auto"/>
          <w14:textFill>
            <w14:solidFill>
              <w14:schemeClr w14:val="tx1"/>
            </w14:solidFill>
          </w14:textFill>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（八）</w:t>
      </w:r>
      <w:r>
        <w:rPr>
          <w:rFonts w:hint="eastAsia" w:ascii="宋体" w:hAnsi="宋体" w:eastAsia="宋体" w:cs="宋体"/>
          <w:color w:val="000000" w:themeColor="text1"/>
          <w:sz w:val="28"/>
          <w:szCs w:val="20"/>
          <w:shd w:val="clear" w:color="auto" w:fill="auto"/>
          <w14:textFill>
            <w14:solidFill>
              <w14:schemeClr w14:val="tx1"/>
            </w14:solidFill>
          </w14:textFill>
        </w:rPr>
        <w:t>社会保险缴纳证明材料</w:t>
      </w:r>
    </w:p>
    <w:p w14:paraId="60ECBEB7">
      <w:pPr>
        <w:widowControl/>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bookmarkEnd w:id="157"/>
    <w:bookmarkEnd w:id="158"/>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（九）特定资格条件证书或证明文件</w:t>
      </w:r>
      <w:r>
        <w:rPr>
          <w:rFonts w:hint="eastAsia" w:ascii="宋体" w:hAnsi="宋体" w:eastAsia="宋体" w:cs="宋体"/>
          <w:color w:val="000000" w:themeColor="text1"/>
          <w:szCs w:val="28"/>
          <w:shd w:val="clear" w:color="auto" w:fill="auto"/>
          <w14:textFill>
            <w14:solidFill>
              <w14:schemeClr w14:val="tx1"/>
            </w14:solidFill>
          </w14:textFill>
        </w:rPr>
        <w:t>（如果有）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bookmarkStart w:id="159" w:name="_Toc27212"/>
      <w:bookmarkStart w:id="160"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p>
    <w:bookmarkEnd w:id="159"/>
    <w:bookmarkEnd w:id="160"/>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1" w:fontKey="{82ECD2EA-E0FD-420E-95CF-087888C9559F}"/>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2C537E57-3736-4BC1-9BC5-7A598DAE33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BB3ADF"/>
    <w:rsid w:val="03C2134C"/>
    <w:rsid w:val="04DA26C6"/>
    <w:rsid w:val="04F00597"/>
    <w:rsid w:val="05E64439"/>
    <w:rsid w:val="05E94CDF"/>
    <w:rsid w:val="060E092E"/>
    <w:rsid w:val="065A1406"/>
    <w:rsid w:val="067D7A0C"/>
    <w:rsid w:val="06A45EA9"/>
    <w:rsid w:val="06BC1BB0"/>
    <w:rsid w:val="074B1659"/>
    <w:rsid w:val="07911761"/>
    <w:rsid w:val="07C5765D"/>
    <w:rsid w:val="07F26429"/>
    <w:rsid w:val="084C34CD"/>
    <w:rsid w:val="094176DB"/>
    <w:rsid w:val="0ACF458A"/>
    <w:rsid w:val="0B6515A1"/>
    <w:rsid w:val="0B6F68C5"/>
    <w:rsid w:val="0BAE21B6"/>
    <w:rsid w:val="0BDC31C7"/>
    <w:rsid w:val="0BE1258C"/>
    <w:rsid w:val="0BE64970"/>
    <w:rsid w:val="0C033E70"/>
    <w:rsid w:val="0C3152C1"/>
    <w:rsid w:val="0C481EEF"/>
    <w:rsid w:val="0C931BB2"/>
    <w:rsid w:val="0C975B64"/>
    <w:rsid w:val="0C9D3992"/>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53AA2"/>
    <w:rsid w:val="13D52C1B"/>
    <w:rsid w:val="13F41DC8"/>
    <w:rsid w:val="144B1714"/>
    <w:rsid w:val="14B95EDB"/>
    <w:rsid w:val="14C6168E"/>
    <w:rsid w:val="14C6556D"/>
    <w:rsid w:val="14E12006"/>
    <w:rsid w:val="1554725E"/>
    <w:rsid w:val="15604521"/>
    <w:rsid w:val="156125ED"/>
    <w:rsid w:val="158D32E0"/>
    <w:rsid w:val="16243DF1"/>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32E00"/>
    <w:rsid w:val="1DD87EDC"/>
    <w:rsid w:val="1DDA4D59"/>
    <w:rsid w:val="1E8652AA"/>
    <w:rsid w:val="1E9D4968"/>
    <w:rsid w:val="1EB13D33"/>
    <w:rsid w:val="1F062593"/>
    <w:rsid w:val="1F08489B"/>
    <w:rsid w:val="1F2D0A6E"/>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3D6767"/>
    <w:rsid w:val="2B57565F"/>
    <w:rsid w:val="2BBD2276"/>
    <w:rsid w:val="2C812A23"/>
    <w:rsid w:val="2CDF621C"/>
    <w:rsid w:val="2CF2794B"/>
    <w:rsid w:val="2D9073ED"/>
    <w:rsid w:val="2E4A05E4"/>
    <w:rsid w:val="2F1F1F02"/>
    <w:rsid w:val="2F2348BD"/>
    <w:rsid w:val="2F6F1AD9"/>
    <w:rsid w:val="2F831DB2"/>
    <w:rsid w:val="2F943FCB"/>
    <w:rsid w:val="2FD06C0B"/>
    <w:rsid w:val="30381B81"/>
    <w:rsid w:val="30A44277"/>
    <w:rsid w:val="30B15F03"/>
    <w:rsid w:val="30B30136"/>
    <w:rsid w:val="31CA4358"/>
    <w:rsid w:val="31FA7479"/>
    <w:rsid w:val="32050A97"/>
    <w:rsid w:val="32284BF5"/>
    <w:rsid w:val="32DA1DD4"/>
    <w:rsid w:val="33323C73"/>
    <w:rsid w:val="3361798A"/>
    <w:rsid w:val="33861085"/>
    <w:rsid w:val="34477E1A"/>
    <w:rsid w:val="34B44507"/>
    <w:rsid w:val="35687566"/>
    <w:rsid w:val="35B15F88"/>
    <w:rsid w:val="35D501BC"/>
    <w:rsid w:val="35E87A5C"/>
    <w:rsid w:val="3608331B"/>
    <w:rsid w:val="36382C0F"/>
    <w:rsid w:val="36834056"/>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8345E9"/>
    <w:rsid w:val="429D5EC0"/>
    <w:rsid w:val="42A40896"/>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4E289A"/>
    <w:rsid w:val="4DBE5CAD"/>
    <w:rsid w:val="4DD75684"/>
    <w:rsid w:val="4E0D2518"/>
    <w:rsid w:val="4E231003"/>
    <w:rsid w:val="4E3873B7"/>
    <w:rsid w:val="4EF70D4B"/>
    <w:rsid w:val="4F2E0C11"/>
    <w:rsid w:val="4F79418A"/>
    <w:rsid w:val="50A2078E"/>
    <w:rsid w:val="50B9275C"/>
    <w:rsid w:val="50F72CC9"/>
    <w:rsid w:val="50FE286B"/>
    <w:rsid w:val="514069D9"/>
    <w:rsid w:val="51932220"/>
    <w:rsid w:val="51D77CAA"/>
    <w:rsid w:val="52173BDE"/>
    <w:rsid w:val="5228244C"/>
    <w:rsid w:val="529620AE"/>
    <w:rsid w:val="52EB291F"/>
    <w:rsid w:val="52ED493F"/>
    <w:rsid w:val="531F0FF7"/>
    <w:rsid w:val="53B56AAB"/>
    <w:rsid w:val="53E03D6D"/>
    <w:rsid w:val="53E144A4"/>
    <w:rsid w:val="54333CD5"/>
    <w:rsid w:val="546107D9"/>
    <w:rsid w:val="546E506B"/>
    <w:rsid w:val="549E2395"/>
    <w:rsid w:val="55297C80"/>
    <w:rsid w:val="5531155E"/>
    <w:rsid w:val="565C7750"/>
    <w:rsid w:val="56644F18"/>
    <w:rsid w:val="56A12956"/>
    <w:rsid w:val="56FF2E93"/>
    <w:rsid w:val="576D5122"/>
    <w:rsid w:val="58506377"/>
    <w:rsid w:val="586259DC"/>
    <w:rsid w:val="58625BCC"/>
    <w:rsid w:val="58627B7D"/>
    <w:rsid w:val="58B574EB"/>
    <w:rsid w:val="58FC1D80"/>
    <w:rsid w:val="593509FB"/>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352606D"/>
    <w:rsid w:val="639436E3"/>
    <w:rsid w:val="6445282D"/>
    <w:rsid w:val="645A13DB"/>
    <w:rsid w:val="648C045C"/>
    <w:rsid w:val="656A40F1"/>
    <w:rsid w:val="658C5E23"/>
    <w:rsid w:val="65F9363E"/>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9465A0"/>
    <w:rsid w:val="73A82490"/>
    <w:rsid w:val="73AA3664"/>
    <w:rsid w:val="73B34AD5"/>
    <w:rsid w:val="73D42B6E"/>
    <w:rsid w:val="743B3E3F"/>
    <w:rsid w:val="74E41D61"/>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683BAE"/>
    <w:rsid w:val="7CBD0742"/>
    <w:rsid w:val="7CC601EC"/>
    <w:rsid w:val="7D7D55A3"/>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16060</Words>
  <Characters>16692</Characters>
  <Lines>182</Lines>
  <Paragraphs>51</Paragraphs>
  <TotalTime>0</TotalTime>
  <ScaleCrop>false</ScaleCrop>
  <LinksUpToDate>false</LinksUpToDate>
  <CharactersWithSpaces>17897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2025-05-16T01:28:45Z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