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2025FW048</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水电类设施维修安装服务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0"/>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月</w:t>
      </w:r>
    </w:p>
    <w:p w14:paraId="54FB0A7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3AF45A">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目   录</w:t>
      </w:r>
    </w:p>
    <w:p w14:paraId="75515588">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TOC \o "1-3" \h \z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_Toc25875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_Toc25875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550B1DD">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_Toc28443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_Toc28443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A4EDE0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_Toc6609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val="en-US" w:eastAsia="zh-CN"/>
          <w14:textFill>
            <w14:solidFill>
              <w14:schemeClr w14:val="tx1"/>
            </w14:solidFill>
          </w14:textFill>
        </w:rPr>
        <w:t>二、资金来源</w:t>
      </w:r>
      <w:r>
        <w:rPr>
          <w:rFonts w:hint="eastAsia" w:ascii="宋体" w:hAnsi="宋体" w:cs="宋体"/>
          <w:color w:val="000000" w:themeColor="text1"/>
          <w:szCs w:val="24"/>
          <w:shd w:val="clear" w:color="auto" w:fill="auto"/>
          <w:lang w:val="en-US" w:eastAsia="zh-CN"/>
          <w14:textFill>
            <w14:solidFill>
              <w14:schemeClr w14:val="tx1"/>
            </w14:solidFill>
          </w14:textFill>
        </w:rPr>
        <w:t>与项目预算</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_Toc6609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1DCE9B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_Toc23857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三、供应商资格要求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_Toc23857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B0D8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_Toc11958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四、比选有关说明</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_Toc11958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A09181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_Toc29866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五、本项目无需购买比选文件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_Toc29866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43A65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_Toc2806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六、其它有关规定</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_Toc2806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CDE6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_Toc9130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cs="宋体"/>
          <w:color w:val="000000" w:themeColor="text1"/>
          <w:szCs w:val="24"/>
          <w:shd w:val="clear" w:color="auto" w:fill="auto"/>
          <w:lang w:eastAsia="zh-CN"/>
          <w14:textFill>
            <w14:solidFill>
              <w14:schemeClr w14:val="tx1"/>
            </w14:solidFill>
          </w14:textFill>
        </w:rPr>
        <w:t>七</w:t>
      </w:r>
      <w:r>
        <w:rPr>
          <w:rFonts w:hint="eastAsia" w:ascii="宋体" w:hAnsi="宋体" w:eastAsia="宋体" w:cs="宋体"/>
          <w:color w:val="000000" w:themeColor="text1"/>
          <w:szCs w:val="24"/>
          <w:shd w:val="clear" w:color="auto" w:fill="auto"/>
          <w14:textFill>
            <w14:solidFill>
              <w14:schemeClr w14:val="tx1"/>
            </w14:solidFill>
          </w14:textFill>
        </w:rPr>
        <w:t>、联系方式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_Toc9130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51ECB57">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_Toc22321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_Toc22321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D11820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_Toc11386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一、比选费用</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_Toc11386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D70E41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_Toc8430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_Toc8430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45AB1F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_Toc23254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三、比选要求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_Toc23254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993C3E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_Toc19143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四、比选程序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_Toc19143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335000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_Toc14247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五、评审依据</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_Toc14247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6C5212F">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六、成交原则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DF3A43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_Toc7135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七、成交通知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_Toc7135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11</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4C52E46">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_Toc12880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八、关于质疑和投诉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_Toc12880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12</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4D57AC1">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_Toc5728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九、签订合同</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_Toc5728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EA2412">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十、其他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CFFE3B">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_Toc11770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_Toc11770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917EE0">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项目概况</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50ABF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_Toc18590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w:t>
      </w:r>
      <w:r>
        <w:rPr>
          <w:rFonts w:hint="eastAsia" w:ascii="宋体" w:hAnsi="宋体" w:eastAsia="宋体" w:cs="宋体"/>
          <w:color w:val="000000" w:themeColor="text1"/>
          <w:szCs w:val="24"/>
          <w:shd w:val="clear" w:color="auto" w:fill="auto"/>
          <w:lang w:eastAsia="zh-CN"/>
          <w14:textFill>
            <w14:solidFill>
              <w14:schemeClr w14:val="tx1"/>
            </w14:solidFill>
          </w14:textFill>
        </w:rPr>
        <w:t>需</w:t>
      </w:r>
      <w:r>
        <w:rPr>
          <w:rFonts w:hint="eastAsia" w:ascii="宋体" w:hAnsi="宋体" w:eastAsia="宋体" w:cs="宋体"/>
          <w:color w:val="000000" w:themeColor="text1"/>
          <w:szCs w:val="24"/>
          <w:shd w:val="clear" w:color="auto" w:fill="auto"/>
          <w14:textFill>
            <w14:solidFill>
              <w14:schemeClr w14:val="tx1"/>
            </w14:solidFill>
          </w14:textFill>
        </w:rPr>
        <w:t>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_Toc18590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6D2F55">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_Toc28327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_Toc28327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35E20D8">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_Toc2302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_Toc2302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7330D7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_Toc26361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二</w:t>
      </w:r>
      <w:r>
        <w:rPr>
          <w:rFonts w:hint="eastAsia" w:ascii="宋体" w:hAnsi="宋体" w:eastAsia="宋体" w:cs="宋体"/>
          <w:color w:val="000000" w:themeColor="text1"/>
          <w:szCs w:val="24"/>
          <w:shd w:val="clear" w:color="auto" w:fill="auto"/>
          <w14:textFill>
            <w14:solidFill>
              <w14:schemeClr w14:val="tx1"/>
            </w14:solidFill>
          </w14:textFill>
        </w:rPr>
        <w:t>、</w:t>
      </w:r>
      <w:r>
        <w:rPr>
          <w:rFonts w:hint="eastAsia" w:ascii="宋体" w:hAnsi="宋体" w:eastAsia="宋体" w:cs="宋体"/>
          <w:color w:val="000000" w:themeColor="text1"/>
          <w:szCs w:val="24"/>
          <w:shd w:val="clear" w:color="auto" w:fill="auto"/>
          <w:lang w:eastAsia="zh-CN"/>
          <w14:textFill>
            <w14:solidFill>
              <w14:schemeClr w14:val="tx1"/>
            </w14:solidFill>
          </w14:textFill>
        </w:rPr>
        <w:t>知识产权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_Toc26361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127ABF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_Toc7358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三</w:t>
      </w:r>
      <w:r>
        <w:rPr>
          <w:rFonts w:hint="eastAsia" w:ascii="宋体" w:hAnsi="宋体" w:eastAsia="宋体" w:cs="宋体"/>
          <w:color w:val="000000" w:themeColor="text1"/>
          <w:szCs w:val="24"/>
          <w:shd w:val="clear" w:color="auto" w:fill="auto"/>
          <w14:textFill>
            <w14:solidFill>
              <w14:schemeClr w14:val="tx1"/>
            </w14:solidFill>
          </w14:textFill>
        </w:rPr>
        <w:t>、其他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_Toc7358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7FE2E0">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_Toc14840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_Toc14840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2D119B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_Toc30815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一、定义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_Toc30815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44C3C3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_Toc17879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w:t>
      </w:r>
      <w:r>
        <w:rPr>
          <w:rFonts w:hint="eastAsia" w:ascii="宋体" w:hAnsi="宋体" w:eastAsia="宋体" w:cs="宋体"/>
          <w:color w:val="000000" w:themeColor="text1"/>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Cs w:val="24"/>
          <w:shd w:val="clear" w:color="auto" w:fill="auto"/>
          <w14:textFill>
            <w14:solidFill>
              <w14:schemeClr w14:val="tx1"/>
            </w14:solidFill>
          </w14:textFill>
        </w:rPr>
        <w:t>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_Toc17879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05BEB5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_Toc8853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三、合同价格</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_Toc8853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15E0DD">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_Toc24410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四、转包或分包</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_Toc24410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E1E0B90">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_Toc2241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五、质量保证及售后服务</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_Toc2241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185E2D1">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_Toc9053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六、付款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_Toc9053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F845E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_Toc11586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七</w:t>
      </w:r>
      <w:r>
        <w:rPr>
          <w:rFonts w:hint="eastAsia" w:ascii="宋体" w:hAnsi="宋体" w:eastAsia="宋体" w:cs="宋体"/>
          <w:color w:val="000000" w:themeColor="text1"/>
          <w:szCs w:val="24"/>
          <w:shd w:val="clear" w:color="auto" w:fill="auto"/>
          <w14:textFill>
            <w14:solidFill>
              <w14:schemeClr w14:val="tx1"/>
            </w14:solidFill>
          </w14:textFill>
        </w:rPr>
        <w:t>、合同争议的解决</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_Toc11586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3C630B">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_Toc26580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八</w:t>
      </w:r>
      <w:r>
        <w:rPr>
          <w:rFonts w:hint="eastAsia" w:ascii="宋体" w:hAnsi="宋体" w:eastAsia="宋体" w:cs="宋体"/>
          <w:color w:val="000000" w:themeColor="text1"/>
          <w:szCs w:val="24"/>
          <w:shd w:val="clear" w:color="auto" w:fill="auto"/>
          <w14:textFill>
            <w14:solidFill>
              <w14:schemeClr w14:val="tx1"/>
            </w14:solidFill>
          </w14:textFill>
        </w:rPr>
        <w:t>、违约责任</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_Toc26580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F2B0032">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_Toc16142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九</w:t>
      </w:r>
      <w:r>
        <w:rPr>
          <w:rFonts w:hint="eastAsia" w:ascii="宋体" w:hAnsi="宋体" w:eastAsia="宋体" w:cs="宋体"/>
          <w:color w:val="000000" w:themeColor="text1"/>
          <w:szCs w:val="24"/>
          <w:shd w:val="clear" w:color="auto" w:fill="auto"/>
          <w14:textFill>
            <w14:solidFill>
              <w14:schemeClr w14:val="tx1"/>
            </w14:solidFill>
          </w14:textFill>
        </w:rPr>
        <w:t>、合同生效及其它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_Toc16142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2D0DED4">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_Toc13696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_Toc13696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AEA010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_Toc27382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一、经济部分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_Toc27382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B98A428">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_Toc6305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_Toc6305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5EDB1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_Toc7207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三、商务部分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_Toc7207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1E117BF">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_Toc18417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四、资格条件及其他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_Toc18417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3CF481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_Toc19884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五、其他应提供的资料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_Toc19884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20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85A0322">
      <w:pPr>
        <w:jc w:val="both"/>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_Toc23716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19BBA0A7">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_Toc23716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8910359">
      <w:pPr>
        <w:tabs>
          <w:tab w:val="right" w:leader="dot" w:pos="9402"/>
        </w:tabs>
        <w:spacing w:line="480" w:lineRule="exact"/>
        <w:ind w:left="420" w:leftChars="200"/>
        <w:rPr>
          <w:rFonts w:hint="eastAsia" w:ascii="宋体" w:hAnsi="宋体" w:eastAsia="宋体" w:cs="宋体"/>
          <w:color w:val="000000" w:themeColor="text1"/>
          <w:sz w:val="18"/>
          <w:shd w:val="clear" w:color="auto" w:fill="auto"/>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2789052"/>
      <w:bookmarkStart w:id="1" w:name="_Toc485108766"/>
      <w:bookmarkStart w:id="2" w:name="_Toc25875"/>
      <w:bookmarkStart w:id="3" w:name="_Toc11641050"/>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4" w:name="_Toc317775178"/>
      <w:bookmarkStart w:id="5"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水电类设施维修安装服务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5"/>
      <w:bookmarkStart w:id="7" w:name="_Toc313893526"/>
      <w:bookmarkStart w:id="8" w:name="_Toc485108767"/>
      <w:bookmarkStart w:id="9" w:name="_Toc28443"/>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6"/>
      <w:bookmarkEnd w:id="7"/>
      <w:bookmarkEnd w:id="8"/>
      <w:bookmarkEnd w:id="9"/>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水电类设施维修安装服务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3年</w:t>
            </w: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0" w:name="_Toc6609"/>
      <w:bookmarkStart w:id="11"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0"/>
      <w:bookmarkEnd w:id="1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w:t>
      </w:r>
      <w:r>
        <w:rPr>
          <w:rFonts w:hint="eastAsia" w:ascii="宋体" w:hAnsi="宋体" w:eastAsia="宋体" w:cs="宋体"/>
          <w:b/>
          <w:bCs/>
          <w:color w:val="FF0000"/>
          <w:sz w:val="24"/>
          <w:szCs w:val="24"/>
          <w:shd w:val="clear" w:color="auto" w:fill="auto"/>
          <w:lang w:val="en-US" w:eastAsia="zh-CN"/>
        </w:rPr>
        <w:t>项目预算：据实结算。</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 w:name="_Toc485108769"/>
      <w:bookmarkStart w:id="13"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2"/>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3"/>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spacing w:line="48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4"/>
      <w:bookmarkEnd w:id="5"/>
      <w:bookmarkStart w:id="14" w:name="_Toc11958"/>
      <w:bookmarkStart w:id="15" w:name="_Toc6"/>
      <w:bookmarkStart w:id="16" w:name="_Toc102227313"/>
      <w:bookmarkStart w:id="17" w:name="_Toc485108774"/>
    </w:p>
    <w:p w14:paraId="248C8D49">
      <w:pPr>
        <w:spacing w:line="48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w:t>
      </w:r>
      <w:r>
        <w:rPr>
          <w:rFonts w:hint="default" w:ascii="宋体" w:hAnsi="宋体" w:eastAsia="宋体" w:cs="宋体"/>
          <w:color w:val="FF0000"/>
          <w:sz w:val="24"/>
          <w:szCs w:val="24"/>
          <w:shd w:val="clear" w:color="auto" w:fill="auto"/>
          <w:lang w:val="en-US" w:eastAsia="zh-CN"/>
        </w:rPr>
        <w:t>有效的三证合一营业执照（经营范围包含水电维修相关内容）、从业人员需持有低压电工作业、焊工证等资质证书。</w:t>
      </w:r>
    </w:p>
    <w:p w14:paraId="54D434CB">
      <w:pPr>
        <w:pStyle w:val="3"/>
        <w:spacing w:line="240" w:lineRule="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4"/>
      <w:bookmarkEnd w:id="1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19</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19</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21</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bookmarkStart w:id="161" w:name="_GoBack"/>
      <w:bookmarkEnd w:id="161"/>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8"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18"/>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9"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19"/>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0"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0"/>
      <w:bookmarkStart w:id="21" w:name="_Toc54171062"/>
      <w:bookmarkStart w:id="22" w:name="_Toc54718176"/>
      <w:bookmarkStart w:id="23" w:name="_Toc373860294"/>
    </w:p>
    <w:bookmarkEnd w:id="21"/>
    <w:bookmarkEnd w:id="22"/>
    <w:bookmarkEnd w:id="23"/>
    <w:p w14:paraId="1FD6A981">
      <w:pPr>
        <w:pStyle w:val="3"/>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24" w:name="_Toc2806"/>
      <w:bookmarkStart w:id="25"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4"/>
      <w:bookmarkEnd w:id="25"/>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31390"/>
      <w:bookmarkStart w:id="27"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6"/>
      <w:bookmarkEnd w:id="27"/>
    </w:p>
    <w:bookmarkEnd w:id="16"/>
    <w:bookmarkEnd w:id="17"/>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28"/>
    <w:p w14:paraId="394B3A9D">
      <w:pPr>
        <w:rPr>
          <w:rFonts w:hint="eastAsia" w:ascii="宋体" w:hAnsi="宋体" w:eastAsia="宋体" w:cs="宋体"/>
          <w:color w:val="000000" w:themeColor="text1"/>
          <w:shd w:val="clear" w:color="auto" w:fill="auto"/>
          <w14:textFill>
            <w14:solidFill>
              <w14:schemeClr w14:val="tx1"/>
            </w14:solidFill>
          </w14:textFill>
        </w:rPr>
      </w:pPr>
    </w:p>
    <w:p w14:paraId="4C87D8DE">
      <w:pPr>
        <w:pStyle w:val="2"/>
        <w:bidi w:val="0"/>
        <w:jc w:val="center"/>
        <w:rPr>
          <w:rFonts w:hint="eastAsia" w:ascii="宋体" w:hAnsi="宋体" w:eastAsia="宋体" w:cs="宋体"/>
          <w:b/>
          <w:bCs/>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29"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29"/>
    </w:p>
    <w:p w14:paraId="7768EA36">
      <w:pPr>
        <w:pStyle w:val="3"/>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0"/>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rPr>
          <w:rFonts w:hint="eastAsia" w:ascii="宋体" w:hAnsi="宋体" w:eastAsia="宋体" w:cs="宋体"/>
          <w:color w:val="000000" w:themeColor="text1"/>
          <w:shd w:val="clear" w:color="auto" w:fill="auto"/>
          <w14:textFill>
            <w14:solidFill>
              <w14:schemeClr w14:val="tx1"/>
            </w14:solidFill>
          </w14:textFill>
        </w:rPr>
      </w:pPr>
      <w:bookmarkStart w:id="31"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1"/>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32"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2"/>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报价要求：</w:t>
      </w:r>
    </w:p>
    <w:p w14:paraId="30999BBA">
      <w:pPr>
        <w:spacing w:line="56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w:t>
      </w:r>
      <w:r>
        <w:rPr>
          <w:rFonts w:hint="default" w:ascii="宋体" w:hAnsi="宋体" w:eastAsia="宋体" w:cs="宋体"/>
          <w:color w:val="FF0000"/>
          <w:sz w:val="24"/>
          <w:szCs w:val="24"/>
          <w:shd w:val="clear" w:color="auto" w:fill="auto"/>
          <w:lang w:val="en-US" w:eastAsia="zh-CN"/>
        </w:rPr>
        <w:t>各项投标报价包含服务费、保险费、税费等各项费用</w:t>
      </w:r>
      <w:r>
        <w:rPr>
          <w:rFonts w:hint="eastAsia" w:ascii="宋体" w:hAnsi="宋体" w:eastAsia="宋体" w:cs="宋体"/>
          <w:color w:val="FF0000"/>
          <w:sz w:val="24"/>
          <w:szCs w:val="24"/>
          <w:shd w:val="clear" w:color="auto" w:fill="auto"/>
          <w:lang w:val="en-US" w:eastAsia="zh-CN"/>
        </w:rPr>
        <w:t>（材料费除外）</w:t>
      </w:r>
      <w:r>
        <w:rPr>
          <w:rFonts w:hint="default" w:ascii="宋体" w:hAnsi="宋体" w:eastAsia="宋体" w:cs="宋体"/>
          <w:color w:val="FF0000"/>
          <w:sz w:val="24"/>
          <w:szCs w:val="24"/>
          <w:shd w:val="clear" w:color="auto" w:fill="auto"/>
          <w:lang w:val="en-US" w:eastAsia="zh-CN"/>
        </w:rPr>
        <w:t>。报价表见</w:t>
      </w:r>
      <w:r>
        <w:rPr>
          <w:rFonts w:hint="eastAsia" w:ascii="宋体" w:hAnsi="宋体" w:eastAsia="宋体" w:cs="宋体"/>
          <w:color w:val="FF0000"/>
          <w:sz w:val="24"/>
          <w:szCs w:val="24"/>
          <w:shd w:val="clear" w:color="auto" w:fill="auto"/>
          <w:lang w:val="en-US" w:eastAsia="zh-CN"/>
        </w:rPr>
        <w:t>第六章</w:t>
      </w:r>
      <w:r>
        <w:rPr>
          <w:rFonts w:hint="default" w:ascii="宋体" w:hAnsi="宋体" w:eastAsia="宋体" w:cs="宋体"/>
          <w:color w:val="FF0000"/>
          <w:sz w:val="24"/>
          <w:szCs w:val="24"/>
          <w:shd w:val="clear" w:color="auto" w:fill="auto"/>
          <w:lang w:val="en-US" w:eastAsia="zh-CN"/>
        </w:rPr>
        <w:t>。</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3" w:name="OLE_LINK3"/>
      <w:bookmarkStart w:id="34" w:name="OLE_LINK8"/>
      <w:bookmarkStart w:id="35"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3"/>
    <w:bookmarkEnd w:id="34"/>
    <w:bookmarkEnd w:id="35"/>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19143"/>
      <w:bookmarkStart w:id="37" w:name="_Toc18122"/>
      <w:bookmarkStart w:id="38" w:name="_Toc342913393"/>
      <w:bookmarkStart w:id="39" w:name="_Toc179714298"/>
      <w:bookmarkStart w:id="40" w:name="_Toc102227319"/>
      <w:bookmarkStart w:id="41" w:name="_Toc403569780"/>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36"/>
      <w:bookmarkEnd w:id="37"/>
      <w:bookmarkEnd w:id="38"/>
      <w:bookmarkEnd w:id="39"/>
      <w:bookmarkEnd w:id="40"/>
      <w:bookmarkEnd w:id="41"/>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Align w:val="center"/>
          </w:tcPr>
          <w:p w14:paraId="2651D616">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或202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3</w:t>
            </w:r>
            <w:r>
              <w:rPr>
                <w:rFonts w:hint="eastAsia" w:ascii="宋体" w:hAnsi="宋体" w:eastAsia="宋体" w:cs="宋体"/>
                <w:color w:val="000000" w:themeColor="text1"/>
                <w:szCs w:val="21"/>
                <w:shd w:val="clear" w:color="auto" w:fill="auto"/>
                <w14:textFill>
                  <w14:solidFill>
                    <w14:schemeClr w14:val="tx1"/>
                  </w14:solidFill>
                </w14:textFill>
              </w:rPr>
              <w:t>年度财务状况报告（表）或其基本开户银行出具的资信证明（提供复印件）。</w:t>
            </w:r>
          </w:p>
          <w:p w14:paraId="53355760">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2.本年度新成立或成立不满一年的组织和自然人无法提供财务状况报告（表）的，可提供银行出具的资信证明（提供复印件）。</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供应商提供书面声明或相关证明材料（见格式文件）。</w:t>
            </w: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Align w:val="center"/>
          </w:tcPr>
          <w:p w14:paraId="1BA58B19">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1.税务登记证（副本）（提供复印件）。</w:t>
            </w:r>
          </w:p>
          <w:p w14:paraId="6E7EB7A1">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2.缴纳社会保障金的证明材料（提供复印件）【缴纳社会保障金的证明材料指：社会保险登记证或缴纳社会保险的凭据（专用收据或社会保险缴纳清单）】。</w:t>
            </w:r>
          </w:p>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3.依法免税或不需要缴纳社会保障资金的供应商，应提供相应文件证明其依法免税或不需要缴纳社会保障资金（提供复印件）。</w:t>
            </w: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Align w:val="center"/>
          </w:tcPr>
          <w:p w14:paraId="0794CB7C">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1.供应商提供书面声明（见格式文件）</w:t>
            </w:r>
          </w:p>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r>
              <w:rPr>
                <w:rFonts w:hint="eastAsia" w:ascii="宋体" w:hAnsi="宋体" w:eastAsia="宋体" w:cs="宋体"/>
                <w:b/>
                <w:color w:val="000000" w:themeColor="text1"/>
                <w:szCs w:val="21"/>
                <w:shd w:val="clear" w:color="auto" w:fill="auto"/>
                <w14:textFill>
                  <w14:solidFill>
                    <w14:schemeClr w14:val="tx1"/>
                  </w14:solidFill>
                </w14:textFill>
              </w:rPr>
              <w:t>供应商提供 “信用中国”网站(www.creditchina.gov.cn)、"中国政府采购网"(www.ccgp.gov.cn)等渠道查询供应商信用记录（注②）。对列入失信被执行人、重大税收违法案件当事人名单、政府采购严重违法失信行为记录名单的供应商将拒绝其参与医院采购活动。</w:t>
            </w: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2" w:name="_Toc28776"/>
      <w:bookmarkStart w:id="43" w:name="_Toc14247"/>
      <w:bookmarkStart w:id="44" w:name="_Toc403569781"/>
      <w:bookmarkStart w:id="45" w:name="_Toc102227320"/>
      <w:bookmarkStart w:id="46"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2"/>
      <w:bookmarkEnd w:id="43"/>
      <w:bookmarkEnd w:id="44"/>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7" w:name="_Toc29340"/>
      <w:bookmarkStart w:id="48" w:name="_Toc14816"/>
      <w:bookmarkStart w:id="49"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5"/>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46"/>
      <w:bookmarkEnd w:id="47"/>
      <w:bookmarkEnd w:id="48"/>
      <w:bookmarkEnd w:id="49"/>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0" w:name="_Toc342913395"/>
      <w:bookmarkStart w:id="51" w:name="_Toc403569783"/>
      <w:bookmarkStart w:id="52" w:name="_Toc102227321"/>
      <w:bookmarkStart w:id="53" w:name="_Toc7135"/>
      <w:bookmarkStart w:id="54" w:name="_Toc3212"/>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0"/>
      <w:bookmarkEnd w:id="51"/>
      <w:bookmarkEnd w:id="52"/>
      <w:bookmarkEnd w:id="53"/>
      <w:bookmarkEnd w:id="54"/>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5" w:name="_Toc403569784"/>
      <w:bookmarkStart w:id="56" w:name="_Toc17413"/>
      <w:bookmarkStart w:id="57" w:name="_Toc12880"/>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5"/>
      <w:bookmarkEnd w:id="56"/>
      <w:bookmarkEnd w:id="57"/>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58" w:name="_Toc102227322"/>
      <w:bookmarkStart w:id="59" w:name="_Toc342913396"/>
      <w:bookmarkStart w:id="60" w:name="_Toc403569785"/>
      <w:bookmarkStart w:id="61"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58"/>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59"/>
      <w:bookmarkEnd w:id="60"/>
      <w:bookmarkEnd w:id="61"/>
      <w:bookmarkEnd w:id="62"/>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7C9A12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3F1D6D2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B4430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A5B576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EC3EF2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634E9D2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7D335087">
      <w:pPr>
        <w:pStyle w:val="2"/>
        <w:jc w:val="both"/>
        <w:rPr>
          <w:rFonts w:hint="eastAsia" w:ascii="宋体" w:hAnsi="宋体" w:eastAsia="宋体" w:cs="宋体"/>
          <w:b/>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3" w:name="_Toc485108784"/>
      <w:bookmarkStart w:id="64"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3"/>
      <w:bookmarkEnd w:id="64"/>
    </w:p>
    <w:p w14:paraId="53EC4B1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5" w:name="_Toc28327"/>
      <w:bookmarkStart w:id="66" w:name="_Toc12789058"/>
      <w:bookmarkStart w:id="67"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需</w:t>
      </w:r>
      <w:r>
        <w:rPr>
          <w:rFonts w:hint="eastAsia" w:ascii="宋体" w:hAnsi="宋体" w:eastAsia="宋体" w:cs="宋体"/>
          <w:color w:val="000000" w:themeColor="text1"/>
          <w:sz w:val="24"/>
          <w:szCs w:val="24"/>
          <w:shd w:val="clear" w:color="auto" w:fill="auto"/>
          <w14:textFill>
            <w14:solidFill>
              <w14:schemeClr w14:val="tx1"/>
            </w14:solidFill>
          </w14:textFill>
        </w:rPr>
        <w:t>求</w:t>
      </w:r>
    </w:p>
    <w:p w14:paraId="2B5E247D">
      <w:pPr>
        <w:spacing w:line="390" w:lineRule="exact"/>
        <w:ind w:firstLine="480" w:firstLineChars="200"/>
        <w:rPr>
          <w:rFonts w:hint="default" w:ascii="宋体" w:hAnsi="宋体" w:eastAsia="宋体" w:cs="宋体"/>
          <w:color w:val="FF0000"/>
          <w:sz w:val="24"/>
          <w:szCs w:val="24"/>
          <w:shd w:val="clear" w:color="auto" w:fill="auto"/>
        </w:rPr>
      </w:pPr>
      <w:r>
        <w:rPr>
          <w:rFonts w:hint="default" w:ascii="宋体" w:hAnsi="宋体" w:eastAsia="宋体" w:cs="宋体"/>
          <w:color w:val="FF0000"/>
          <w:sz w:val="24"/>
          <w:szCs w:val="24"/>
          <w:shd w:val="clear" w:color="auto" w:fill="auto"/>
        </w:rPr>
        <w:t>1．接到采购方电话通知后须在1小时内上门处置，紧急维修事项需立即到达医院处理，不能立即处理的需提供临时处置措施或提出解决方案；如特殊科室需要夜间维修、安装的，需要服从医院的安排；每次服务完成后由采购方相关部门签字确认。</w:t>
      </w:r>
    </w:p>
    <w:p w14:paraId="4994FCD0">
      <w:pPr>
        <w:spacing w:line="390" w:lineRule="exact"/>
        <w:ind w:firstLine="480" w:firstLineChars="200"/>
        <w:rPr>
          <w:rFonts w:hint="default" w:ascii="宋体" w:hAnsi="宋体" w:eastAsia="宋体" w:cs="宋体"/>
          <w:color w:val="FF0000"/>
          <w:sz w:val="24"/>
          <w:szCs w:val="24"/>
          <w:shd w:val="clear" w:color="auto" w:fill="auto"/>
        </w:rPr>
      </w:pPr>
      <w:r>
        <w:rPr>
          <w:rFonts w:hint="default" w:ascii="宋体" w:hAnsi="宋体" w:eastAsia="宋体" w:cs="宋体"/>
          <w:color w:val="FF0000"/>
          <w:sz w:val="24"/>
          <w:szCs w:val="24"/>
          <w:shd w:val="clear" w:color="auto" w:fill="auto"/>
        </w:rPr>
        <w:t>2．从业人员在维修、安装时需严格按照水、电、焊工等相应操作规程进行规范操作，工作完成内容需达到相应技术要求且满足采购方使用要求。</w:t>
      </w:r>
    </w:p>
    <w:p w14:paraId="12FDFA43">
      <w:pPr>
        <w:spacing w:line="390" w:lineRule="exact"/>
        <w:ind w:firstLine="480" w:firstLineChars="200"/>
        <w:rPr>
          <w:rFonts w:hint="default" w:ascii="宋体" w:hAnsi="宋体" w:eastAsia="宋体" w:cs="宋体"/>
          <w:color w:val="FF0000"/>
          <w:sz w:val="24"/>
          <w:szCs w:val="24"/>
          <w:shd w:val="clear" w:color="auto" w:fill="auto"/>
        </w:rPr>
      </w:pPr>
      <w:r>
        <w:rPr>
          <w:rFonts w:hint="default" w:ascii="宋体" w:hAnsi="宋体" w:eastAsia="宋体" w:cs="宋体"/>
          <w:color w:val="FF0000"/>
          <w:sz w:val="24"/>
          <w:szCs w:val="24"/>
          <w:shd w:val="clear" w:color="auto" w:fill="auto"/>
        </w:rPr>
        <w:t>3．服务方需办理院内施工安全许可审批，取得院内施工许可后方可施工。每次动火作业等特种作业前需按程序到保卫科等相应部门办理作业许可。</w:t>
      </w:r>
    </w:p>
    <w:p w14:paraId="50F4B5F0">
      <w:pPr>
        <w:spacing w:line="390" w:lineRule="exact"/>
        <w:ind w:firstLine="480" w:firstLineChars="200"/>
        <w:rPr>
          <w:rFonts w:hint="default" w:ascii="宋体" w:hAnsi="宋体" w:eastAsia="宋体" w:cs="宋体"/>
          <w:color w:val="FF0000"/>
          <w:sz w:val="24"/>
          <w:szCs w:val="24"/>
          <w:shd w:val="clear" w:color="auto" w:fill="auto"/>
        </w:rPr>
      </w:pPr>
      <w:r>
        <w:rPr>
          <w:rFonts w:hint="default" w:ascii="宋体" w:hAnsi="宋体" w:eastAsia="宋体" w:cs="宋体"/>
          <w:color w:val="FF0000"/>
          <w:sz w:val="24"/>
          <w:szCs w:val="24"/>
          <w:shd w:val="clear" w:color="auto" w:fill="auto"/>
        </w:rPr>
        <w:t>4．服务方须指派具备资质的专业人员开展相关工作，各项工作须严格按照相关操作规程开展，做好各项维修记录。</w:t>
      </w:r>
    </w:p>
    <w:p w14:paraId="6AD36B9A">
      <w:pPr>
        <w:spacing w:line="390" w:lineRule="exact"/>
        <w:ind w:firstLine="480" w:firstLineChars="200"/>
        <w:rPr>
          <w:rFonts w:hint="default" w:ascii="宋体" w:hAnsi="宋体" w:eastAsia="宋体" w:cs="宋体"/>
          <w:color w:val="FF0000"/>
          <w:sz w:val="24"/>
          <w:szCs w:val="24"/>
          <w:shd w:val="clear" w:color="auto" w:fill="auto"/>
        </w:rPr>
      </w:pPr>
      <w:r>
        <w:rPr>
          <w:rFonts w:hint="default" w:ascii="宋体" w:hAnsi="宋体" w:eastAsia="宋体" w:cs="宋体"/>
          <w:color w:val="FF0000"/>
          <w:sz w:val="24"/>
          <w:szCs w:val="24"/>
          <w:shd w:val="clear" w:color="auto" w:fill="auto"/>
        </w:rPr>
        <w:t>5．在施工过程中，服务方应采取有效的安全措施，保证工作人员和其他人员的人身安全，并承担因安全事故导致的一切经济和法律责任。如有损坏财产须照价赔偿。</w:t>
      </w:r>
    </w:p>
    <w:p w14:paraId="065C8FFC">
      <w:pPr>
        <w:spacing w:line="390" w:lineRule="exact"/>
        <w:ind w:firstLine="480" w:firstLineChars="200"/>
        <w:rPr>
          <w:rFonts w:hint="eastAsia" w:ascii="宋体" w:hAnsi="宋体" w:eastAsia="宋体" w:cs="宋体"/>
          <w:color w:val="FF0000"/>
          <w:sz w:val="24"/>
          <w:szCs w:val="24"/>
          <w:shd w:val="clear" w:color="auto" w:fill="auto"/>
        </w:rPr>
      </w:pPr>
    </w:p>
    <w:p w14:paraId="0B25948B">
      <w:pPr>
        <w:snapToGrid w:val="0"/>
        <w:spacing w:line="400" w:lineRule="exact"/>
        <w:ind w:firstLine="480" w:firstLineChars="200"/>
        <w:jc w:val="left"/>
        <w:rPr>
          <w:rFonts w:hint="default" w:ascii="宋体" w:hAnsi="宋体" w:eastAsia="宋体" w:cs="宋体"/>
          <w:color w:val="FF0000"/>
          <w:sz w:val="24"/>
          <w:szCs w:val="24"/>
          <w:shd w:val="clear" w:color="auto" w:fill="auto"/>
          <w:lang w:val="en-US" w:eastAsia="zh-CN"/>
        </w:rPr>
      </w:pPr>
    </w:p>
    <w:p w14:paraId="528FEC62">
      <w:pPr>
        <w:snapToGrid w:val="0"/>
        <w:spacing w:line="400" w:lineRule="exact"/>
        <w:ind w:firstLine="560" w:firstLineChars="200"/>
        <w:jc w:val="left"/>
        <w:rPr>
          <w:rFonts w:hint="eastAsia" w:ascii="方正仿宋_GBK" w:eastAsia="方正仿宋_GBK" w:hAnsiTheme="minorEastAsia"/>
          <w:sz w:val="28"/>
          <w:szCs w:val="28"/>
        </w:rPr>
      </w:pPr>
    </w:p>
    <w:p w14:paraId="3E5E546B">
      <w:pPr>
        <w:spacing w:line="560" w:lineRule="exact"/>
        <w:ind w:firstLine="560" w:firstLineChars="200"/>
        <w:rPr>
          <w:rFonts w:hint="eastAsia" w:ascii="宋体" w:hAnsi="宋体"/>
          <w:sz w:val="28"/>
          <w:szCs w:val="28"/>
        </w:rPr>
      </w:pPr>
    </w:p>
    <w:p w14:paraId="0F062C04">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70D7B5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C751D4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0F3BE6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31D358F">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CB6E1FA">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481D1AF2">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45B51ABE">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134E13A0">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1D9A9802">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6E3CC81B">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41980F0A">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56E07B2">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564EDB11">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6BE81AC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65"/>
      <w:bookmarkEnd w:id="66"/>
      <w:bookmarkEnd w:id="67"/>
      <w:bookmarkStart w:id="68" w:name="_Toc11641055"/>
      <w:bookmarkStart w:id="69" w:name="_Toc12789059"/>
    </w:p>
    <w:p w14:paraId="5642FEE9">
      <w:pPr>
        <w:pStyle w:val="3"/>
        <w:spacing w:line="240" w:lineRule="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0" w:name="_Toc11645"/>
      <w:bookmarkStart w:id="71" w:name="_Toc485108793"/>
      <w:bookmarkStart w:id="72" w:name="_Toc7358"/>
      <w:bookmarkStart w:id="73"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204A2795">
      <w:pPr>
        <w:spacing w:line="390" w:lineRule="exact"/>
        <w:ind w:firstLine="480" w:firstLineChars="200"/>
        <w:rPr>
          <w:rFonts w:hint="default"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default" w:ascii="宋体" w:hAnsi="宋体" w:eastAsia="宋体" w:cs="宋体"/>
          <w:color w:val="FF0000"/>
          <w:sz w:val="24"/>
          <w:szCs w:val="24"/>
          <w:shd w:val="clear" w:color="auto" w:fill="auto"/>
        </w:rPr>
        <w:t>．合同期限：三年，自2025年7月1日起至2028年6月30日止。</w:t>
      </w:r>
    </w:p>
    <w:p w14:paraId="29027284">
      <w:pPr>
        <w:spacing w:line="390" w:lineRule="exact"/>
        <w:ind w:firstLine="480" w:firstLineChars="200"/>
        <w:rPr>
          <w:rFonts w:hint="default"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w:t>
      </w:r>
      <w:r>
        <w:rPr>
          <w:rFonts w:hint="default" w:ascii="宋体" w:hAnsi="宋体" w:eastAsia="宋体" w:cs="宋体"/>
          <w:color w:val="FF0000"/>
          <w:sz w:val="24"/>
          <w:szCs w:val="24"/>
          <w:shd w:val="clear" w:color="auto" w:fill="auto"/>
        </w:rPr>
        <w:t>．费用确定方式：服务方每次服务时详细记录内容，采购方使用科室进行工时和材料确认，服务方必须在当月统计提交采购方审核确定费用。</w:t>
      </w:r>
    </w:p>
    <w:p w14:paraId="45C6DD9F">
      <w:pPr>
        <w:spacing w:line="390" w:lineRule="exact"/>
        <w:ind w:firstLine="480" w:firstLineChars="200"/>
        <w:rPr>
          <w:rFonts w:hint="default" w:ascii="宋体" w:hAnsi="宋体" w:eastAsia="宋体" w:cs="宋体"/>
          <w:color w:val="FF0000"/>
          <w:sz w:val="24"/>
          <w:szCs w:val="24"/>
          <w:shd w:val="clear" w:color="auto" w:fill="auto"/>
        </w:rPr>
      </w:pPr>
      <w:r>
        <w:rPr>
          <w:rFonts w:hint="default" w:ascii="宋体" w:hAnsi="宋体" w:eastAsia="宋体" w:cs="宋体"/>
          <w:color w:val="FF0000"/>
          <w:sz w:val="24"/>
          <w:szCs w:val="24"/>
          <w:shd w:val="clear" w:color="auto" w:fill="auto"/>
        </w:rPr>
        <w:t>（1）服务费用。各项投标报价包含服务费、保险费、税费等各项费用。报价表见附件。</w:t>
      </w:r>
    </w:p>
    <w:p w14:paraId="00809D89">
      <w:pPr>
        <w:spacing w:line="390" w:lineRule="exact"/>
        <w:ind w:firstLine="480" w:firstLineChars="200"/>
        <w:rPr>
          <w:rFonts w:hint="default" w:ascii="宋体" w:hAnsi="宋体" w:eastAsia="宋体" w:cs="宋体"/>
          <w:color w:val="FF0000"/>
          <w:sz w:val="24"/>
          <w:szCs w:val="24"/>
          <w:shd w:val="clear" w:color="auto" w:fill="auto"/>
        </w:rPr>
      </w:pPr>
      <w:r>
        <w:rPr>
          <w:rFonts w:hint="default" w:ascii="宋体" w:hAnsi="宋体" w:eastAsia="宋体" w:cs="宋体"/>
          <w:color w:val="FF0000"/>
          <w:sz w:val="24"/>
          <w:szCs w:val="24"/>
          <w:shd w:val="clear" w:color="auto" w:fill="auto"/>
        </w:rPr>
        <w:t>（2）材料费用。维修后单独报价由采购办组织议价确定，且不得高于采购方零星采购材料入库价格。</w:t>
      </w:r>
    </w:p>
    <w:p w14:paraId="212271E6">
      <w:pPr>
        <w:spacing w:line="39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w:t>
      </w:r>
      <w:r>
        <w:rPr>
          <w:rFonts w:hint="default" w:ascii="宋体" w:hAnsi="宋体" w:eastAsia="宋体" w:cs="宋体"/>
          <w:color w:val="FF0000"/>
          <w:sz w:val="24"/>
          <w:szCs w:val="24"/>
          <w:shd w:val="clear" w:color="auto" w:fill="auto"/>
        </w:rPr>
        <w:t>付款方式：服务方在按时完成各项工作及无其它违约情况下，按月据实结算费用，采购方凭服务方提供的经采购方相关科室签字确认的结算清单及合法发票每月转账支付费用。</w:t>
      </w:r>
    </w:p>
    <w:p w14:paraId="5235ADB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0"/>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1"/>
      <w:bookmarkEnd w:id="72"/>
      <w:bookmarkEnd w:id="73"/>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68"/>
      <w:bookmarkEnd w:id="69"/>
      <w:bookmarkStart w:id="74" w:name="_Toc14840"/>
      <w:bookmarkStart w:id="75" w:name="_Toc485108794"/>
      <w:bookmarkStart w:id="76" w:name="_Toc403569796"/>
      <w:bookmarkStart w:id="77" w:name="_Toc303945820"/>
      <w:bookmarkStart w:id="7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74"/>
      <w:bookmarkEnd w:id="75"/>
      <w:bookmarkEnd w:id="76"/>
    </w:p>
    <w:p w14:paraId="5E46A35E">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79" w:name="_Toc54718202"/>
      <w:bookmarkStart w:id="80"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79"/>
      <w:bookmarkEnd w:id="8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8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8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8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8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85"/>
    </w:p>
    <w:p w14:paraId="484E102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6" w:name="_Toc54718203"/>
      <w:bookmarkStart w:id="87"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86"/>
      <w:bookmarkEnd w:id="8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8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8853"/>
      <w:bookmarkStart w:id="9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89"/>
      <w:bookmarkEnd w:id="9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25177"/>
      <w:bookmarkStart w:id="9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9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93"/>
    </w:p>
    <w:p w14:paraId="16BE7E9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92"/>
      <w:bookmarkEnd w:id="9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9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9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97"/>
    </w:p>
    <w:p w14:paraId="0E692A86">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54718206"/>
      <w:bookmarkStart w:id="99"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98"/>
      <w:bookmarkEnd w:id="9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00" w:name="_Toc12985"/>
      <w:bookmarkStart w:id="10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0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01"/>
    </w:p>
    <w:p w14:paraId="318F8000">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2" w:name="_Toc54718207"/>
      <w:bookmarkStart w:id="103"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02"/>
      <w:bookmarkEnd w:id="10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0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0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06"/>
    </w:p>
    <w:p w14:paraId="0105B42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54718211"/>
      <w:bookmarkStart w:id="108"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07"/>
      <w:bookmarkEnd w:id="10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0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1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1"/>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11" w:name="_Toc31719"/>
      <w:bookmarkStart w:id="112" w:name="_Toc54718210"/>
      <w:bookmarkStart w:id="113" w:name="_Toc54718212"/>
      <w:bookmarkStart w:id="114"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11"/>
      <w:bookmarkEnd w:id="11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1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16"/>
    </w:p>
    <w:p w14:paraId="7F490E8A">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13"/>
      <w:bookmarkEnd w:id="11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17"/>
      <w:bookmarkEnd w:id="11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1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2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2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2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23"/>
    </w:p>
    <w:bookmarkEnd w:id="77"/>
    <w:bookmarkEnd w:id="78"/>
    <w:p w14:paraId="5B5A6661">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24" w:name="_Hlt41879464"/>
      <w:bookmarkEnd w:id="124"/>
      <w:bookmarkStart w:id="125" w:name="_Toc13696"/>
      <w:bookmarkStart w:id="126" w:name="_Toc12789072"/>
      <w:bookmarkStart w:id="127" w:name="_Toc485108795"/>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25"/>
      <w:bookmarkEnd w:id="126"/>
      <w:bookmarkEnd w:id="127"/>
    </w:p>
    <w:p w14:paraId="3475141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28"/>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29"/>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30"/>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38358147"/>
      <w:bookmarkStart w:id="132" w:name="OLE_LINK11"/>
      <w:bookmarkStart w:id="133"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31"/>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34"/>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74F8954D">
      <w:pPr>
        <w:snapToGrid w:val="0"/>
        <w:spacing w:line="400" w:lineRule="exact"/>
        <w:ind w:firstLine="480" w:firstLineChars="200"/>
        <w:rPr>
          <w:rFonts w:hint="eastAsia" w:ascii="宋体" w:hAnsi="宋体" w:eastAsia="宋体" w:cs="宋体"/>
          <w:color w:val="000000" w:themeColor="text1"/>
          <w:sz w:val="24"/>
          <w:szCs w:val="24"/>
          <w:highlight w:val="yellow"/>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78AB033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（六）书面声明（格式）</w:t>
      </w:r>
    </w:p>
    <w:p w14:paraId="787ABABD">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（七）税务登记证（副本）复印件</w:t>
      </w:r>
    </w:p>
    <w:p w14:paraId="212D4CC9">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35"/>
    </w:p>
    <w:p w14:paraId="4D84AFC8">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p>
    <w:bookmarkEnd w:id="132"/>
    <w:bookmarkEnd w:id="133"/>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04D96D3D">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firstLineChars="0"/>
        <w:rPr>
          <w:rFonts w:hint="eastAsia" w:ascii="宋体" w:hAnsi="宋体" w:eastAsia="宋体" w:cs="宋体"/>
          <w:b/>
          <w:color w:val="000000" w:themeColor="text1"/>
          <w:shd w:val="clear" w:color="auto" w:fill="auto"/>
          <w14:textFill>
            <w14:solidFill>
              <w14:schemeClr w14:val="tx1"/>
            </w14:solidFill>
          </w14:textFill>
        </w:rPr>
      </w:pPr>
      <w:bookmarkStart w:id="136" w:name="_Toc485108796"/>
      <w:bookmarkStart w:id="137" w:name="_Toc342913419"/>
      <w:bookmarkStart w:id="138" w:name="_Toc480979018"/>
      <w:bookmarkStart w:id="139" w:name="_Toc313008356"/>
      <w:bookmarkStart w:id="140" w:name="_Toc313888360"/>
      <w:bookmarkStart w:id="141" w:name="_Toc12789073"/>
      <w:bookmarkStart w:id="142"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36"/>
      <w:bookmarkEnd w:id="137"/>
      <w:bookmarkEnd w:id="138"/>
      <w:bookmarkEnd w:id="139"/>
      <w:bookmarkEnd w:id="140"/>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41"/>
    <w:bookmarkEnd w:id="142"/>
    <w:p w14:paraId="6B701359">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0"/>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03613589">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1BB5CAB9">
      <w:pPr>
        <w:spacing w:line="560" w:lineRule="exact"/>
        <w:jc w:val="center"/>
        <w:rPr>
          <w:rFonts w:eastAsia="方正仿宋_GBK"/>
          <w:sz w:val="28"/>
          <w:szCs w:val="28"/>
        </w:rPr>
      </w:pPr>
      <w:bookmarkStart w:id="143" w:name="_Toc313008357"/>
      <w:bookmarkStart w:id="144" w:name="_Toc342913420"/>
      <w:bookmarkStart w:id="145" w:name="_Toc480979019"/>
      <w:bookmarkStart w:id="146" w:name="_Toc313888361"/>
      <w:bookmarkStart w:id="147" w:name="_Toc485108797"/>
      <w:r>
        <w:rPr>
          <w:rFonts w:eastAsia="方正仿宋_GBK"/>
          <w:sz w:val="28"/>
          <w:szCs w:val="28"/>
        </w:rPr>
        <w:t>报价表</w:t>
      </w:r>
    </w:p>
    <w:tbl>
      <w:tblPr>
        <w:tblStyle w:val="60"/>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2139"/>
        <w:gridCol w:w="1492"/>
        <w:gridCol w:w="1179"/>
        <w:gridCol w:w="1481"/>
        <w:gridCol w:w="1806"/>
      </w:tblGrid>
      <w:tr w14:paraId="2C8C4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14:paraId="2F701355">
            <w:pPr>
              <w:widowControl/>
              <w:spacing w:line="400" w:lineRule="exact"/>
              <w:contextualSpacing/>
              <w:jc w:val="center"/>
              <w:rPr>
                <w:szCs w:val="21"/>
              </w:rPr>
            </w:pPr>
            <w:r>
              <w:rPr>
                <w:szCs w:val="21"/>
              </w:rPr>
              <w:t>序号</w:t>
            </w:r>
          </w:p>
        </w:tc>
        <w:tc>
          <w:tcPr>
            <w:tcW w:w="2139" w:type="dxa"/>
            <w:vAlign w:val="center"/>
          </w:tcPr>
          <w:p w14:paraId="7E7A8257">
            <w:pPr>
              <w:widowControl/>
              <w:spacing w:line="400" w:lineRule="exact"/>
              <w:contextualSpacing/>
              <w:jc w:val="center"/>
              <w:rPr>
                <w:szCs w:val="21"/>
              </w:rPr>
            </w:pPr>
            <w:r>
              <w:rPr>
                <w:szCs w:val="21"/>
              </w:rPr>
              <w:t>项目内容</w:t>
            </w:r>
          </w:p>
        </w:tc>
        <w:tc>
          <w:tcPr>
            <w:tcW w:w="1492" w:type="dxa"/>
            <w:vAlign w:val="center"/>
          </w:tcPr>
          <w:p w14:paraId="22293CA0">
            <w:pPr>
              <w:widowControl/>
              <w:spacing w:line="400" w:lineRule="exact"/>
              <w:contextualSpacing/>
              <w:jc w:val="center"/>
              <w:rPr>
                <w:szCs w:val="21"/>
              </w:rPr>
            </w:pPr>
            <w:r>
              <w:rPr>
                <w:szCs w:val="21"/>
              </w:rPr>
              <w:t>工期（工时）</w:t>
            </w:r>
          </w:p>
        </w:tc>
        <w:tc>
          <w:tcPr>
            <w:tcW w:w="1179" w:type="dxa"/>
            <w:vAlign w:val="center"/>
          </w:tcPr>
          <w:p w14:paraId="5F054A34">
            <w:pPr>
              <w:widowControl/>
              <w:spacing w:line="400" w:lineRule="exact"/>
              <w:contextualSpacing/>
              <w:jc w:val="center"/>
              <w:rPr>
                <w:szCs w:val="21"/>
              </w:rPr>
            </w:pPr>
            <w:r>
              <w:rPr>
                <w:szCs w:val="21"/>
              </w:rPr>
              <w:t>费用</w:t>
            </w:r>
          </w:p>
          <w:p w14:paraId="16380687">
            <w:pPr>
              <w:widowControl/>
              <w:spacing w:line="400" w:lineRule="exact"/>
              <w:contextualSpacing/>
              <w:jc w:val="center"/>
              <w:rPr>
                <w:szCs w:val="21"/>
              </w:rPr>
            </w:pPr>
            <w:r>
              <w:rPr>
                <w:szCs w:val="21"/>
              </w:rPr>
              <w:t>（元）/人</w:t>
            </w:r>
          </w:p>
        </w:tc>
        <w:tc>
          <w:tcPr>
            <w:tcW w:w="1481" w:type="dxa"/>
          </w:tcPr>
          <w:p w14:paraId="63FB1764">
            <w:pPr>
              <w:widowControl/>
              <w:spacing w:line="400" w:lineRule="exact"/>
              <w:contextualSpacing/>
              <w:jc w:val="center"/>
              <w:rPr>
                <w:szCs w:val="21"/>
              </w:rPr>
            </w:pPr>
            <w:r>
              <w:rPr>
                <w:szCs w:val="21"/>
              </w:rPr>
              <w:t>月度服</w:t>
            </w:r>
          </w:p>
          <w:p w14:paraId="5B85D6A1">
            <w:pPr>
              <w:widowControl/>
              <w:spacing w:line="400" w:lineRule="exact"/>
              <w:contextualSpacing/>
              <w:jc w:val="center"/>
              <w:rPr>
                <w:szCs w:val="21"/>
              </w:rPr>
            </w:pPr>
            <w:r>
              <w:rPr>
                <w:szCs w:val="21"/>
              </w:rPr>
              <w:t>务次数</w:t>
            </w:r>
          </w:p>
        </w:tc>
        <w:tc>
          <w:tcPr>
            <w:tcW w:w="1806" w:type="dxa"/>
            <w:vAlign w:val="center"/>
          </w:tcPr>
          <w:p w14:paraId="48AE1BD8">
            <w:pPr>
              <w:widowControl/>
              <w:spacing w:line="400" w:lineRule="exact"/>
              <w:contextualSpacing/>
              <w:jc w:val="center"/>
              <w:rPr>
                <w:szCs w:val="21"/>
              </w:rPr>
            </w:pPr>
            <w:r>
              <w:rPr>
                <w:szCs w:val="21"/>
              </w:rPr>
              <w:t>备注</w:t>
            </w:r>
          </w:p>
        </w:tc>
      </w:tr>
      <w:tr w14:paraId="6BCAC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58" w:type="dxa"/>
            <w:shd w:val="clear" w:color="auto" w:fill="auto"/>
            <w:vAlign w:val="center"/>
          </w:tcPr>
          <w:p w14:paraId="717801C3">
            <w:pPr>
              <w:widowControl/>
              <w:spacing w:line="400" w:lineRule="exact"/>
              <w:contextualSpacing/>
              <w:jc w:val="center"/>
              <w:rPr>
                <w:szCs w:val="21"/>
              </w:rPr>
            </w:pPr>
            <w:r>
              <w:rPr>
                <w:szCs w:val="21"/>
              </w:rPr>
              <w:t>1</w:t>
            </w:r>
          </w:p>
        </w:tc>
        <w:tc>
          <w:tcPr>
            <w:tcW w:w="2139" w:type="dxa"/>
            <w:vMerge w:val="restart"/>
            <w:shd w:val="clear" w:color="auto" w:fill="auto"/>
            <w:vAlign w:val="center"/>
          </w:tcPr>
          <w:p w14:paraId="05C9A01E">
            <w:pPr>
              <w:widowControl/>
              <w:spacing w:line="400" w:lineRule="exact"/>
              <w:contextualSpacing/>
              <w:jc w:val="center"/>
              <w:rPr>
                <w:szCs w:val="21"/>
              </w:rPr>
            </w:pPr>
            <w:r>
              <w:rPr>
                <w:szCs w:val="21"/>
              </w:rPr>
              <w:t>水电设施维修、安装</w:t>
            </w:r>
          </w:p>
          <w:p w14:paraId="45B28EB3">
            <w:pPr>
              <w:spacing w:line="400" w:lineRule="exact"/>
              <w:jc w:val="center"/>
              <w:rPr>
                <w:szCs w:val="21"/>
              </w:rPr>
            </w:pPr>
            <w:r>
              <w:rPr>
                <w:szCs w:val="21"/>
              </w:rPr>
              <w:t>（法定工作日）</w:t>
            </w:r>
          </w:p>
        </w:tc>
        <w:tc>
          <w:tcPr>
            <w:tcW w:w="1492" w:type="dxa"/>
            <w:shd w:val="clear" w:color="auto" w:fill="auto"/>
            <w:vAlign w:val="center"/>
          </w:tcPr>
          <w:p w14:paraId="2CCF9981">
            <w:pPr>
              <w:widowControl/>
              <w:spacing w:line="400" w:lineRule="exact"/>
              <w:contextualSpacing/>
              <w:jc w:val="center"/>
              <w:rPr>
                <w:szCs w:val="21"/>
              </w:rPr>
            </w:pPr>
            <w:r>
              <w:rPr>
                <w:rFonts w:hint="eastAsia"/>
                <w:szCs w:val="21"/>
              </w:rPr>
              <w:t>2</w:t>
            </w:r>
            <w:r>
              <w:rPr>
                <w:szCs w:val="21"/>
              </w:rPr>
              <w:t>小时内</w:t>
            </w:r>
          </w:p>
        </w:tc>
        <w:tc>
          <w:tcPr>
            <w:tcW w:w="1179" w:type="dxa"/>
            <w:vAlign w:val="center"/>
          </w:tcPr>
          <w:p w14:paraId="2670A023">
            <w:pPr>
              <w:widowControl/>
              <w:spacing w:line="400" w:lineRule="exact"/>
              <w:contextualSpacing/>
              <w:jc w:val="center"/>
              <w:rPr>
                <w:szCs w:val="21"/>
              </w:rPr>
            </w:pPr>
          </w:p>
        </w:tc>
        <w:tc>
          <w:tcPr>
            <w:tcW w:w="1481" w:type="dxa"/>
            <w:vAlign w:val="center"/>
          </w:tcPr>
          <w:p w14:paraId="04C6FA24">
            <w:pPr>
              <w:widowControl/>
              <w:spacing w:line="400" w:lineRule="exact"/>
              <w:contextualSpacing/>
              <w:jc w:val="center"/>
              <w:rPr>
                <w:szCs w:val="21"/>
              </w:rPr>
            </w:pPr>
            <w:r>
              <w:rPr>
                <w:rFonts w:hint="eastAsia"/>
                <w:szCs w:val="21"/>
              </w:rPr>
              <w:t>3</w:t>
            </w:r>
          </w:p>
        </w:tc>
        <w:tc>
          <w:tcPr>
            <w:tcW w:w="1806" w:type="dxa"/>
            <w:vMerge w:val="restart"/>
            <w:vAlign w:val="center"/>
          </w:tcPr>
          <w:p w14:paraId="25E24C54">
            <w:pPr>
              <w:widowControl/>
              <w:spacing w:line="400" w:lineRule="exact"/>
              <w:contextualSpacing/>
              <w:jc w:val="left"/>
              <w:rPr>
                <w:szCs w:val="21"/>
              </w:rPr>
            </w:pPr>
            <w:r>
              <w:rPr>
                <w:szCs w:val="21"/>
              </w:rPr>
              <w:t>根据每个项目实施时间确定</w:t>
            </w:r>
          </w:p>
        </w:tc>
      </w:tr>
      <w:tr w14:paraId="43EE6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58" w:type="dxa"/>
            <w:shd w:val="clear" w:color="auto" w:fill="auto"/>
            <w:vAlign w:val="center"/>
          </w:tcPr>
          <w:p w14:paraId="0D02297E">
            <w:pPr>
              <w:widowControl/>
              <w:spacing w:line="400" w:lineRule="exact"/>
              <w:contextualSpacing/>
              <w:jc w:val="center"/>
              <w:rPr>
                <w:szCs w:val="21"/>
              </w:rPr>
            </w:pPr>
            <w:r>
              <w:rPr>
                <w:szCs w:val="21"/>
              </w:rPr>
              <w:t>2</w:t>
            </w:r>
          </w:p>
        </w:tc>
        <w:tc>
          <w:tcPr>
            <w:tcW w:w="2139" w:type="dxa"/>
            <w:vMerge w:val="continue"/>
            <w:vAlign w:val="center"/>
          </w:tcPr>
          <w:p w14:paraId="21B3A0D3">
            <w:pPr>
              <w:widowControl/>
              <w:spacing w:line="400" w:lineRule="exact"/>
              <w:contextualSpacing/>
              <w:jc w:val="center"/>
              <w:rPr>
                <w:szCs w:val="21"/>
              </w:rPr>
            </w:pPr>
          </w:p>
        </w:tc>
        <w:tc>
          <w:tcPr>
            <w:tcW w:w="1492" w:type="dxa"/>
            <w:vAlign w:val="center"/>
          </w:tcPr>
          <w:p w14:paraId="5C44F817">
            <w:pPr>
              <w:widowControl/>
              <w:spacing w:line="400" w:lineRule="exact"/>
              <w:contextualSpacing/>
              <w:jc w:val="center"/>
              <w:rPr>
                <w:szCs w:val="21"/>
              </w:rPr>
            </w:pPr>
            <w:r>
              <w:rPr>
                <w:szCs w:val="21"/>
              </w:rPr>
              <w:t>4小时内</w:t>
            </w:r>
          </w:p>
        </w:tc>
        <w:tc>
          <w:tcPr>
            <w:tcW w:w="1179" w:type="dxa"/>
            <w:vAlign w:val="center"/>
          </w:tcPr>
          <w:p w14:paraId="4CF6A4FD">
            <w:pPr>
              <w:widowControl/>
              <w:spacing w:line="400" w:lineRule="exact"/>
              <w:contextualSpacing/>
              <w:jc w:val="center"/>
              <w:rPr>
                <w:szCs w:val="21"/>
              </w:rPr>
            </w:pPr>
          </w:p>
        </w:tc>
        <w:tc>
          <w:tcPr>
            <w:tcW w:w="1481" w:type="dxa"/>
            <w:vAlign w:val="center"/>
          </w:tcPr>
          <w:p w14:paraId="76B26AF3">
            <w:pPr>
              <w:widowControl/>
              <w:spacing w:line="400" w:lineRule="exact"/>
              <w:contextualSpacing/>
              <w:jc w:val="center"/>
              <w:rPr>
                <w:szCs w:val="21"/>
              </w:rPr>
            </w:pPr>
            <w:r>
              <w:rPr>
                <w:rFonts w:hint="eastAsia"/>
                <w:szCs w:val="21"/>
              </w:rPr>
              <w:t>2</w:t>
            </w:r>
          </w:p>
        </w:tc>
        <w:tc>
          <w:tcPr>
            <w:tcW w:w="1806" w:type="dxa"/>
            <w:vMerge w:val="continue"/>
            <w:vAlign w:val="center"/>
          </w:tcPr>
          <w:p w14:paraId="7A3EC0C0">
            <w:pPr>
              <w:widowControl/>
              <w:spacing w:line="400" w:lineRule="exact"/>
              <w:contextualSpacing/>
              <w:jc w:val="left"/>
              <w:rPr>
                <w:szCs w:val="21"/>
              </w:rPr>
            </w:pPr>
          </w:p>
        </w:tc>
      </w:tr>
      <w:tr w14:paraId="6F227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58" w:type="dxa"/>
            <w:shd w:val="clear" w:color="auto" w:fill="auto"/>
            <w:vAlign w:val="center"/>
          </w:tcPr>
          <w:p w14:paraId="6C7F73D9">
            <w:pPr>
              <w:widowControl/>
              <w:spacing w:line="400" w:lineRule="exact"/>
              <w:contextualSpacing/>
              <w:jc w:val="center"/>
              <w:rPr>
                <w:szCs w:val="21"/>
              </w:rPr>
            </w:pPr>
            <w:r>
              <w:rPr>
                <w:szCs w:val="21"/>
              </w:rPr>
              <w:t>3</w:t>
            </w:r>
          </w:p>
        </w:tc>
        <w:tc>
          <w:tcPr>
            <w:tcW w:w="2139" w:type="dxa"/>
            <w:vMerge w:val="continue"/>
            <w:vAlign w:val="center"/>
          </w:tcPr>
          <w:p w14:paraId="3E3B6DC1">
            <w:pPr>
              <w:spacing w:line="400" w:lineRule="exact"/>
              <w:jc w:val="center"/>
              <w:rPr>
                <w:szCs w:val="21"/>
              </w:rPr>
            </w:pPr>
          </w:p>
        </w:tc>
        <w:tc>
          <w:tcPr>
            <w:tcW w:w="1492" w:type="dxa"/>
            <w:vAlign w:val="center"/>
          </w:tcPr>
          <w:p w14:paraId="101786B6">
            <w:pPr>
              <w:spacing w:line="400" w:lineRule="exact"/>
              <w:jc w:val="center"/>
              <w:rPr>
                <w:szCs w:val="21"/>
              </w:rPr>
            </w:pPr>
            <w:r>
              <w:rPr>
                <w:szCs w:val="21"/>
              </w:rPr>
              <w:t>8小时内</w:t>
            </w:r>
          </w:p>
        </w:tc>
        <w:tc>
          <w:tcPr>
            <w:tcW w:w="1179" w:type="dxa"/>
            <w:vAlign w:val="center"/>
          </w:tcPr>
          <w:p w14:paraId="0A361068">
            <w:pPr>
              <w:widowControl/>
              <w:spacing w:line="400" w:lineRule="exact"/>
              <w:contextualSpacing/>
              <w:jc w:val="center"/>
              <w:rPr>
                <w:szCs w:val="21"/>
              </w:rPr>
            </w:pPr>
          </w:p>
        </w:tc>
        <w:tc>
          <w:tcPr>
            <w:tcW w:w="1481" w:type="dxa"/>
            <w:vAlign w:val="center"/>
          </w:tcPr>
          <w:p w14:paraId="712D9BA0">
            <w:pPr>
              <w:widowControl/>
              <w:spacing w:line="400" w:lineRule="exact"/>
              <w:contextualSpacing/>
              <w:jc w:val="center"/>
              <w:rPr>
                <w:szCs w:val="21"/>
              </w:rPr>
            </w:pPr>
            <w:r>
              <w:rPr>
                <w:rFonts w:hint="eastAsia"/>
                <w:szCs w:val="21"/>
              </w:rPr>
              <w:t>2</w:t>
            </w:r>
          </w:p>
        </w:tc>
        <w:tc>
          <w:tcPr>
            <w:tcW w:w="1806" w:type="dxa"/>
            <w:vMerge w:val="continue"/>
            <w:vAlign w:val="center"/>
          </w:tcPr>
          <w:p w14:paraId="3FCD84D0">
            <w:pPr>
              <w:widowControl/>
              <w:spacing w:line="400" w:lineRule="exact"/>
              <w:contextualSpacing/>
              <w:jc w:val="center"/>
              <w:rPr>
                <w:szCs w:val="21"/>
              </w:rPr>
            </w:pPr>
          </w:p>
        </w:tc>
      </w:tr>
      <w:tr w14:paraId="12E40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58" w:type="dxa"/>
            <w:shd w:val="clear" w:color="auto" w:fill="auto"/>
            <w:vAlign w:val="center"/>
          </w:tcPr>
          <w:p w14:paraId="4F27C564">
            <w:pPr>
              <w:widowControl/>
              <w:spacing w:line="400" w:lineRule="exact"/>
              <w:contextualSpacing/>
              <w:jc w:val="center"/>
              <w:rPr>
                <w:szCs w:val="21"/>
              </w:rPr>
            </w:pPr>
            <w:r>
              <w:rPr>
                <w:szCs w:val="21"/>
              </w:rPr>
              <w:t>4</w:t>
            </w:r>
          </w:p>
        </w:tc>
        <w:tc>
          <w:tcPr>
            <w:tcW w:w="2139" w:type="dxa"/>
            <w:vMerge w:val="restart"/>
            <w:vAlign w:val="center"/>
          </w:tcPr>
          <w:p w14:paraId="3C1B9DDC">
            <w:pPr>
              <w:spacing w:line="400" w:lineRule="exact"/>
              <w:jc w:val="center"/>
              <w:rPr>
                <w:szCs w:val="21"/>
              </w:rPr>
            </w:pPr>
            <w:r>
              <w:rPr>
                <w:szCs w:val="21"/>
              </w:rPr>
              <w:t>水电设施维修、安装（18-24时）</w:t>
            </w:r>
          </w:p>
        </w:tc>
        <w:tc>
          <w:tcPr>
            <w:tcW w:w="1492" w:type="dxa"/>
            <w:vAlign w:val="center"/>
          </w:tcPr>
          <w:p w14:paraId="1A5A244E">
            <w:pPr>
              <w:spacing w:line="400" w:lineRule="exact"/>
              <w:jc w:val="center"/>
              <w:rPr>
                <w:szCs w:val="21"/>
              </w:rPr>
            </w:pPr>
            <w:r>
              <w:rPr>
                <w:szCs w:val="21"/>
              </w:rPr>
              <w:t>4小时内</w:t>
            </w:r>
          </w:p>
        </w:tc>
        <w:tc>
          <w:tcPr>
            <w:tcW w:w="1179" w:type="dxa"/>
            <w:vAlign w:val="center"/>
          </w:tcPr>
          <w:p w14:paraId="5F4AC480">
            <w:pPr>
              <w:widowControl/>
              <w:spacing w:line="400" w:lineRule="exact"/>
              <w:contextualSpacing/>
              <w:jc w:val="center"/>
              <w:rPr>
                <w:szCs w:val="21"/>
              </w:rPr>
            </w:pPr>
          </w:p>
        </w:tc>
        <w:tc>
          <w:tcPr>
            <w:tcW w:w="1481" w:type="dxa"/>
            <w:vAlign w:val="center"/>
          </w:tcPr>
          <w:p w14:paraId="422AAACB">
            <w:pPr>
              <w:widowControl/>
              <w:spacing w:line="400" w:lineRule="exact"/>
              <w:contextualSpacing/>
              <w:jc w:val="center"/>
              <w:rPr>
                <w:szCs w:val="21"/>
              </w:rPr>
            </w:pPr>
            <w:r>
              <w:rPr>
                <w:rFonts w:hint="eastAsia"/>
                <w:szCs w:val="21"/>
              </w:rPr>
              <w:t>1</w:t>
            </w:r>
          </w:p>
        </w:tc>
        <w:tc>
          <w:tcPr>
            <w:tcW w:w="1806" w:type="dxa"/>
            <w:vMerge w:val="continue"/>
            <w:vAlign w:val="center"/>
          </w:tcPr>
          <w:p w14:paraId="575871CD">
            <w:pPr>
              <w:widowControl/>
              <w:spacing w:line="400" w:lineRule="exact"/>
              <w:contextualSpacing/>
              <w:jc w:val="center"/>
              <w:rPr>
                <w:szCs w:val="21"/>
              </w:rPr>
            </w:pPr>
          </w:p>
        </w:tc>
      </w:tr>
      <w:tr w14:paraId="46EF6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58" w:type="dxa"/>
            <w:shd w:val="clear" w:color="auto" w:fill="auto"/>
            <w:vAlign w:val="center"/>
          </w:tcPr>
          <w:p w14:paraId="569E7BCC">
            <w:pPr>
              <w:widowControl/>
              <w:spacing w:line="400" w:lineRule="exact"/>
              <w:contextualSpacing/>
              <w:jc w:val="center"/>
              <w:rPr>
                <w:szCs w:val="21"/>
              </w:rPr>
            </w:pPr>
            <w:r>
              <w:rPr>
                <w:szCs w:val="21"/>
              </w:rPr>
              <w:t>5</w:t>
            </w:r>
          </w:p>
        </w:tc>
        <w:tc>
          <w:tcPr>
            <w:tcW w:w="2139" w:type="dxa"/>
            <w:vMerge w:val="continue"/>
            <w:vAlign w:val="center"/>
          </w:tcPr>
          <w:p w14:paraId="2A81198A">
            <w:pPr>
              <w:spacing w:line="400" w:lineRule="exact"/>
              <w:jc w:val="center"/>
              <w:rPr>
                <w:szCs w:val="21"/>
              </w:rPr>
            </w:pPr>
          </w:p>
        </w:tc>
        <w:tc>
          <w:tcPr>
            <w:tcW w:w="1492" w:type="dxa"/>
            <w:vAlign w:val="center"/>
          </w:tcPr>
          <w:p w14:paraId="627D50A9">
            <w:pPr>
              <w:spacing w:line="400" w:lineRule="exact"/>
              <w:jc w:val="center"/>
              <w:rPr>
                <w:szCs w:val="21"/>
              </w:rPr>
            </w:pPr>
            <w:r>
              <w:rPr>
                <w:rFonts w:hint="eastAsia"/>
                <w:szCs w:val="21"/>
              </w:rPr>
              <w:t>6</w:t>
            </w:r>
            <w:r>
              <w:rPr>
                <w:szCs w:val="21"/>
              </w:rPr>
              <w:t>小时内</w:t>
            </w:r>
          </w:p>
        </w:tc>
        <w:tc>
          <w:tcPr>
            <w:tcW w:w="1179" w:type="dxa"/>
            <w:vAlign w:val="center"/>
          </w:tcPr>
          <w:p w14:paraId="00BBE43C">
            <w:pPr>
              <w:widowControl/>
              <w:spacing w:line="400" w:lineRule="exact"/>
              <w:contextualSpacing/>
              <w:jc w:val="center"/>
              <w:rPr>
                <w:szCs w:val="21"/>
              </w:rPr>
            </w:pPr>
          </w:p>
        </w:tc>
        <w:tc>
          <w:tcPr>
            <w:tcW w:w="1481" w:type="dxa"/>
            <w:vAlign w:val="center"/>
          </w:tcPr>
          <w:p w14:paraId="1A7F9172">
            <w:pPr>
              <w:widowControl/>
              <w:spacing w:line="400" w:lineRule="exact"/>
              <w:contextualSpacing/>
              <w:jc w:val="center"/>
              <w:rPr>
                <w:szCs w:val="21"/>
              </w:rPr>
            </w:pPr>
            <w:r>
              <w:rPr>
                <w:rFonts w:hint="eastAsia"/>
                <w:szCs w:val="21"/>
              </w:rPr>
              <w:t>0</w:t>
            </w:r>
          </w:p>
        </w:tc>
        <w:tc>
          <w:tcPr>
            <w:tcW w:w="1806" w:type="dxa"/>
            <w:vMerge w:val="continue"/>
            <w:vAlign w:val="center"/>
          </w:tcPr>
          <w:p w14:paraId="7237A232">
            <w:pPr>
              <w:widowControl/>
              <w:spacing w:line="400" w:lineRule="exact"/>
              <w:contextualSpacing/>
              <w:jc w:val="center"/>
              <w:rPr>
                <w:szCs w:val="21"/>
              </w:rPr>
            </w:pPr>
          </w:p>
        </w:tc>
      </w:tr>
      <w:tr w14:paraId="2D74A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658" w:type="dxa"/>
            <w:shd w:val="clear" w:color="auto" w:fill="auto"/>
            <w:vAlign w:val="center"/>
          </w:tcPr>
          <w:p w14:paraId="2E672230">
            <w:pPr>
              <w:widowControl/>
              <w:spacing w:line="400" w:lineRule="exact"/>
              <w:contextualSpacing/>
              <w:jc w:val="center"/>
              <w:rPr>
                <w:szCs w:val="21"/>
              </w:rPr>
            </w:pPr>
            <w:r>
              <w:rPr>
                <w:szCs w:val="21"/>
              </w:rPr>
              <w:t>6</w:t>
            </w:r>
          </w:p>
        </w:tc>
        <w:tc>
          <w:tcPr>
            <w:tcW w:w="2139" w:type="dxa"/>
            <w:vMerge w:val="restart"/>
            <w:vAlign w:val="center"/>
          </w:tcPr>
          <w:p w14:paraId="5CFD3632">
            <w:pPr>
              <w:spacing w:line="400" w:lineRule="exact"/>
              <w:jc w:val="center"/>
              <w:rPr>
                <w:szCs w:val="21"/>
              </w:rPr>
            </w:pPr>
            <w:r>
              <w:rPr>
                <w:szCs w:val="21"/>
              </w:rPr>
              <w:t>水电设施维修、安装（0-8时、法定节假日）</w:t>
            </w:r>
          </w:p>
        </w:tc>
        <w:tc>
          <w:tcPr>
            <w:tcW w:w="1492" w:type="dxa"/>
            <w:vAlign w:val="center"/>
          </w:tcPr>
          <w:p w14:paraId="59D7D531">
            <w:pPr>
              <w:spacing w:line="400" w:lineRule="exact"/>
              <w:jc w:val="center"/>
              <w:rPr>
                <w:szCs w:val="21"/>
              </w:rPr>
            </w:pPr>
            <w:r>
              <w:rPr>
                <w:szCs w:val="21"/>
              </w:rPr>
              <w:t>4小时内</w:t>
            </w:r>
          </w:p>
        </w:tc>
        <w:tc>
          <w:tcPr>
            <w:tcW w:w="1179" w:type="dxa"/>
            <w:vAlign w:val="center"/>
          </w:tcPr>
          <w:p w14:paraId="43A1647D">
            <w:pPr>
              <w:widowControl/>
              <w:spacing w:line="400" w:lineRule="exact"/>
              <w:contextualSpacing/>
              <w:jc w:val="center"/>
              <w:rPr>
                <w:szCs w:val="21"/>
              </w:rPr>
            </w:pPr>
          </w:p>
        </w:tc>
        <w:tc>
          <w:tcPr>
            <w:tcW w:w="1481" w:type="dxa"/>
            <w:vAlign w:val="center"/>
          </w:tcPr>
          <w:p w14:paraId="3A9D4E0A">
            <w:pPr>
              <w:widowControl/>
              <w:spacing w:line="400" w:lineRule="exact"/>
              <w:contextualSpacing/>
              <w:jc w:val="center"/>
              <w:rPr>
                <w:szCs w:val="21"/>
              </w:rPr>
            </w:pPr>
            <w:r>
              <w:rPr>
                <w:rFonts w:hint="eastAsia"/>
                <w:szCs w:val="21"/>
              </w:rPr>
              <w:t>1</w:t>
            </w:r>
          </w:p>
        </w:tc>
        <w:tc>
          <w:tcPr>
            <w:tcW w:w="1806" w:type="dxa"/>
            <w:vMerge w:val="restart"/>
            <w:vAlign w:val="center"/>
          </w:tcPr>
          <w:p w14:paraId="68707E54">
            <w:pPr>
              <w:widowControl/>
              <w:spacing w:line="400" w:lineRule="exact"/>
              <w:contextualSpacing/>
              <w:jc w:val="left"/>
              <w:rPr>
                <w:szCs w:val="21"/>
              </w:rPr>
            </w:pPr>
            <w:r>
              <w:rPr>
                <w:szCs w:val="21"/>
              </w:rPr>
              <w:t>超过4小时，不足7小时部分，在第5项的基础上，每超1小时增加</w:t>
            </w:r>
            <w:r>
              <w:rPr>
                <w:szCs w:val="21"/>
                <w:u w:val="single"/>
              </w:rPr>
              <w:t xml:space="preserve">      </w:t>
            </w:r>
            <w:r>
              <w:rPr>
                <w:szCs w:val="21"/>
              </w:rPr>
              <w:t>元，7小时至8小时按8小时结算。</w:t>
            </w:r>
          </w:p>
        </w:tc>
      </w:tr>
      <w:tr w14:paraId="578A7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658" w:type="dxa"/>
            <w:shd w:val="clear" w:color="auto" w:fill="auto"/>
            <w:vAlign w:val="center"/>
          </w:tcPr>
          <w:p w14:paraId="77B7946A">
            <w:pPr>
              <w:widowControl/>
              <w:spacing w:line="400" w:lineRule="exact"/>
              <w:contextualSpacing/>
              <w:jc w:val="center"/>
              <w:rPr>
                <w:szCs w:val="21"/>
              </w:rPr>
            </w:pPr>
            <w:r>
              <w:rPr>
                <w:szCs w:val="21"/>
              </w:rPr>
              <w:t>7</w:t>
            </w:r>
          </w:p>
        </w:tc>
        <w:tc>
          <w:tcPr>
            <w:tcW w:w="2139" w:type="dxa"/>
            <w:vMerge w:val="continue"/>
            <w:vAlign w:val="center"/>
          </w:tcPr>
          <w:p w14:paraId="72805F9E">
            <w:pPr>
              <w:spacing w:line="400" w:lineRule="exact"/>
              <w:jc w:val="center"/>
              <w:rPr>
                <w:szCs w:val="21"/>
              </w:rPr>
            </w:pPr>
          </w:p>
        </w:tc>
        <w:tc>
          <w:tcPr>
            <w:tcW w:w="1492" w:type="dxa"/>
            <w:vAlign w:val="center"/>
          </w:tcPr>
          <w:p w14:paraId="692B0777">
            <w:pPr>
              <w:spacing w:line="400" w:lineRule="exact"/>
              <w:jc w:val="center"/>
              <w:rPr>
                <w:szCs w:val="21"/>
              </w:rPr>
            </w:pPr>
            <w:r>
              <w:rPr>
                <w:szCs w:val="21"/>
              </w:rPr>
              <w:t>8小时内</w:t>
            </w:r>
          </w:p>
        </w:tc>
        <w:tc>
          <w:tcPr>
            <w:tcW w:w="1179" w:type="dxa"/>
            <w:vAlign w:val="center"/>
          </w:tcPr>
          <w:p w14:paraId="671870B7">
            <w:pPr>
              <w:widowControl/>
              <w:spacing w:line="400" w:lineRule="exact"/>
              <w:contextualSpacing/>
              <w:jc w:val="center"/>
              <w:rPr>
                <w:szCs w:val="21"/>
              </w:rPr>
            </w:pPr>
          </w:p>
        </w:tc>
        <w:tc>
          <w:tcPr>
            <w:tcW w:w="1481" w:type="dxa"/>
            <w:vAlign w:val="center"/>
          </w:tcPr>
          <w:p w14:paraId="440E127B">
            <w:pPr>
              <w:widowControl/>
              <w:spacing w:line="400" w:lineRule="exact"/>
              <w:contextualSpacing/>
              <w:jc w:val="center"/>
              <w:rPr>
                <w:szCs w:val="21"/>
              </w:rPr>
            </w:pPr>
            <w:r>
              <w:rPr>
                <w:rFonts w:hint="eastAsia"/>
                <w:szCs w:val="21"/>
              </w:rPr>
              <w:t>0</w:t>
            </w:r>
          </w:p>
        </w:tc>
        <w:tc>
          <w:tcPr>
            <w:tcW w:w="1806" w:type="dxa"/>
            <w:vMerge w:val="continue"/>
            <w:vAlign w:val="center"/>
          </w:tcPr>
          <w:p w14:paraId="2365CBEE">
            <w:pPr>
              <w:widowControl/>
              <w:spacing w:line="400" w:lineRule="exact"/>
              <w:contextualSpacing/>
              <w:jc w:val="center"/>
              <w:rPr>
                <w:szCs w:val="21"/>
              </w:rPr>
            </w:pPr>
          </w:p>
        </w:tc>
      </w:tr>
      <w:tr w14:paraId="622B7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658" w:type="dxa"/>
            <w:shd w:val="clear" w:color="auto" w:fill="auto"/>
            <w:vAlign w:val="center"/>
          </w:tcPr>
          <w:p w14:paraId="2F5A29EB">
            <w:pPr>
              <w:widowControl/>
              <w:spacing w:line="400" w:lineRule="exact"/>
              <w:contextualSpacing/>
              <w:jc w:val="center"/>
              <w:rPr>
                <w:szCs w:val="21"/>
              </w:rPr>
            </w:pPr>
            <w:r>
              <w:rPr>
                <w:szCs w:val="21"/>
              </w:rPr>
              <w:t>8</w:t>
            </w:r>
          </w:p>
        </w:tc>
        <w:tc>
          <w:tcPr>
            <w:tcW w:w="2139" w:type="dxa"/>
            <w:vAlign w:val="center"/>
          </w:tcPr>
          <w:p w14:paraId="33E214C4">
            <w:pPr>
              <w:widowControl/>
              <w:spacing w:line="400" w:lineRule="exact"/>
              <w:contextualSpacing/>
              <w:jc w:val="center"/>
              <w:rPr>
                <w:szCs w:val="21"/>
              </w:rPr>
            </w:pPr>
            <w:r>
              <w:rPr>
                <w:szCs w:val="21"/>
              </w:rPr>
              <w:t>微波炉、电磁炉、风扇小电器维修</w:t>
            </w:r>
          </w:p>
        </w:tc>
        <w:tc>
          <w:tcPr>
            <w:tcW w:w="1492" w:type="dxa"/>
            <w:vAlign w:val="center"/>
          </w:tcPr>
          <w:p w14:paraId="75C41461">
            <w:pPr>
              <w:widowControl/>
              <w:spacing w:line="400" w:lineRule="exact"/>
              <w:contextualSpacing/>
              <w:jc w:val="center"/>
              <w:rPr>
                <w:szCs w:val="21"/>
              </w:rPr>
            </w:pPr>
            <w:r>
              <w:rPr>
                <w:szCs w:val="21"/>
              </w:rPr>
              <w:t>/</w:t>
            </w:r>
          </w:p>
        </w:tc>
        <w:tc>
          <w:tcPr>
            <w:tcW w:w="1179" w:type="dxa"/>
            <w:vAlign w:val="center"/>
          </w:tcPr>
          <w:p w14:paraId="1B252C45">
            <w:pPr>
              <w:widowControl/>
              <w:spacing w:line="400" w:lineRule="exact"/>
              <w:contextualSpacing/>
              <w:jc w:val="center"/>
              <w:rPr>
                <w:szCs w:val="21"/>
              </w:rPr>
            </w:pPr>
          </w:p>
        </w:tc>
        <w:tc>
          <w:tcPr>
            <w:tcW w:w="1481" w:type="dxa"/>
            <w:vAlign w:val="center"/>
          </w:tcPr>
          <w:p w14:paraId="669A9C97">
            <w:pPr>
              <w:widowControl/>
              <w:spacing w:line="400" w:lineRule="exact"/>
              <w:contextualSpacing/>
              <w:jc w:val="center"/>
              <w:rPr>
                <w:szCs w:val="21"/>
              </w:rPr>
            </w:pPr>
            <w:r>
              <w:rPr>
                <w:rFonts w:hint="eastAsia"/>
                <w:szCs w:val="21"/>
              </w:rPr>
              <w:t>0</w:t>
            </w:r>
          </w:p>
        </w:tc>
        <w:tc>
          <w:tcPr>
            <w:tcW w:w="1806" w:type="dxa"/>
            <w:vAlign w:val="center"/>
          </w:tcPr>
          <w:p w14:paraId="59989024">
            <w:pPr>
              <w:widowControl/>
              <w:spacing w:line="400" w:lineRule="exact"/>
              <w:contextualSpacing/>
              <w:jc w:val="center"/>
              <w:rPr>
                <w:szCs w:val="21"/>
              </w:rPr>
            </w:pPr>
            <w:r>
              <w:rPr>
                <w:szCs w:val="21"/>
              </w:rPr>
              <w:t>按每台电器报价</w:t>
            </w:r>
          </w:p>
        </w:tc>
      </w:tr>
      <w:tr w14:paraId="46F83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658" w:type="dxa"/>
            <w:shd w:val="clear" w:color="auto" w:fill="auto"/>
            <w:vAlign w:val="center"/>
          </w:tcPr>
          <w:p w14:paraId="14D12687">
            <w:pPr>
              <w:widowControl/>
              <w:spacing w:line="400" w:lineRule="exact"/>
              <w:contextualSpacing/>
              <w:jc w:val="center"/>
              <w:rPr>
                <w:szCs w:val="21"/>
              </w:rPr>
            </w:pPr>
            <w:r>
              <w:rPr>
                <w:szCs w:val="21"/>
              </w:rPr>
              <w:t>9</w:t>
            </w:r>
          </w:p>
        </w:tc>
        <w:tc>
          <w:tcPr>
            <w:tcW w:w="2139" w:type="dxa"/>
            <w:vAlign w:val="center"/>
          </w:tcPr>
          <w:p w14:paraId="6C96D919">
            <w:pPr>
              <w:widowControl/>
              <w:spacing w:line="400" w:lineRule="exact"/>
              <w:contextualSpacing/>
              <w:jc w:val="center"/>
              <w:rPr>
                <w:szCs w:val="21"/>
              </w:rPr>
            </w:pPr>
            <w:r>
              <w:rPr>
                <w:szCs w:val="21"/>
              </w:rPr>
              <w:t>病床、值班床、检查床、抢救床、病员推车（床）焊接、维修</w:t>
            </w:r>
          </w:p>
        </w:tc>
        <w:tc>
          <w:tcPr>
            <w:tcW w:w="1492" w:type="dxa"/>
            <w:vAlign w:val="center"/>
          </w:tcPr>
          <w:p w14:paraId="76950EBB">
            <w:pPr>
              <w:widowControl/>
              <w:spacing w:line="400" w:lineRule="exact"/>
              <w:contextualSpacing/>
              <w:jc w:val="center"/>
              <w:rPr>
                <w:szCs w:val="21"/>
              </w:rPr>
            </w:pPr>
            <w:r>
              <w:rPr>
                <w:szCs w:val="21"/>
              </w:rPr>
              <w:t>/</w:t>
            </w:r>
          </w:p>
        </w:tc>
        <w:tc>
          <w:tcPr>
            <w:tcW w:w="1179" w:type="dxa"/>
            <w:vAlign w:val="center"/>
          </w:tcPr>
          <w:p w14:paraId="07CE5A16">
            <w:pPr>
              <w:widowControl/>
              <w:spacing w:line="400" w:lineRule="exact"/>
              <w:contextualSpacing/>
              <w:jc w:val="center"/>
              <w:rPr>
                <w:szCs w:val="21"/>
              </w:rPr>
            </w:pPr>
          </w:p>
        </w:tc>
        <w:tc>
          <w:tcPr>
            <w:tcW w:w="1481" w:type="dxa"/>
            <w:vAlign w:val="center"/>
          </w:tcPr>
          <w:p w14:paraId="16115DAB">
            <w:pPr>
              <w:widowControl/>
              <w:spacing w:line="400" w:lineRule="exact"/>
              <w:contextualSpacing/>
              <w:jc w:val="center"/>
              <w:rPr>
                <w:szCs w:val="21"/>
              </w:rPr>
            </w:pPr>
            <w:r>
              <w:rPr>
                <w:rFonts w:hint="eastAsia"/>
                <w:szCs w:val="21"/>
              </w:rPr>
              <w:t>78</w:t>
            </w:r>
          </w:p>
        </w:tc>
        <w:tc>
          <w:tcPr>
            <w:tcW w:w="1806" w:type="dxa"/>
            <w:vMerge w:val="restart"/>
            <w:vAlign w:val="center"/>
          </w:tcPr>
          <w:p w14:paraId="216A2BFB">
            <w:pPr>
              <w:widowControl/>
              <w:spacing w:line="400" w:lineRule="exact"/>
              <w:contextualSpacing/>
              <w:jc w:val="center"/>
              <w:rPr>
                <w:szCs w:val="21"/>
              </w:rPr>
            </w:pPr>
            <w:r>
              <w:rPr>
                <w:szCs w:val="21"/>
              </w:rPr>
              <w:t>按张/辆报价</w:t>
            </w:r>
          </w:p>
        </w:tc>
      </w:tr>
      <w:tr w14:paraId="43D70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658" w:type="dxa"/>
            <w:shd w:val="clear" w:color="auto" w:fill="auto"/>
            <w:vAlign w:val="center"/>
          </w:tcPr>
          <w:p w14:paraId="48AB229E">
            <w:pPr>
              <w:widowControl/>
              <w:spacing w:line="400" w:lineRule="exact"/>
              <w:contextualSpacing/>
              <w:jc w:val="center"/>
              <w:rPr>
                <w:szCs w:val="21"/>
              </w:rPr>
            </w:pPr>
            <w:r>
              <w:rPr>
                <w:szCs w:val="21"/>
              </w:rPr>
              <w:t>10</w:t>
            </w:r>
          </w:p>
        </w:tc>
        <w:tc>
          <w:tcPr>
            <w:tcW w:w="2139" w:type="dxa"/>
            <w:vAlign w:val="center"/>
          </w:tcPr>
          <w:p w14:paraId="47AE0AF6">
            <w:pPr>
              <w:widowControl/>
              <w:spacing w:line="400" w:lineRule="exact"/>
              <w:contextualSpacing/>
              <w:jc w:val="center"/>
              <w:rPr>
                <w:szCs w:val="21"/>
              </w:rPr>
            </w:pPr>
            <w:r>
              <w:rPr>
                <w:szCs w:val="21"/>
              </w:rPr>
              <w:t>不锈钢类：推车、治疗车、护理车、治疗柜等焊接、维修</w:t>
            </w:r>
          </w:p>
        </w:tc>
        <w:tc>
          <w:tcPr>
            <w:tcW w:w="1492" w:type="dxa"/>
            <w:vAlign w:val="center"/>
          </w:tcPr>
          <w:p w14:paraId="46E91308">
            <w:pPr>
              <w:widowControl/>
              <w:spacing w:line="400" w:lineRule="exact"/>
              <w:contextualSpacing/>
              <w:jc w:val="center"/>
              <w:rPr>
                <w:szCs w:val="21"/>
              </w:rPr>
            </w:pPr>
            <w:r>
              <w:rPr>
                <w:szCs w:val="21"/>
              </w:rPr>
              <w:t>/</w:t>
            </w:r>
          </w:p>
        </w:tc>
        <w:tc>
          <w:tcPr>
            <w:tcW w:w="1179" w:type="dxa"/>
            <w:vAlign w:val="center"/>
          </w:tcPr>
          <w:p w14:paraId="70B30D3E">
            <w:pPr>
              <w:widowControl/>
              <w:spacing w:line="400" w:lineRule="exact"/>
              <w:contextualSpacing/>
              <w:jc w:val="center"/>
              <w:rPr>
                <w:szCs w:val="21"/>
              </w:rPr>
            </w:pPr>
          </w:p>
        </w:tc>
        <w:tc>
          <w:tcPr>
            <w:tcW w:w="1481" w:type="dxa"/>
            <w:vAlign w:val="center"/>
          </w:tcPr>
          <w:p w14:paraId="6BEEA641">
            <w:pPr>
              <w:widowControl/>
              <w:spacing w:line="400" w:lineRule="exact"/>
              <w:contextualSpacing/>
              <w:jc w:val="center"/>
              <w:rPr>
                <w:szCs w:val="21"/>
              </w:rPr>
            </w:pPr>
            <w:r>
              <w:rPr>
                <w:rFonts w:hint="eastAsia"/>
                <w:szCs w:val="21"/>
              </w:rPr>
              <w:t>6</w:t>
            </w:r>
          </w:p>
        </w:tc>
        <w:tc>
          <w:tcPr>
            <w:tcW w:w="1806" w:type="dxa"/>
            <w:vMerge w:val="continue"/>
            <w:vAlign w:val="center"/>
          </w:tcPr>
          <w:p w14:paraId="69541BB9">
            <w:pPr>
              <w:widowControl/>
              <w:spacing w:line="400" w:lineRule="exact"/>
              <w:contextualSpacing/>
              <w:jc w:val="center"/>
              <w:rPr>
                <w:szCs w:val="21"/>
              </w:rPr>
            </w:pPr>
          </w:p>
        </w:tc>
      </w:tr>
      <w:tr w14:paraId="5AC44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658" w:type="dxa"/>
            <w:vAlign w:val="center"/>
          </w:tcPr>
          <w:p w14:paraId="63063D2D">
            <w:pPr>
              <w:widowControl/>
              <w:spacing w:line="400" w:lineRule="exact"/>
              <w:contextualSpacing/>
              <w:jc w:val="center"/>
              <w:rPr>
                <w:szCs w:val="21"/>
              </w:rPr>
            </w:pPr>
            <w:r>
              <w:rPr>
                <w:szCs w:val="21"/>
              </w:rPr>
              <w:t>1</w:t>
            </w:r>
            <w:r>
              <w:rPr>
                <w:rFonts w:hint="eastAsia"/>
                <w:szCs w:val="21"/>
              </w:rPr>
              <w:t>1</w:t>
            </w:r>
          </w:p>
        </w:tc>
        <w:tc>
          <w:tcPr>
            <w:tcW w:w="2139" w:type="dxa"/>
            <w:vAlign w:val="center"/>
          </w:tcPr>
          <w:p w14:paraId="09067DF7">
            <w:pPr>
              <w:widowControl/>
              <w:spacing w:line="400" w:lineRule="exact"/>
              <w:contextualSpacing/>
              <w:jc w:val="center"/>
              <w:rPr>
                <w:szCs w:val="21"/>
              </w:rPr>
            </w:pPr>
            <w:r>
              <w:rPr>
                <w:szCs w:val="21"/>
              </w:rPr>
              <w:t>桌、椅、板凳、普通推车等焊接、维修</w:t>
            </w:r>
          </w:p>
        </w:tc>
        <w:tc>
          <w:tcPr>
            <w:tcW w:w="1492" w:type="dxa"/>
            <w:vAlign w:val="center"/>
          </w:tcPr>
          <w:p w14:paraId="2CD351BD">
            <w:pPr>
              <w:widowControl/>
              <w:spacing w:line="400" w:lineRule="exact"/>
              <w:contextualSpacing/>
              <w:jc w:val="center"/>
              <w:rPr>
                <w:szCs w:val="21"/>
              </w:rPr>
            </w:pPr>
            <w:r>
              <w:rPr>
                <w:szCs w:val="21"/>
              </w:rPr>
              <w:t>/</w:t>
            </w:r>
          </w:p>
        </w:tc>
        <w:tc>
          <w:tcPr>
            <w:tcW w:w="1179" w:type="dxa"/>
            <w:vAlign w:val="center"/>
          </w:tcPr>
          <w:p w14:paraId="0317B1E1">
            <w:pPr>
              <w:widowControl/>
              <w:spacing w:line="400" w:lineRule="exact"/>
              <w:contextualSpacing/>
              <w:jc w:val="center"/>
              <w:rPr>
                <w:szCs w:val="21"/>
              </w:rPr>
            </w:pPr>
          </w:p>
        </w:tc>
        <w:tc>
          <w:tcPr>
            <w:tcW w:w="1481" w:type="dxa"/>
            <w:vAlign w:val="center"/>
          </w:tcPr>
          <w:p w14:paraId="409B9CB0">
            <w:pPr>
              <w:widowControl/>
              <w:spacing w:line="400" w:lineRule="exact"/>
              <w:contextualSpacing/>
              <w:jc w:val="center"/>
              <w:rPr>
                <w:szCs w:val="21"/>
              </w:rPr>
            </w:pPr>
            <w:r>
              <w:rPr>
                <w:rFonts w:hint="eastAsia"/>
                <w:szCs w:val="21"/>
              </w:rPr>
              <w:t>13</w:t>
            </w:r>
          </w:p>
        </w:tc>
        <w:tc>
          <w:tcPr>
            <w:tcW w:w="1806" w:type="dxa"/>
            <w:vMerge w:val="continue"/>
            <w:vAlign w:val="center"/>
          </w:tcPr>
          <w:p w14:paraId="0C4FA1D6">
            <w:pPr>
              <w:widowControl/>
              <w:spacing w:line="400" w:lineRule="exact"/>
              <w:contextualSpacing/>
              <w:jc w:val="center"/>
              <w:rPr>
                <w:szCs w:val="21"/>
              </w:rPr>
            </w:pPr>
          </w:p>
        </w:tc>
      </w:tr>
      <w:tr w14:paraId="03A1D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5468" w:type="dxa"/>
            <w:gridSpan w:val="4"/>
            <w:vAlign w:val="center"/>
          </w:tcPr>
          <w:p w14:paraId="6DA2BEE3">
            <w:pPr>
              <w:widowControl/>
              <w:spacing w:line="400" w:lineRule="exact"/>
              <w:contextualSpacing/>
              <w:jc w:val="center"/>
              <w:rPr>
                <w:rFonts w:hint="eastAsia" w:eastAsiaTheme="minorEastAsia"/>
                <w:szCs w:val="21"/>
                <w:lang w:eastAsia="zh-CN"/>
              </w:rPr>
            </w:pPr>
            <w:r>
              <w:rPr>
                <w:rFonts w:hint="eastAsia"/>
                <w:szCs w:val="21"/>
                <w:lang w:eastAsia="zh-CN"/>
              </w:rPr>
              <w:t>总价（元</w:t>
            </w:r>
            <w:r>
              <w:rPr>
                <w:rFonts w:hint="eastAsia"/>
                <w:szCs w:val="21"/>
                <w:lang w:val="en-US" w:eastAsia="zh-CN"/>
              </w:rPr>
              <w:t>/月</w:t>
            </w:r>
            <w:r>
              <w:rPr>
                <w:rFonts w:hint="eastAsia"/>
                <w:szCs w:val="21"/>
                <w:lang w:eastAsia="zh-CN"/>
              </w:rPr>
              <w:t>）</w:t>
            </w:r>
          </w:p>
        </w:tc>
        <w:tc>
          <w:tcPr>
            <w:tcW w:w="3287" w:type="dxa"/>
            <w:gridSpan w:val="2"/>
            <w:vAlign w:val="center"/>
          </w:tcPr>
          <w:p w14:paraId="74048B90">
            <w:pPr>
              <w:widowControl/>
              <w:spacing w:line="400" w:lineRule="exact"/>
              <w:contextualSpacing/>
              <w:jc w:val="center"/>
              <w:rPr>
                <w:szCs w:val="21"/>
              </w:rPr>
            </w:pPr>
          </w:p>
        </w:tc>
      </w:tr>
    </w:tbl>
    <w:p w14:paraId="19A4B5F9">
      <w:pPr>
        <w:pStyle w:val="52"/>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jc w:val="both"/>
        <w:textAlignment w:val="auto"/>
        <w:rPr>
          <w:rFonts w:hint="eastAsia" w:ascii="方正仿宋_GBK" w:hAnsi="方正仿宋_GBK" w:eastAsia="方正仿宋_GBK" w:cs="方正仿宋_GBK"/>
        </w:rPr>
      </w:pPr>
    </w:p>
    <w:p w14:paraId="44863382">
      <w:pPr>
        <w:numPr>
          <w:ilvl w:val="0"/>
          <w:numId w:val="0"/>
        </w:numPr>
        <w:spacing w:line="400" w:lineRule="exact"/>
        <w:rPr>
          <w:rFonts w:hint="default"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sz w:val="24"/>
          <w:szCs w:val="24"/>
          <w:shd w:val="clear" w:color="auto" w:fill="auto"/>
        </w:rPr>
        <w:t>备注：</w:t>
      </w:r>
      <w:r>
        <w:rPr>
          <w:rFonts w:hint="eastAsia" w:ascii="宋体" w:hAnsi="宋体" w:eastAsia="宋体" w:cs="宋体"/>
          <w:color w:val="FF0000"/>
          <w:sz w:val="24"/>
          <w:szCs w:val="24"/>
          <w:shd w:val="clear" w:color="auto" w:fill="auto"/>
          <w:lang w:val="en-US" w:eastAsia="zh-CN"/>
        </w:rPr>
        <w:t>1.报价为包干价，</w:t>
      </w:r>
      <w:r>
        <w:rPr>
          <w:rFonts w:hint="default" w:ascii="宋体" w:hAnsi="宋体" w:eastAsia="宋体" w:cs="宋体"/>
          <w:color w:val="FF0000"/>
          <w:sz w:val="24"/>
          <w:szCs w:val="24"/>
          <w:shd w:val="clear" w:color="auto" w:fill="auto"/>
          <w:lang w:val="en-US" w:eastAsia="zh-CN"/>
        </w:rPr>
        <w:t>各项投标报价包含服务费、保险费、税费等各项费用</w:t>
      </w:r>
      <w:r>
        <w:rPr>
          <w:rFonts w:hint="eastAsia" w:ascii="宋体" w:hAnsi="宋体" w:eastAsia="宋体" w:cs="宋体"/>
          <w:color w:val="FF0000"/>
          <w:sz w:val="24"/>
          <w:szCs w:val="24"/>
          <w:shd w:val="clear" w:color="auto" w:fill="auto"/>
          <w:lang w:val="en-US" w:eastAsia="zh-CN"/>
        </w:rPr>
        <w:t>（材料费除外）</w:t>
      </w:r>
      <w:r>
        <w:rPr>
          <w:rFonts w:hint="default" w:ascii="宋体" w:hAnsi="宋体" w:eastAsia="宋体" w:cs="宋体"/>
          <w:color w:val="FF0000"/>
          <w:sz w:val="24"/>
          <w:szCs w:val="24"/>
          <w:shd w:val="clear" w:color="auto" w:fill="auto"/>
          <w:lang w:val="en-US" w:eastAsia="zh-CN"/>
        </w:rPr>
        <w:t>。</w:t>
      </w:r>
    </w:p>
    <w:p w14:paraId="2877A2CA">
      <w:pPr>
        <w:pStyle w:val="52"/>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720" w:firstLineChars="300"/>
        <w:jc w:val="both"/>
        <w:textAlignment w:val="auto"/>
        <w:rPr>
          <w:rFonts w:hint="default"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cs="宋体"/>
          <w:color w:val="000000" w:themeColor="text1"/>
          <w:kern w:val="2"/>
          <w:sz w:val="24"/>
          <w:szCs w:val="24"/>
          <w:shd w:val="clear" w:color="auto" w:fill="auto"/>
          <w:lang w:val="en-US" w:eastAsia="zh-CN" w:bidi="ar-SA"/>
          <w14:textFill>
            <w14:solidFill>
              <w14:schemeClr w14:val="tx1"/>
            </w14:solidFill>
          </w14:textFill>
        </w:rPr>
        <w:t>2.采购人根据此表总价，比选成交供应商</w:t>
      </w:r>
    </w:p>
    <w:p w14:paraId="11D2014B">
      <w:pPr>
        <w:rPr>
          <w:rFonts w:hint="eastAsia" w:ascii="宋体" w:hAnsi="宋体" w:eastAsia="宋体" w:cs="宋体"/>
          <w:b/>
          <w:color w:val="000000" w:themeColor="text1"/>
          <w:shd w:val="clear" w:color="auto" w:fill="auto"/>
          <w14:textFill>
            <w14:solidFill>
              <w14:schemeClr w14:val="tx1"/>
            </w14:solidFill>
          </w14:textFill>
        </w:rPr>
      </w:pPr>
    </w:p>
    <w:p w14:paraId="6E4D0A41">
      <w:pPr>
        <w:rPr>
          <w:rFonts w:hint="eastAsia" w:ascii="宋体" w:hAnsi="宋体" w:eastAsia="宋体" w:cs="宋体"/>
          <w:b/>
          <w:color w:val="000000" w:themeColor="text1"/>
          <w:shd w:val="clear" w:color="auto" w:fill="auto"/>
          <w:lang w:eastAsia="zh-CN"/>
          <w14:textFill>
            <w14:solidFill>
              <w14:schemeClr w14:val="tx1"/>
            </w14:solidFill>
          </w14:textFill>
        </w:rPr>
      </w:pPr>
    </w:p>
    <w:p w14:paraId="18158003">
      <w:pPr>
        <w:rPr>
          <w:rFonts w:hint="eastAsia" w:ascii="宋体" w:hAnsi="宋体" w:eastAsia="宋体" w:cs="宋体"/>
          <w:b/>
          <w:color w:val="000000" w:themeColor="text1"/>
          <w:shd w:val="clear" w:color="auto" w:fill="auto"/>
          <w:lang w:eastAsia="zh-CN"/>
          <w14:textFill>
            <w14:solidFill>
              <w14:schemeClr w14:val="tx1"/>
            </w14:solidFill>
          </w14:textFill>
        </w:rPr>
      </w:pPr>
    </w:p>
    <w:p w14:paraId="694BF444">
      <w:pPr>
        <w:rPr>
          <w:rFonts w:hint="eastAsia" w:ascii="宋体" w:hAnsi="宋体" w:eastAsia="宋体" w:cs="宋体"/>
          <w:b/>
          <w:color w:val="000000" w:themeColor="text1"/>
          <w:shd w:val="clear" w:color="auto" w:fill="auto"/>
          <w:lang w:eastAsia="zh-CN"/>
          <w14:textFill>
            <w14:solidFill>
              <w14:schemeClr w14:val="tx1"/>
            </w14:solidFill>
          </w14:textFill>
        </w:rPr>
      </w:pPr>
    </w:p>
    <w:p w14:paraId="0F596032">
      <w:pPr>
        <w:rPr>
          <w:rFonts w:hint="eastAsia" w:ascii="宋体" w:hAnsi="宋体" w:eastAsia="宋体" w:cs="宋体"/>
          <w:b/>
          <w:color w:val="000000" w:themeColor="text1"/>
          <w:shd w:val="clear" w:color="auto" w:fill="auto"/>
          <w:lang w:eastAsia="zh-CN"/>
          <w14:textFill>
            <w14:solidFill>
              <w14:schemeClr w14:val="tx1"/>
            </w14:solidFill>
          </w14:textFill>
        </w:rPr>
      </w:pPr>
    </w:p>
    <w:p w14:paraId="31FC04B1">
      <w:pPr>
        <w:rPr>
          <w:rFonts w:hint="eastAsia" w:ascii="宋体" w:hAnsi="宋体" w:eastAsia="宋体" w:cs="宋体"/>
          <w:b/>
          <w:color w:val="000000" w:themeColor="text1"/>
          <w:shd w:val="clear" w:color="auto" w:fill="auto"/>
          <w:lang w:eastAsia="zh-CN"/>
          <w14:textFill>
            <w14:solidFill>
              <w14:schemeClr w14:val="tx1"/>
            </w14:solidFill>
          </w14:textFill>
        </w:rPr>
      </w:pPr>
    </w:p>
    <w:p w14:paraId="315C9A04">
      <w:pPr>
        <w:rPr>
          <w:rFonts w:hint="eastAsia" w:ascii="宋体" w:hAnsi="宋体" w:eastAsia="宋体" w:cs="宋体"/>
          <w:b/>
          <w:color w:val="000000" w:themeColor="text1"/>
          <w:shd w:val="clear" w:color="auto" w:fill="auto"/>
          <w:lang w:eastAsia="zh-CN"/>
          <w14:textFill>
            <w14:solidFill>
              <w14:schemeClr w14:val="tx1"/>
            </w14:solidFill>
          </w14:textFill>
        </w:rPr>
      </w:pPr>
    </w:p>
    <w:p w14:paraId="64EF8113">
      <w:pPr>
        <w:rPr>
          <w:rFonts w:hint="eastAsia" w:ascii="宋体" w:hAnsi="宋体" w:eastAsia="宋体" w:cs="宋体"/>
          <w:b/>
          <w:color w:val="000000" w:themeColor="text1"/>
          <w:shd w:val="clear" w:color="auto" w:fill="auto"/>
          <w:lang w:eastAsia="zh-CN"/>
          <w14:textFill>
            <w14:solidFill>
              <w14:schemeClr w14:val="tx1"/>
            </w14:solidFill>
          </w14:textFill>
        </w:rPr>
      </w:pPr>
    </w:p>
    <w:p w14:paraId="29551636">
      <w:pPr>
        <w:rPr>
          <w:rFonts w:hint="eastAsia" w:ascii="宋体" w:hAnsi="宋体" w:eastAsia="宋体" w:cs="宋体"/>
          <w:b/>
          <w:color w:val="000000" w:themeColor="text1"/>
          <w:shd w:val="clear" w:color="auto" w:fill="auto"/>
          <w:lang w:eastAsia="zh-CN"/>
          <w14:textFill>
            <w14:solidFill>
              <w14:schemeClr w14:val="tx1"/>
            </w14:solidFill>
          </w14:textFill>
        </w:rPr>
      </w:pPr>
    </w:p>
    <w:p w14:paraId="57F75A22">
      <w:pPr>
        <w:rPr>
          <w:rFonts w:hint="eastAsia" w:ascii="宋体" w:hAnsi="宋体" w:eastAsia="宋体" w:cs="宋体"/>
          <w:b/>
          <w:color w:val="000000" w:themeColor="text1"/>
          <w:shd w:val="clear" w:color="auto" w:fill="auto"/>
          <w:lang w:eastAsia="zh-CN"/>
          <w14:textFill>
            <w14:solidFill>
              <w14:schemeClr w14:val="tx1"/>
            </w14:solidFill>
          </w14:textFill>
        </w:rPr>
      </w:pPr>
    </w:p>
    <w:p w14:paraId="600CD43F">
      <w:pPr>
        <w:rPr>
          <w:rFonts w:hint="eastAsia" w:ascii="宋体" w:hAnsi="宋体" w:eastAsia="宋体" w:cs="宋体"/>
          <w:b/>
          <w:color w:val="000000" w:themeColor="text1"/>
          <w:shd w:val="clear" w:color="auto" w:fill="auto"/>
          <w:lang w:eastAsia="zh-CN"/>
          <w14:textFill>
            <w14:solidFill>
              <w14:schemeClr w14:val="tx1"/>
            </w14:solidFill>
          </w14:textFill>
        </w:rPr>
      </w:pPr>
    </w:p>
    <w:p w14:paraId="628F80CC">
      <w:pPr>
        <w:rPr>
          <w:rFonts w:hint="eastAsia" w:ascii="宋体" w:hAnsi="宋体" w:eastAsia="宋体" w:cs="宋体"/>
          <w:b/>
          <w:color w:val="000000" w:themeColor="text1"/>
          <w:shd w:val="clear" w:color="auto" w:fill="auto"/>
          <w:lang w:eastAsia="zh-CN"/>
          <w14:textFill>
            <w14:solidFill>
              <w14:schemeClr w14:val="tx1"/>
            </w14:solidFill>
          </w14:textFill>
        </w:rPr>
      </w:pPr>
    </w:p>
    <w:p w14:paraId="3F0A63DB">
      <w:pPr>
        <w:rPr>
          <w:rFonts w:hint="eastAsia" w:ascii="宋体" w:hAnsi="宋体" w:eastAsia="宋体" w:cs="宋体"/>
          <w:b/>
          <w:color w:val="000000" w:themeColor="text1"/>
          <w:shd w:val="clear" w:color="auto" w:fill="auto"/>
          <w:lang w:eastAsia="zh-CN"/>
          <w14:textFill>
            <w14:solidFill>
              <w14:schemeClr w14:val="tx1"/>
            </w14:solidFill>
          </w14:textFill>
        </w:rPr>
      </w:pPr>
    </w:p>
    <w:p w14:paraId="39660B8C">
      <w:pPr>
        <w:rPr>
          <w:rFonts w:hint="eastAsia" w:ascii="宋体" w:hAnsi="宋体" w:eastAsia="宋体" w:cs="宋体"/>
          <w:b/>
          <w:color w:val="000000" w:themeColor="text1"/>
          <w:shd w:val="clear" w:color="auto" w:fill="auto"/>
          <w:lang w:eastAsia="zh-CN"/>
          <w14:textFill>
            <w14:solidFill>
              <w14:schemeClr w14:val="tx1"/>
            </w14:solidFill>
          </w14:textFill>
        </w:rPr>
      </w:pPr>
    </w:p>
    <w:p w14:paraId="487C3E14">
      <w:pPr>
        <w:rPr>
          <w:rFonts w:hint="eastAsia" w:ascii="宋体" w:hAnsi="宋体" w:eastAsia="宋体" w:cs="宋体"/>
          <w:b/>
          <w:color w:val="000000" w:themeColor="text1"/>
          <w:shd w:val="clear" w:color="auto" w:fill="auto"/>
          <w:lang w:eastAsia="zh-CN"/>
          <w14:textFill>
            <w14:solidFill>
              <w14:schemeClr w14:val="tx1"/>
            </w14:solidFill>
          </w14:textFill>
        </w:rPr>
      </w:pPr>
    </w:p>
    <w:p w14:paraId="265F6F85">
      <w:pPr>
        <w:rPr>
          <w:rFonts w:hint="eastAsia" w:ascii="宋体" w:hAnsi="宋体" w:eastAsia="宋体" w:cs="宋体"/>
          <w:b/>
          <w:color w:val="000000" w:themeColor="text1"/>
          <w:shd w:val="clear" w:color="auto" w:fill="auto"/>
          <w:lang w:eastAsia="zh-CN"/>
          <w14:textFill>
            <w14:solidFill>
              <w14:schemeClr w14:val="tx1"/>
            </w14:solidFill>
          </w14:textFill>
        </w:rPr>
      </w:pPr>
    </w:p>
    <w:p w14:paraId="07022ACC">
      <w:pPr>
        <w:rPr>
          <w:rFonts w:hint="eastAsia" w:ascii="宋体" w:hAnsi="宋体" w:eastAsia="宋体" w:cs="宋体"/>
          <w:b/>
          <w:color w:val="000000" w:themeColor="text1"/>
          <w:shd w:val="clear" w:color="auto" w:fill="auto"/>
          <w:lang w:eastAsia="zh-CN"/>
          <w14:textFill>
            <w14:solidFill>
              <w14:schemeClr w14:val="tx1"/>
            </w14:solidFill>
          </w14:textFill>
        </w:rPr>
      </w:pPr>
    </w:p>
    <w:p w14:paraId="62435432">
      <w:pPr>
        <w:rPr>
          <w:rFonts w:hint="eastAsia" w:ascii="宋体" w:hAnsi="宋体" w:eastAsia="宋体" w:cs="宋体"/>
          <w:b/>
          <w:color w:val="000000" w:themeColor="text1"/>
          <w:shd w:val="clear" w:color="auto" w:fill="auto"/>
          <w:lang w:eastAsia="zh-CN"/>
          <w14:textFill>
            <w14:solidFill>
              <w14:schemeClr w14:val="tx1"/>
            </w14:solidFill>
          </w14:textFill>
        </w:rPr>
      </w:pPr>
    </w:p>
    <w:p w14:paraId="49DE9DBD">
      <w:pPr>
        <w:rPr>
          <w:rFonts w:hint="eastAsia" w:ascii="宋体" w:hAnsi="宋体" w:eastAsia="宋体" w:cs="宋体"/>
          <w:b/>
          <w:color w:val="000000" w:themeColor="text1"/>
          <w:shd w:val="clear" w:color="auto" w:fill="auto"/>
          <w:lang w:eastAsia="zh-CN"/>
          <w14:textFill>
            <w14:solidFill>
              <w14:schemeClr w14:val="tx1"/>
            </w14:solidFill>
          </w14:textFill>
        </w:rPr>
      </w:pPr>
    </w:p>
    <w:p w14:paraId="0F5D92A8">
      <w:pPr>
        <w:rPr>
          <w:rFonts w:hint="eastAsia" w:ascii="宋体" w:hAnsi="宋体" w:eastAsia="宋体" w:cs="宋体"/>
          <w:b/>
          <w:color w:val="000000" w:themeColor="text1"/>
          <w:shd w:val="clear" w:color="auto" w:fill="auto"/>
          <w:lang w:eastAsia="zh-CN"/>
          <w14:textFill>
            <w14:solidFill>
              <w14:schemeClr w14:val="tx1"/>
            </w14:solidFill>
          </w14:textFill>
        </w:rPr>
      </w:pPr>
    </w:p>
    <w:p w14:paraId="6482364F">
      <w:pPr>
        <w:rPr>
          <w:rFonts w:hint="eastAsia" w:ascii="宋体" w:hAnsi="宋体" w:eastAsia="宋体" w:cs="宋体"/>
          <w:b/>
          <w:color w:val="000000" w:themeColor="text1"/>
          <w:shd w:val="clear" w:color="auto" w:fill="auto"/>
          <w:lang w:eastAsia="zh-CN"/>
          <w14:textFill>
            <w14:solidFill>
              <w14:schemeClr w14:val="tx1"/>
            </w14:solidFill>
          </w14:textFill>
        </w:rPr>
      </w:pPr>
    </w:p>
    <w:p w14:paraId="064185F5">
      <w:pPr>
        <w:rPr>
          <w:rFonts w:hint="eastAsia" w:ascii="宋体" w:hAnsi="宋体" w:eastAsia="宋体" w:cs="宋体"/>
          <w:b/>
          <w:color w:val="000000" w:themeColor="text1"/>
          <w:shd w:val="clear" w:color="auto" w:fill="auto"/>
          <w:lang w:eastAsia="zh-CN"/>
          <w14:textFill>
            <w14:solidFill>
              <w14:schemeClr w14:val="tx1"/>
            </w14:solidFill>
          </w14:textFill>
        </w:rPr>
      </w:pPr>
    </w:p>
    <w:p w14:paraId="5F30B3BD">
      <w:pPr>
        <w:rPr>
          <w:rFonts w:hint="eastAsia" w:ascii="宋体" w:hAnsi="宋体" w:eastAsia="宋体" w:cs="宋体"/>
          <w:b/>
          <w:color w:val="000000" w:themeColor="text1"/>
          <w:shd w:val="clear" w:color="auto" w:fill="auto"/>
          <w:lang w:eastAsia="zh-CN"/>
          <w14:textFill>
            <w14:solidFill>
              <w14:schemeClr w14:val="tx1"/>
            </w14:solidFill>
          </w14:textFill>
        </w:rPr>
      </w:pPr>
    </w:p>
    <w:p w14:paraId="2794DD4C">
      <w:pPr>
        <w:rPr>
          <w:rFonts w:hint="eastAsia" w:ascii="宋体" w:hAnsi="宋体" w:eastAsia="宋体" w:cs="宋体"/>
          <w:b/>
          <w:color w:val="000000" w:themeColor="text1"/>
          <w:shd w:val="clear" w:color="auto" w:fill="auto"/>
          <w:lang w:eastAsia="zh-CN"/>
          <w14:textFill>
            <w14:solidFill>
              <w14:schemeClr w14:val="tx1"/>
            </w14:solidFill>
          </w14:textFill>
        </w:rPr>
      </w:pPr>
    </w:p>
    <w:p w14:paraId="58D21E82">
      <w:pPr>
        <w:rPr>
          <w:rFonts w:hint="eastAsia" w:ascii="宋体" w:hAnsi="宋体" w:eastAsia="宋体" w:cs="宋体"/>
          <w:b/>
          <w:color w:val="000000" w:themeColor="text1"/>
          <w:shd w:val="clear" w:color="auto" w:fill="auto"/>
          <w:lang w:eastAsia="zh-CN"/>
          <w14:textFill>
            <w14:solidFill>
              <w14:schemeClr w14:val="tx1"/>
            </w14:solidFill>
          </w14:textFill>
        </w:rPr>
      </w:pPr>
    </w:p>
    <w:p w14:paraId="4E852679">
      <w:pPr>
        <w:rPr>
          <w:rFonts w:hint="eastAsia" w:ascii="宋体" w:hAnsi="宋体" w:eastAsia="宋体" w:cs="宋体"/>
          <w:b/>
          <w:color w:val="000000" w:themeColor="text1"/>
          <w:shd w:val="clear" w:color="auto" w:fill="auto"/>
          <w:lang w:eastAsia="zh-CN"/>
          <w14:textFill>
            <w14:solidFill>
              <w14:schemeClr w14:val="tx1"/>
            </w14:solidFill>
          </w14:textFill>
        </w:rPr>
      </w:pPr>
    </w:p>
    <w:p w14:paraId="7EB23F2F">
      <w:pPr>
        <w:rPr>
          <w:rFonts w:hint="eastAsia" w:ascii="宋体" w:hAnsi="宋体" w:eastAsia="宋体" w:cs="宋体"/>
          <w:b/>
          <w:color w:val="000000" w:themeColor="text1"/>
          <w:shd w:val="clear" w:color="auto" w:fill="auto"/>
          <w:lang w:eastAsia="zh-CN"/>
          <w14:textFill>
            <w14:solidFill>
              <w14:schemeClr w14:val="tx1"/>
            </w14:solidFill>
          </w14:textFill>
        </w:rPr>
      </w:pPr>
    </w:p>
    <w:p w14:paraId="1CACFC36">
      <w:pPr>
        <w:rPr>
          <w:rFonts w:hint="eastAsia" w:ascii="宋体" w:hAnsi="宋体" w:eastAsia="宋体" w:cs="宋体"/>
          <w:b/>
          <w:color w:val="000000" w:themeColor="text1"/>
          <w:shd w:val="clear" w:color="auto" w:fill="auto"/>
          <w:lang w:eastAsia="zh-CN"/>
          <w14:textFill>
            <w14:solidFill>
              <w14:schemeClr w14:val="tx1"/>
            </w14:solidFill>
          </w14:textFill>
        </w:rPr>
      </w:pPr>
    </w:p>
    <w:p w14:paraId="033C21E1">
      <w:pPr>
        <w:rPr>
          <w:rFonts w:hint="eastAsia" w:ascii="宋体" w:hAnsi="宋体" w:eastAsia="宋体" w:cs="宋体"/>
          <w:b/>
          <w:color w:val="000000" w:themeColor="text1"/>
          <w:shd w:val="clear" w:color="auto" w:fill="auto"/>
          <w:lang w:eastAsia="zh-CN"/>
          <w14:textFill>
            <w14:solidFill>
              <w14:schemeClr w14:val="tx1"/>
            </w14:solidFill>
          </w14:textFill>
        </w:rPr>
      </w:pPr>
    </w:p>
    <w:p w14:paraId="38D4753E">
      <w:pPr>
        <w:rPr>
          <w:rFonts w:hint="eastAsia" w:ascii="宋体" w:hAnsi="宋体" w:eastAsia="宋体" w:cs="宋体"/>
          <w:b/>
          <w:color w:val="000000" w:themeColor="text1"/>
          <w:shd w:val="clear" w:color="auto" w:fill="auto"/>
          <w:lang w:eastAsia="zh-CN"/>
          <w14:textFill>
            <w14:solidFill>
              <w14:schemeClr w14:val="tx1"/>
            </w14:solidFill>
          </w14:textFill>
        </w:rPr>
      </w:pPr>
    </w:p>
    <w:p w14:paraId="41C34B16">
      <w:pPr>
        <w:rPr>
          <w:rFonts w:hint="eastAsia" w:ascii="宋体" w:hAnsi="宋体" w:eastAsia="宋体" w:cs="宋体"/>
          <w:b/>
          <w:color w:val="000000" w:themeColor="text1"/>
          <w:shd w:val="clear" w:color="auto" w:fill="auto"/>
          <w:lang w:eastAsia="zh-CN"/>
          <w14:textFill>
            <w14:solidFill>
              <w14:schemeClr w14:val="tx1"/>
            </w14:solidFill>
          </w14:textFill>
        </w:rPr>
      </w:pPr>
    </w:p>
    <w:p w14:paraId="5C13DBBD">
      <w:pPr>
        <w:rPr>
          <w:rFonts w:hint="eastAsia" w:ascii="宋体" w:hAnsi="宋体" w:eastAsia="宋体" w:cs="宋体"/>
          <w:b/>
          <w:color w:val="000000" w:themeColor="text1"/>
          <w:shd w:val="clear" w:color="auto" w:fill="auto"/>
          <w:lang w:eastAsia="zh-CN"/>
          <w14:textFill>
            <w14:solidFill>
              <w14:schemeClr w14:val="tx1"/>
            </w14:solidFill>
          </w14:textFill>
        </w:rPr>
      </w:pPr>
    </w:p>
    <w:p w14:paraId="65CF7C38">
      <w:pPr>
        <w:rPr>
          <w:rFonts w:hint="eastAsia" w:ascii="宋体" w:hAnsi="宋体" w:eastAsia="宋体" w:cs="宋体"/>
          <w:b/>
          <w:color w:val="000000" w:themeColor="text1"/>
          <w:shd w:val="clear" w:color="auto" w:fill="auto"/>
          <w:lang w:eastAsia="zh-CN"/>
          <w14:textFill>
            <w14:solidFill>
              <w14:schemeClr w14:val="tx1"/>
            </w14:solidFill>
          </w14:textFill>
        </w:rPr>
      </w:pPr>
    </w:p>
    <w:p w14:paraId="4F4BEEF3">
      <w:pPr>
        <w:rPr>
          <w:rFonts w:hint="eastAsia" w:ascii="宋体" w:hAnsi="宋体" w:eastAsia="宋体" w:cs="宋体"/>
          <w:b/>
          <w:color w:val="000000" w:themeColor="text1"/>
          <w:shd w:val="clear" w:color="auto" w:fill="auto"/>
          <w:lang w:eastAsia="zh-CN"/>
          <w14:textFill>
            <w14:solidFill>
              <w14:schemeClr w14:val="tx1"/>
            </w14:solidFill>
          </w14:textFill>
        </w:rPr>
      </w:pPr>
    </w:p>
    <w:p w14:paraId="2B477F7F">
      <w:pPr>
        <w:rPr>
          <w:rFonts w:hint="eastAsia" w:ascii="宋体" w:hAnsi="宋体" w:eastAsia="宋体" w:cs="宋体"/>
          <w:b/>
          <w:color w:val="000000" w:themeColor="text1"/>
          <w:shd w:val="clear" w:color="auto" w:fill="auto"/>
          <w:lang w:eastAsia="zh-CN"/>
          <w14:textFill>
            <w14:solidFill>
              <w14:schemeClr w14:val="tx1"/>
            </w14:solidFill>
          </w14:textFill>
        </w:rPr>
      </w:pPr>
    </w:p>
    <w:p w14:paraId="493ED508">
      <w:pPr>
        <w:rPr>
          <w:rFonts w:hint="eastAsia" w:ascii="宋体" w:hAnsi="宋体" w:eastAsia="宋体" w:cs="宋体"/>
          <w:b/>
          <w:color w:val="000000" w:themeColor="text1"/>
          <w:shd w:val="clear" w:color="auto" w:fill="auto"/>
          <w:lang w:eastAsia="zh-CN"/>
          <w14:textFill>
            <w14:solidFill>
              <w14:schemeClr w14:val="tx1"/>
            </w14:solidFill>
          </w14:textFill>
        </w:rPr>
      </w:pPr>
    </w:p>
    <w:p w14:paraId="1E53D83B">
      <w:pPr>
        <w:rPr>
          <w:rFonts w:hint="eastAsia" w:ascii="宋体" w:hAnsi="宋体" w:eastAsia="宋体" w:cs="宋体"/>
          <w:b/>
          <w:color w:val="000000" w:themeColor="text1"/>
          <w:shd w:val="clear" w:color="auto" w:fill="auto"/>
          <w:lang w:eastAsia="zh-CN"/>
          <w14:textFill>
            <w14:solidFill>
              <w14:schemeClr w14:val="tx1"/>
            </w14:solidFill>
          </w14:textFill>
        </w:rPr>
      </w:pPr>
    </w:p>
    <w:p w14:paraId="7EC594A8">
      <w:pPr>
        <w:rPr>
          <w:rFonts w:hint="eastAsia" w:ascii="宋体" w:hAnsi="宋体" w:eastAsia="宋体" w:cs="宋体"/>
          <w:b/>
          <w:color w:val="000000" w:themeColor="text1"/>
          <w:shd w:val="clear" w:color="auto" w:fill="auto"/>
          <w:lang w:eastAsia="zh-CN"/>
          <w14:textFill>
            <w14:solidFill>
              <w14:schemeClr w14:val="tx1"/>
            </w14:solidFill>
          </w14:textFill>
        </w:rPr>
      </w:pPr>
    </w:p>
    <w:p w14:paraId="742E79E6">
      <w:pPr>
        <w:rPr>
          <w:rFonts w:hint="eastAsia" w:ascii="宋体" w:hAnsi="宋体" w:eastAsia="宋体" w:cs="宋体"/>
          <w:b/>
          <w:color w:val="000000" w:themeColor="text1"/>
          <w:shd w:val="clear" w:color="auto" w:fill="auto"/>
          <w:lang w:eastAsia="zh-CN"/>
          <w14:textFill>
            <w14:solidFill>
              <w14:schemeClr w14:val="tx1"/>
            </w14:solidFill>
          </w14:textFill>
        </w:rPr>
      </w:pPr>
    </w:p>
    <w:p w14:paraId="14698B39">
      <w:pPr>
        <w:rPr>
          <w:rFonts w:hint="eastAsia" w:ascii="宋体" w:hAnsi="宋体" w:eastAsia="宋体" w:cs="宋体"/>
          <w:b/>
          <w:color w:val="000000" w:themeColor="text1"/>
          <w:shd w:val="clear" w:color="auto" w:fill="auto"/>
          <w:lang w:eastAsia="zh-CN"/>
          <w14:textFill>
            <w14:solidFill>
              <w14:schemeClr w14:val="tx1"/>
            </w14:solidFill>
          </w14:textFill>
        </w:rPr>
      </w:pPr>
    </w:p>
    <w:p w14:paraId="683EC413">
      <w:pPr>
        <w:rPr>
          <w:rFonts w:hint="eastAsia" w:ascii="宋体" w:hAnsi="宋体" w:eastAsia="宋体" w:cs="宋体"/>
          <w:b/>
          <w:color w:val="000000" w:themeColor="text1"/>
          <w:shd w:val="clear" w:color="auto" w:fill="auto"/>
          <w:lang w:eastAsia="zh-CN"/>
          <w14:textFill>
            <w14:solidFill>
              <w14:schemeClr w14:val="tx1"/>
            </w14:solidFill>
          </w14:textFill>
        </w:rPr>
      </w:pPr>
    </w:p>
    <w:p w14:paraId="763D9F8B">
      <w:pPr>
        <w:rPr>
          <w:rFonts w:hint="eastAsia" w:ascii="宋体" w:hAnsi="宋体" w:eastAsia="宋体" w:cs="宋体"/>
          <w:b/>
          <w:color w:val="000000" w:themeColor="text1"/>
          <w:shd w:val="clear" w:color="auto" w:fill="auto"/>
          <w:lang w:eastAsia="zh-CN"/>
          <w14:textFill>
            <w14:solidFill>
              <w14:schemeClr w14:val="tx1"/>
            </w14:solidFill>
          </w14:textFill>
        </w:rPr>
      </w:pPr>
    </w:p>
    <w:p w14:paraId="5EF1D039">
      <w:pPr>
        <w:rPr>
          <w:rFonts w:hint="eastAsia" w:ascii="宋体" w:hAnsi="宋体" w:eastAsia="宋体" w:cs="宋体"/>
          <w:b/>
          <w:color w:val="000000" w:themeColor="text1"/>
          <w:shd w:val="clear" w:color="auto" w:fill="auto"/>
          <w:lang w:eastAsia="zh-CN"/>
          <w14:textFill>
            <w14:solidFill>
              <w14:schemeClr w14:val="tx1"/>
            </w14:solidFill>
          </w14:textFill>
        </w:rPr>
      </w:pPr>
    </w:p>
    <w:p w14:paraId="318B90F2">
      <w:pPr>
        <w:rPr>
          <w:rFonts w:hint="eastAsia" w:ascii="宋体" w:hAnsi="宋体" w:eastAsia="宋体" w:cs="宋体"/>
          <w:b/>
          <w:color w:val="000000" w:themeColor="text1"/>
          <w:shd w:val="clear" w:color="auto" w:fill="auto"/>
          <w:lang w:eastAsia="zh-CN"/>
          <w14:textFill>
            <w14:solidFill>
              <w14:schemeClr w14:val="tx1"/>
            </w14:solidFill>
          </w14:textFill>
        </w:rPr>
      </w:pPr>
    </w:p>
    <w:p w14:paraId="0E705F86">
      <w:pPr>
        <w:rPr>
          <w:rFonts w:hint="eastAsia" w:ascii="宋体" w:hAnsi="宋体" w:eastAsia="宋体" w:cs="宋体"/>
          <w:b/>
          <w:color w:val="000000" w:themeColor="text1"/>
          <w:shd w:val="clear" w:color="auto" w:fill="auto"/>
          <w:lang w:eastAsia="zh-CN"/>
          <w14:textFill>
            <w14:solidFill>
              <w14:schemeClr w14:val="tx1"/>
            </w14:solidFill>
          </w14:textFill>
        </w:rPr>
      </w:pPr>
    </w:p>
    <w:p w14:paraId="6A007E37">
      <w:pPr>
        <w:rPr>
          <w:rFonts w:hint="eastAsia" w:ascii="宋体" w:hAnsi="宋体" w:eastAsia="宋体" w:cs="宋体"/>
          <w:b/>
          <w:color w:val="000000" w:themeColor="text1"/>
          <w:shd w:val="clear" w:color="auto" w:fill="auto"/>
          <w:lang w:eastAsia="zh-CN"/>
          <w14:textFill>
            <w14:solidFill>
              <w14:schemeClr w14:val="tx1"/>
            </w14:solidFill>
          </w14:textFill>
        </w:rPr>
      </w:pPr>
    </w:p>
    <w:p w14:paraId="05B110B1">
      <w:pPr>
        <w:rPr>
          <w:rFonts w:hint="eastAsia" w:ascii="宋体" w:hAnsi="宋体" w:eastAsia="宋体" w:cs="宋体"/>
          <w:b/>
          <w:color w:val="000000" w:themeColor="text1"/>
          <w:shd w:val="clear" w:color="auto" w:fill="auto"/>
          <w:lang w:eastAsia="zh-CN"/>
          <w14:textFill>
            <w14:solidFill>
              <w14:schemeClr w14:val="tx1"/>
            </w14:solidFill>
          </w14:textFill>
        </w:rPr>
      </w:pPr>
    </w:p>
    <w:p w14:paraId="5227B9C6">
      <w:pPr>
        <w:rPr>
          <w:rFonts w:hint="eastAsia" w:ascii="宋体" w:hAnsi="宋体" w:eastAsia="宋体" w:cs="宋体"/>
          <w:b/>
          <w:color w:val="000000" w:themeColor="text1"/>
          <w:shd w:val="clear" w:color="auto" w:fill="auto"/>
          <w:lang w:eastAsia="zh-CN"/>
          <w14:textFill>
            <w14:solidFill>
              <w14:schemeClr w14:val="tx1"/>
            </w14:solidFill>
          </w14:textFill>
        </w:rPr>
      </w:pPr>
    </w:p>
    <w:p w14:paraId="39E11B09">
      <w:pPr>
        <w:rPr>
          <w:rFonts w:hint="eastAsia" w:ascii="宋体" w:hAnsi="宋体" w:eastAsia="宋体" w:cs="宋体"/>
          <w:b/>
          <w:color w:val="000000" w:themeColor="text1"/>
          <w:shd w:val="clear" w:color="auto" w:fill="auto"/>
          <w:lang w:eastAsia="zh-CN"/>
          <w14:textFill>
            <w14:solidFill>
              <w14:schemeClr w14:val="tx1"/>
            </w14:solidFill>
          </w14:textFill>
        </w:rPr>
      </w:pPr>
    </w:p>
    <w:p w14:paraId="7062C98E">
      <w:pPr>
        <w:rPr>
          <w:rFonts w:hint="eastAsia" w:ascii="宋体" w:hAnsi="宋体" w:eastAsia="宋体" w:cs="宋体"/>
          <w:b/>
          <w:color w:val="000000" w:themeColor="text1"/>
          <w:shd w:val="clear" w:color="auto" w:fill="auto"/>
          <w:lang w:eastAsia="zh-CN"/>
          <w14:textFill>
            <w14:solidFill>
              <w14:schemeClr w14:val="tx1"/>
            </w14:solidFill>
          </w14:textFill>
        </w:rPr>
      </w:pPr>
    </w:p>
    <w:p w14:paraId="330268A8">
      <w:pPr>
        <w:rPr>
          <w:rFonts w:hint="eastAsia" w:ascii="宋体" w:hAnsi="宋体" w:eastAsia="宋体" w:cs="宋体"/>
          <w:b/>
          <w:color w:val="000000" w:themeColor="text1"/>
          <w:shd w:val="clear" w:color="auto" w:fill="auto"/>
          <w:lang w:eastAsia="zh-CN"/>
          <w14:textFill>
            <w14:solidFill>
              <w14:schemeClr w14:val="tx1"/>
            </w14:solidFill>
          </w14:textFill>
        </w:rPr>
      </w:pPr>
    </w:p>
    <w:p w14:paraId="1B4CFAE5">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43"/>
      <w:bookmarkEnd w:id="144"/>
      <w:bookmarkEnd w:id="145"/>
      <w:bookmarkEnd w:id="146"/>
      <w:bookmarkEnd w:id="147"/>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48" w:name="_Toc313888362"/>
      <w:bookmarkStart w:id="149" w:name="_Toc342913421"/>
      <w:bookmarkStart w:id="150" w:name="_Toc480979020"/>
      <w:bookmarkStart w:id="151" w:name="_Toc485108798"/>
      <w:bookmarkStart w:id="152"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48"/>
      <w:bookmarkEnd w:id="149"/>
      <w:bookmarkEnd w:id="150"/>
      <w:bookmarkEnd w:id="151"/>
      <w:bookmarkEnd w:id="152"/>
    </w:p>
    <w:p w14:paraId="355E48A2">
      <w:pPr>
        <w:spacing w:line="360" w:lineRule="auto"/>
        <w:ind w:firstLine="48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p>
    <w:p w14:paraId="0D316FDB">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53"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366EA12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四、资格条件及其他</w:t>
      </w:r>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2"/>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53"/>
      <w:bookmarkStart w:id="154" w:name="_Toc313888363"/>
      <w:bookmarkStart w:id="155" w:name="_Toc342913422"/>
      <w:bookmarkStart w:id="156" w:name="_Toc313008359"/>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54"/>
      <w:bookmarkEnd w:id="155"/>
      <w:bookmarkEnd w:id="156"/>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39BAD07F">
      <w:pPr>
        <w:tabs>
          <w:tab w:val="left" w:pos="6300"/>
        </w:tabs>
        <w:snapToGrid w:val="0"/>
        <w:spacing w:line="500" w:lineRule="exact"/>
        <w:ind w:firstLine="48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2E7E3F4C">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p>
    <w:p w14:paraId="15615AB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D29E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44DD4A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6FF353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DD7E3E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703A86A">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0BD9CB2">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8A2864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93CB0E6">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3BB77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DFFA1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3D1CCA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5EDF9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7BDE96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ED0E31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97BD05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6FB343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E096E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C2465A3">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4B009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0ED2D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BC709E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F4B55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825A98">
      <w:pPr>
        <w:tabs>
          <w:tab w:val="left" w:pos="6300"/>
        </w:tabs>
        <w:snapToGrid w:val="0"/>
        <w:spacing w:line="500" w:lineRule="exact"/>
        <w:rPr>
          <w:rFonts w:hint="eastAsia" w:ascii="宋体" w:hAnsi="宋体" w:eastAsia="宋体" w:cs="宋体"/>
          <w:color w:val="000000" w:themeColor="text1"/>
          <w:sz w:val="28"/>
          <w:szCs w:val="20"/>
          <w:shd w:val="clear" w:color="auto" w:fill="auto"/>
          <w14:textFill>
            <w14:solidFill>
              <w14:schemeClr w14:val="tx1"/>
            </w14:solidFill>
          </w14:textFill>
        </w:rPr>
      </w:pPr>
    </w:p>
    <w:p w14:paraId="1122587C">
      <w:pPr>
        <w:tabs>
          <w:tab w:val="left" w:pos="6300"/>
        </w:tabs>
        <w:snapToGrid w:val="0"/>
        <w:spacing w:line="500" w:lineRule="exact"/>
        <w:ind w:firstLine="56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（六）书面声明</w:t>
      </w:r>
    </w:p>
    <w:p w14:paraId="44683994">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68A767E">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0F7F123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61C07EB">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6D188945">
      <w:pPr>
        <w:spacing w:line="440" w:lineRule="exact"/>
        <w:ind w:firstLine="480" w:firstLineChars="2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8"/>
          <w:shd w:val="clear" w:color="auto" w:fill="auto"/>
          <w14:textFill>
            <w14:solidFill>
              <w14:schemeClr w14:val="tx1"/>
            </w14:solidFill>
          </w14:textFill>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14:paraId="2DCAB90A">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特此声明。</w:t>
      </w:r>
    </w:p>
    <w:p w14:paraId="024D6A3F">
      <w:pPr>
        <w:tabs>
          <w:tab w:val="left" w:pos="6300"/>
        </w:tabs>
        <w:snapToGrid w:val="0"/>
        <w:spacing w:line="500" w:lineRule="exact"/>
        <w:jc w:val="center"/>
        <w:rPr>
          <w:rFonts w:hint="eastAsia" w:ascii="宋体" w:hAnsi="宋体" w:eastAsia="宋体" w:cs="宋体"/>
          <w:color w:val="000000" w:themeColor="text1"/>
          <w:sz w:val="24"/>
          <w:szCs w:val="28"/>
          <w:shd w:val="clear" w:color="auto" w:fill="auto"/>
          <w14:textFill>
            <w14:solidFill>
              <w14:schemeClr w14:val="tx1"/>
            </w14:solidFill>
          </w14:textFill>
        </w:rPr>
      </w:pPr>
    </w:p>
    <w:p w14:paraId="01CCA724">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p>
    <w:p w14:paraId="2C089E5B">
      <w:pPr>
        <w:tabs>
          <w:tab w:val="left" w:pos="6300"/>
        </w:tabs>
        <w:snapToGrid w:val="0"/>
        <w:spacing w:line="500" w:lineRule="exact"/>
        <w:ind w:firstLine="6480" w:firstLineChars="27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w:t>
      </w:r>
    </w:p>
    <w:p w14:paraId="40278E5C">
      <w:pPr>
        <w:tabs>
          <w:tab w:val="left" w:pos="6300"/>
        </w:tabs>
        <w:snapToGrid w:val="0"/>
        <w:spacing w:line="360" w:lineRule="auto"/>
        <w:ind w:right="36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p>
    <w:p w14:paraId="01304D9A">
      <w:pPr>
        <w:tabs>
          <w:tab w:val="left" w:pos="6300"/>
        </w:tabs>
        <w:snapToGrid w:val="0"/>
        <w:spacing w:line="360" w:lineRule="auto"/>
        <w:ind w:right="132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年   月   日</w:t>
      </w:r>
    </w:p>
    <w:p w14:paraId="620C87AE">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1B82A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3A75A04">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C5DEB5C">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39F2DB25">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75641F29">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0BE637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3473D9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914AC6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412AC5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1CC6023A">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62066B72">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DE11C3B">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bookmarkStart w:id="157" w:name="OLE_LINK7"/>
      <w:bookmarkStart w:id="158" w:name="OLE_LINK4"/>
    </w:p>
    <w:p w14:paraId="6E174C50">
      <w:pPr>
        <w:tabs>
          <w:tab w:val="left" w:pos="6300"/>
        </w:tabs>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（七）</w:t>
      </w:r>
      <w:r>
        <w:rPr>
          <w:rFonts w:hint="eastAsia" w:ascii="宋体" w:hAnsi="宋体" w:eastAsia="宋体" w:cs="宋体"/>
          <w:color w:val="000000" w:themeColor="text1"/>
          <w:sz w:val="28"/>
          <w:szCs w:val="28"/>
          <w:shd w:val="clear" w:color="auto" w:fill="auto"/>
          <w14:textFill>
            <w14:solidFill>
              <w14:schemeClr w14:val="tx1"/>
            </w14:solidFill>
          </w14:textFill>
        </w:rPr>
        <w:t>税务登记证（副本）复印件</w:t>
      </w:r>
    </w:p>
    <w:p w14:paraId="2A74B43D">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（八）</w:t>
      </w:r>
      <w:r>
        <w:rPr>
          <w:rFonts w:hint="eastAsia" w:ascii="宋体" w:hAnsi="宋体" w:eastAsia="宋体" w:cs="宋体"/>
          <w:color w:val="000000" w:themeColor="text1"/>
          <w:sz w:val="28"/>
          <w:szCs w:val="20"/>
          <w:shd w:val="clear" w:color="auto" w:fill="auto"/>
          <w14:textFill>
            <w14:solidFill>
              <w14:schemeClr w14:val="tx1"/>
            </w14:solidFill>
          </w14:textFill>
        </w:rPr>
        <w:t>社会保险缴纳证明材料</w:t>
      </w:r>
    </w:p>
    <w:p w14:paraId="60ECBEB7">
      <w:pPr>
        <w:widowControl/>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3A7B93B1">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说明：供应商按“三证合一”登记制度办理营业执照的，组织机构代码证和税务登记证以供应商所提供的营业执照（副本）复印件为准。</w:t>
      </w:r>
    </w:p>
    <w:p w14:paraId="7B601FE2">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bookmarkEnd w:id="157"/>
    <w:bookmarkEnd w:id="158"/>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（九）特定资格条件证书或证明文件</w:t>
      </w:r>
      <w:r>
        <w:rPr>
          <w:rFonts w:hint="eastAsia" w:ascii="宋体" w:hAnsi="宋体" w:eastAsia="宋体" w:cs="宋体"/>
          <w:color w:val="000000" w:themeColor="text1"/>
          <w:szCs w:val="28"/>
          <w:shd w:val="clear" w:color="auto" w:fill="auto"/>
          <w14:textFill>
            <w14:solidFill>
              <w14:schemeClr w14:val="tx1"/>
            </w14:solidFill>
          </w14:textFill>
        </w:rPr>
        <w:t>（如果有）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pStyle w:val="3"/>
        <w:bidi w:val="0"/>
        <w:rPr>
          <w:rFonts w:hint="eastAsia" w:ascii="宋体" w:hAnsi="宋体" w:eastAsia="宋体" w:cs="宋体"/>
          <w:color w:val="000000" w:themeColor="text1"/>
          <w:shd w:val="clear" w:color="auto" w:fill="auto"/>
          <w:lang w:val="en-US" w:eastAsia="zh-CN"/>
          <w14:textFill>
            <w14:solidFill>
              <w14:schemeClr w14:val="tx1"/>
            </w14:solidFill>
          </w14:textFill>
        </w:rPr>
      </w:pPr>
      <w:bookmarkStart w:id="159" w:name="_Toc31463"/>
      <w:bookmarkStart w:id="160" w:name="_Toc27212"/>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pStyle w:val="3"/>
        <w:bidi w:val="0"/>
        <w:rPr>
          <w:rFonts w:hint="eastAsia" w:ascii="宋体" w:hAnsi="宋体" w:eastAsia="宋体" w:cs="宋体"/>
          <w:color w:val="000000" w:themeColor="text1"/>
          <w:shd w:val="clear" w:color="auto" w:fill="auto"/>
          <w:lang w:val="en-US" w:eastAsia="zh-CN"/>
          <w14:textFill>
            <w14:solidFill>
              <w14:schemeClr w14:val="tx1"/>
            </w14:solidFill>
          </w14:textFill>
        </w:rPr>
      </w:pPr>
    </w:p>
    <w:bookmarkEnd w:id="159"/>
    <w:bookmarkEnd w:id="160"/>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3.投标人填写《中小企业声明函》中所属行业时，应与采购文件第一篇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4.本声明函“企业名称（盖章）”处为投标人盖章。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023841C3">
      <w:pPr>
        <w:rPr>
          <w:rFonts w:hint="eastAsia" w:ascii="宋体" w:hAnsi="宋体" w:eastAsia="宋体" w:cs="宋体"/>
          <w:color w:val="000000" w:themeColor="text1"/>
          <w:shd w:val="clear" w:color="auto" w:fill="auto"/>
          <w14:textFill>
            <w14:solidFill>
              <w14:schemeClr w14:val="tx1"/>
            </w14:solidFill>
          </w14:textFill>
        </w:rPr>
      </w:pPr>
    </w:p>
    <w:p w14:paraId="35774D42">
      <w:pPr>
        <w:rPr>
          <w:rFonts w:hint="eastAsia" w:ascii="宋体" w:hAnsi="宋体" w:eastAsia="宋体" w:cs="宋体"/>
          <w:color w:val="000000" w:themeColor="text1"/>
          <w:shd w:val="clear" w:color="auto" w:fill="auto"/>
          <w14:textFill>
            <w14:solidFill>
              <w14:schemeClr w14:val="tx1"/>
            </w14:solidFill>
          </w14:textFill>
        </w:rPr>
      </w:pPr>
    </w:p>
    <w:p w14:paraId="2159E3C9">
      <w:pPr>
        <w:rPr>
          <w:rFonts w:hint="eastAsia" w:ascii="宋体" w:hAnsi="宋体" w:eastAsia="宋体" w:cs="宋体"/>
          <w:color w:val="000000" w:themeColor="text1"/>
          <w:shd w:val="clear" w:color="auto" w:fill="auto"/>
          <w14:textFill>
            <w14:solidFill>
              <w14:schemeClr w14:val="tx1"/>
            </w14:solidFill>
          </w14:textFill>
        </w:rPr>
      </w:pPr>
    </w:p>
    <w:p w14:paraId="6CD7EB26">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39EB2853-8AE7-44A5-8358-15DEC4DA6A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14A714E"/>
    <w:rsid w:val="015A3746"/>
    <w:rsid w:val="021D673F"/>
    <w:rsid w:val="02962383"/>
    <w:rsid w:val="02D84414"/>
    <w:rsid w:val="02FE0C09"/>
    <w:rsid w:val="037759DB"/>
    <w:rsid w:val="03BB3ADF"/>
    <w:rsid w:val="03C2134C"/>
    <w:rsid w:val="04DA26C6"/>
    <w:rsid w:val="04F00597"/>
    <w:rsid w:val="051A354D"/>
    <w:rsid w:val="055B3100"/>
    <w:rsid w:val="05E64439"/>
    <w:rsid w:val="05E94CDF"/>
    <w:rsid w:val="060E092E"/>
    <w:rsid w:val="065A1406"/>
    <w:rsid w:val="067D7A0C"/>
    <w:rsid w:val="06A45EA9"/>
    <w:rsid w:val="06BC1BB0"/>
    <w:rsid w:val="06DD11C7"/>
    <w:rsid w:val="074B1659"/>
    <w:rsid w:val="07911761"/>
    <w:rsid w:val="07C5765D"/>
    <w:rsid w:val="07F26429"/>
    <w:rsid w:val="084C34CD"/>
    <w:rsid w:val="094176DB"/>
    <w:rsid w:val="09B90486"/>
    <w:rsid w:val="0ACE6451"/>
    <w:rsid w:val="0ACF458A"/>
    <w:rsid w:val="0B6515A1"/>
    <w:rsid w:val="0B6F68C5"/>
    <w:rsid w:val="0BAE21B6"/>
    <w:rsid w:val="0BDC31C7"/>
    <w:rsid w:val="0BE1258C"/>
    <w:rsid w:val="0BE64970"/>
    <w:rsid w:val="0C033E70"/>
    <w:rsid w:val="0C3152C1"/>
    <w:rsid w:val="0C481EEF"/>
    <w:rsid w:val="0C931BB2"/>
    <w:rsid w:val="0C975B64"/>
    <w:rsid w:val="0C9D3992"/>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1014334F"/>
    <w:rsid w:val="10246EEB"/>
    <w:rsid w:val="10413B50"/>
    <w:rsid w:val="104D689B"/>
    <w:rsid w:val="109D57E0"/>
    <w:rsid w:val="10BF5E9B"/>
    <w:rsid w:val="10C009C2"/>
    <w:rsid w:val="111523FC"/>
    <w:rsid w:val="11782A26"/>
    <w:rsid w:val="13141499"/>
    <w:rsid w:val="131D034D"/>
    <w:rsid w:val="134E0964"/>
    <w:rsid w:val="13653AA2"/>
    <w:rsid w:val="13D52C1B"/>
    <w:rsid w:val="13F41DC8"/>
    <w:rsid w:val="144B1714"/>
    <w:rsid w:val="149B44BB"/>
    <w:rsid w:val="14B95EDB"/>
    <w:rsid w:val="14C6168E"/>
    <w:rsid w:val="14C6556D"/>
    <w:rsid w:val="151E30B3"/>
    <w:rsid w:val="1554725E"/>
    <w:rsid w:val="15604521"/>
    <w:rsid w:val="156125ED"/>
    <w:rsid w:val="158D32E0"/>
    <w:rsid w:val="16243DF1"/>
    <w:rsid w:val="177B7D38"/>
    <w:rsid w:val="17E52B34"/>
    <w:rsid w:val="18130842"/>
    <w:rsid w:val="18465822"/>
    <w:rsid w:val="18675712"/>
    <w:rsid w:val="188B43F5"/>
    <w:rsid w:val="18A936F6"/>
    <w:rsid w:val="18E50010"/>
    <w:rsid w:val="18F71640"/>
    <w:rsid w:val="19394057"/>
    <w:rsid w:val="199A1032"/>
    <w:rsid w:val="199C2358"/>
    <w:rsid w:val="19B7492C"/>
    <w:rsid w:val="19D34E8C"/>
    <w:rsid w:val="1A511E59"/>
    <w:rsid w:val="1A705757"/>
    <w:rsid w:val="1AF71484"/>
    <w:rsid w:val="1B1D5FE3"/>
    <w:rsid w:val="1B484046"/>
    <w:rsid w:val="1B4A5E5B"/>
    <w:rsid w:val="1B925650"/>
    <w:rsid w:val="1C0025BA"/>
    <w:rsid w:val="1C66752D"/>
    <w:rsid w:val="1C6945DA"/>
    <w:rsid w:val="1CA5518A"/>
    <w:rsid w:val="1CD22D64"/>
    <w:rsid w:val="1CED540D"/>
    <w:rsid w:val="1CF33ECD"/>
    <w:rsid w:val="1CF736B7"/>
    <w:rsid w:val="1CFC0128"/>
    <w:rsid w:val="1D632E00"/>
    <w:rsid w:val="1DD87EDC"/>
    <w:rsid w:val="1DDA4D59"/>
    <w:rsid w:val="1E2C0FC6"/>
    <w:rsid w:val="1E8652AA"/>
    <w:rsid w:val="1E9D4968"/>
    <w:rsid w:val="1EB13D33"/>
    <w:rsid w:val="1F062593"/>
    <w:rsid w:val="1F08489B"/>
    <w:rsid w:val="1F2D0A6E"/>
    <w:rsid w:val="1F3D23B3"/>
    <w:rsid w:val="1F6A74CC"/>
    <w:rsid w:val="1F6D6E4A"/>
    <w:rsid w:val="1F8009D9"/>
    <w:rsid w:val="1FCE723D"/>
    <w:rsid w:val="20084BEF"/>
    <w:rsid w:val="203372B2"/>
    <w:rsid w:val="204C6181"/>
    <w:rsid w:val="20FB0BC7"/>
    <w:rsid w:val="2114239C"/>
    <w:rsid w:val="216435EB"/>
    <w:rsid w:val="21C45BE8"/>
    <w:rsid w:val="21F678C9"/>
    <w:rsid w:val="21F94F0D"/>
    <w:rsid w:val="22186A2C"/>
    <w:rsid w:val="224F1BA5"/>
    <w:rsid w:val="226E25C3"/>
    <w:rsid w:val="22EF7055"/>
    <w:rsid w:val="231132FF"/>
    <w:rsid w:val="23743B1F"/>
    <w:rsid w:val="240C0392"/>
    <w:rsid w:val="241F1A4B"/>
    <w:rsid w:val="24514D5A"/>
    <w:rsid w:val="24AB13E3"/>
    <w:rsid w:val="254D6667"/>
    <w:rsid w:val="25B61F3B"/>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3D6767"/>
    <w:rsid w:val="2B57565F"/>
    <w:rsid w:val="2BBD2276"/>
    <w:rsid w:val="2C415C90"/>
    <w:rsid w:val="2C812A23"/>
    <w:rsid w:val="2CDF621C"/>
    <w:rsid w:val="2CF2794B"/>
    <w:rsid w:val="2D9073ED"/>
    <w:rsid w:val="2DCE45FA"/>
    <w:rsid w:val="2E4A05E4"/>
    <w:rsid w:val="2F1F1F02"/>
    <w:rsid w:val="2F2348BD"/>
    <w:rsid w:val="2F6F1AD9"/>
    <w:rsid w:val="2F831DB2"/>
    <w:rsid w:val="2F943FCB"/>
    <w:rsid w:val="2FD06C0B"/>
    <w:rsid w:val="302847BB"/>
    <w:rsid w:val="30381B81"/>
    <w:rsid w:val="30A44277"/>
    <w:rsid w:val="30B15F03"/>
    <w:rsid w:val="30B30136"/>
    <w:rsid w:val="31CA4358"/>
    <w:rsid w:val="31FA7479"/>
    <w:rsid w:val="32050A97"/>
    <w:rsid w:val="32284BF5"/>
    <w:rsid w:val="32DA1DD4"/>
    <w:rsid w:val="331035D3"/>
    <w:rsid w:val="33323C73"/>
    <w:rsid w:val="3361798A"/>
    <w:rsid w:val="33861085"/>
    <w:rsid w:val="33CB5E52"/>
    <w:rsid w:val="34477E1A"/>
    <w:rsid w:val="34B44507"/>
    <w:rsid w:val="34FF7A95"/>
    <w:rsid w:val="35687566"/>
    <w:rsid w:val="35B15F88"/>
    <w:rsid w:val="35D501BC"/>
    <w:rsid w:val="35E87A5C"/>
    <w:rsid w:val="3608331B"/>
    <w:rsid w:val="36834056"/>
    <w:rsid w:val="369E4A52"/>
    <w:rsid w:val="36A73740"/>
    <w:rsid w:val="36C80A37"/>
    <w:rsid w:val="36EC0B56"/>
    <w:rsid w:val="37542B62"/>
    <w:rsid w:val="375A306E"/>
    <w:rsid w:val="37A64A1D"/>
    <w:rsid w:val="37D83F93"/>
    <w:rsid w:val="382D2437"/>
    <w:rsid w:val="38442273"/>
    <w:rsid w:val="385D0EF3"/>
    <w:rsid w:val="389536A9"/>
    <w:rsid w:val="38C010B0"/>
    <w:rsid w:val="38E86458"/>
    <w:rsid w:val="38EB2B69"/>
    <w:rsid w:val="391C67AE"/>
    <w:rsid w:val="39486CC3"/>
    <w:rsid w:val="39A3534F"/>
    <w:rsid w:val="39D65068"/>
    <w:rsid w:val="3A040959"/>
    <w:rsid w:val="3AA25DEC"/>
    <w:rsid w:val="3AC648F5"/>
    <w:rsid w:val="3B30241A"/>
    <w:rsid w:val="3B5B756F"/>
    <w:rsid w:val="3B870893"/>
    <w:rsid w:val="3BAE1209"/>
    <w:rsid w:val="3C4F6F1A"/>
    <w:rsid w:val="3D2F290C"/>
    <w:rsid w:val="3D4C1E7B"/>
    <w:rsid w:val="3DA212CB"/>
    <w:rsid w:val="3DC21444"/>
    <w:rsid w:val="3DD60FEB"/>
    <w:rsid w:val="3DD75419"/>
    <w:rsid w:val="3E263CAA"/>
    <w:rsid w:val="3E491747"/>
    <w:rsid w:val="3E6B192F"/>
    <w:rsid w:val="3EA55BAC"/>
    <w:rsid w:val="3EEF12C4"/>
    <w:rsid w:val="3F150346"/>
    <w:rsid w:val="3F4757B8"/>
    <w:rsid w:val="3F591E5E"/>
    <w:rsid w:val="3F5A6C6F"/>
    <w:rsid w:val="3F6E2185"/>
    <w:rsid w:val="3FC45529"/>
    <w:rsid w:val="3FE1690B"/>
    <w:rsid w:val="40113C23"/>
    <w:rsid w:val="40311450"/>
    <w:rsid w:val="403F2E01"/>
    <w:rsid w:val="404A2E64"/>
    <w:rsid w:val="40AB0EC9"/>
    <w:rsid w:val="40C2612C"/>
    <w:rsid w:val="40E52488"/>
    <w:rsid w:val="41007A8F"/>
    <w:rsid w:val="415869FC"/>
    <w:rsid w:val="41670862"/>
    <w:rsid w:val="418B72B6"/>
    <w:rsid w:val="41AB14E8"/>
    <w:rsid w:val="41AC0B4D"/>
    <w:rsid w:val="41D4500D"/>
    <w:rsid w:val="41D67141"/>
    <w:rsid w:val="41F534A6"/>
    <w:rsid w:val="41F5463E"/>
    <w:rsid w:val="42030507"/>
    <w:rsid w:val="420A020E"/>
    <w:rsid w:val="420A1906"/>
    <w:rsid w:val="423F7EC6"/>
    <w:rsid w:val="428345E9"/>
    <w:rsid w:val="429D5EC0"/>
    <w:rsid w:val="42A40896"/>
    <w:rsid w:val="42BD50C4"/>
    <w:rsid w:val="437470EA"/>
    <w:rsid w:val="437C12A7"/>
    <w:rsid w:val="43F81C45"/>
    <w:rsid w:val="441F4671"/>
    <w:rsid w:val="444565A3"/>
    <w:rsid w:val="4446682B"/>
    <w:rsid w:val="447A6AFE"/>
    <w:rsid w:val="45AC0F39"/>
    <w:rsid w:val="461B60BF"/>
    <w:rsid w:val="46C96141"/>
    <w:rsid w:val="46D06FAA"/>
    <w:rsid w:val="475461C4"/>
    <w:rsid w:val="477A0BC3"/>
    <w:rsid w:val="47D41743"/>
    <w:rsid w:val="47D63DB2"/>
    <w:rsid w:val="47F3755A"/>
    <w:rsid w:val="482B71EF"/>
    <w:rsid w:val="487D04F4"/>
    <w:rsid w:val="48A31EA1"/>
    <w:rsid w:val="48FA020D"/>
    <w:rsid w:val="49154B61"/>
    <w:rsid w:val="492C6FBB"/>
    <w:rsid w:val="499D1F70"/>
    <w:rsid w:val="4A1025A8"/>
    <w:rsid w:val="4A166376"/>
    <w:rsid w:val="4A7F2AAC"/>
    <w:rsid w:val="4A832C17"/>
    <w:rsid w:val="4A9100D0"/>
    <w:rsid w:val="4AC26B09"/>
    <w:rsid w:val="4AD41B9B"/>
    <w:rsid w:val="4AED1C9D"/>
    <w:rsid w:val="4B597B89"/>
    <w:rsid w:val="4B934057"/>
    <w:rsid w:val="4BE8259F"/>
    <w:rsid w:val="4C4E289A"/>
    <w:rsid w:val="4DBE5CAD"/>
    <w:rsid w:val="4DD75684"/>
    <w:rsid w:val="4E0D2518"/>
    <w:rsid w:val="4E231003"/>
    <w:rsid w:val="4E3873B7"/>
    <w:rsid w:val="4EF70D4B"/>
    <w:rsid w:val="4F2E0C11"/>
    <w:rsid w:val="4F79418A"/>
    <w:rsid w:val="4FEE4B1B"/>
    <w:rsid w:val="50895F2A"/>
    <w:rsid w:val="50A2078E"/>
    <w:rsid w:val="50B9275C"/>
    <w:rsid w:val="50F72CC9"/>
    <w:rsid w:val="50FE286B"/>
    <w:rsid w:val="514069D9"/>
    <w:rsid w:val="51932220"/>
    <w:rsid w:val="51D77CAA"/>
    <w:rsid w:val="52173BDE"/>
    <w:rsid w:val="5228244C"/>
    <w:rsid w:val="526D301C"/>
    <w:rsid w:val="529620AE"/>
    <w:rsid w:val="52EB291F"/>
    <w:rsid w:val="52ED493F"/>
    <w:rsid w:val="531F0FF7"/>
    <w:rsid w:val="539F2D44"/>
    <w:rsid w:val="53B56AAB"/>
    <w:rsid w:val="53D1198E"/>
    <w:rsid w:val="53E03D6D"/>
    <w:rsid w:val="53E144A4"/>
    <w:rsid w:val="54333CD5"/>
    <w:rsid w:val="546107D9"/>
    <w:rsid w:val="546E506B"/>
    <w:rsid w:val="549E2395"/>
    <w:rsid w:val="55144405"/>
    <w:rsid w:val="55297C80"/>
    <w:rsid w:val="5531155E"/>
    <w:rsid w:val="565C7750"/>
    <w:rsid w:val="56644F18"/>
    <w:rsid w:val="56A12956"/>
    <w:rsid w:val="56FF2E93"/>
    <w:rsid w:val="576D5122"/>
    <w:rsid w:val="58506377"/>
    <w:rsid w:val="586259DC"/>
    <w:rsid w:val="58625BCC"/>
    <w:rsid w:val="58627B7D"/>
    <w:rsid w:val="58B574EB"/>
    <w:rsid w:val="58D746F8"/>
    <w:rsid w:val="58FC1D80"/>
    <w:rsid w:val="593509FB"/>
    <w:rsid w:val="59893E96"/>
    <w:rsid w:val="599D432B"/>
    <w:rsid w:val="59C035F1"/>
    <w:rsid w:val="59E56370"/>
    <w:rsid w:val="5B1E275D"/>
    <w:rsid w:val="5B3E21DC"/>
    <w:rsid w:val="5B4A5024"/>
    <w:rsid w:val="5BBD57F6"/>
    <w:rsid w:val="5BC414F3"/>
    <w:rsid w:val="5BD85D21"/>
    <w:rsid w:val="5C953453"/>
    <w:rsid w:val="5CAE15E3"/>
    <w:rsid w:val="5CB84A88"/>
    <w:rsid w:val="5D290C69"/>
    <w:rsid w:val="5E254884"/>
    <w:rsid w:val="5E36741C"/>
    <w:rsid w:val="5E591B16"/>
    <w:rsid w:val="5E6374F3"/>
    <w:rsid w:val="5F3F2DAC"/>
    <w:rsid w:val="5F4829DC"/>
    <w:rsid w:val="5F725BF8"/>
    <w:rsid w:val="5FB15C3A"/>
    <w:rsid w:val="5FDF26F7"/>
    <w:rsid w:val="5FEC0FE5"/>
    <w:rsid w:val="6022194E"/>
    <w:rsid w:val="606E5CB4"/>
    <w:rsid w:val="60980BFD"/>
    <w:rsid w:val="60D65D3F"/>
    <w:rsid w:val="60F4333C"/>
    <w:rsid w:val="60F85618"/>
    <w:rsid w:val="611A50B4"/>
    <w:rsid w:val="619C43F3"/>
    <w:rsid w:val="6269072D"/>
    <w:rsid w:val="62A30CCB"/>
    <w:rsid w:val="62D01C35"/>
    <w:rsid w:val="6352606D"/>
    <w:rsid w:val="639436E3"/>
    <w:rsid w:val="6445282D"/>
    <w:rsid w:val="645A13DB"/>
    <w:rsid w:val="648C045C"/>
    <w:rsid w:val="65064C10"/>
    <w:rsid w:val="656A40F1"/>
    <w:rsid w:val="658C5E23"/>
    <w:rsid w:val="65F9363E"/>
    <w:rsid w:val="66312280"/>
    <w:rsid w:val="667E25AF"/>
    <w:rsid w:val="66815672"/>
    <w:rsid w:val="66B54542"/>
    <w:rsid w:val="67130BF8"/>
    <w:rsid w:val="67152E14"/>
    <w:rsid w:val="67525528"/>
    <w:rsid w:val="67770DF7"/>
    <w:rsid w:val="679C27B9"/>
    <w:rsid w:val="67CB3049"/>
    <w:rsid w:val="67FF2A16"/>
    <w:rsid w:val="680256B8"/>
    <w:rsid w:val="682465CF"/>
    <w:rsid w:val="68EA74FF"/>
    <w:rsid w:val="6972525B"/>
    <w:rsid w:val="69C211FB"/>
    <w:rsid w:val="69FC5E8B"/>
    <w:rsid w:val="6A16113C"/>
    <w:rsid w:val="6A633E28"/>
    <w:rsid w:val="6AD14E1A"/>
    <w:rsid w:val="6AFE5801"/>
    <w:rsid w:val="6B056872"/>
    <w:rsid w:val="6B1765A5"/>
    <w:rsid w:val="6B217424"/>
    <w:rsid w:val="6B28360F"/>
    <w:rsid w:val="6B854C8C"/>
    <w:rsid w:val="6B9F4D55"/>
    <w:rsid w:val="6BAA3DD9"/>
    <w:rsid w:val="6C172D01"/>
    <w:rsid w:val="6C51328C"/>
    <w:rsid w:val="6CC2767B"/>
    <w:rsid w:val="6D342244"/>
    <w:rsid w:val="6DAB4CCB"/>
    <w:rsid w:val="6DC70D5C"/>
    <w:rsid w:val="6DDA24A1"/>
    <w:rsid w:val="6DFC3BBF"/>
    <w:rsid w:val="6E0E1C83"/>
    <w:rsid w:val="6E45126B"/>
    <w:rsid w:val="6EA047F7"/>
    <w:rsid w:val="6F062BB9"/>
    <w:rsid w:val="6F185329"/>
    <w:rsid w:val="6F213E8F"/>
    <w:rsid w:val="70E64A50"/>
    <w:rsid w:val="71231A63"/>
    <w:rsid w:val="714B6E37"/>
    <w:rsid w:val="71C72BEE"/>
    <w:rsid w:val="720E0702"/>
    <w:rsid w:val="72AA2579"/>
    <w:rsid w:val="73614D85"/>
    <w:rsid w:val="7363682B"/>
    <w:rsid w:val="739465A0"/>
    <w:rsid w:val="73A82490"/>
    <w:rsid w:val="73AA3664"/>
    <w:rsid w:val="73B34AD5"/>
    <w:rsid w:val="73D42B6E"/>
    <w:rsid w:val="743B3E3F"/>
    <w:rsid w:val="74E41D61"/>
    <w:rsid w:val="753D2C53"/>
    <w:rsid w:val="76047ABF"/>
    <w:rsid w:val="765A00C6"/>
    <w:rsid w:val="76995E63"/>
    <w:rsid w:val="772D6E8E"/>
    <w:rsid w:val="77452BA0"/>
    <w:rsid w:val="774923FD"/>
    <w:rsid w:val="777E28EC"/>
    <w:rsid w:val="77B52272"/>
    <w:rsid w:val="78120C80"/>
    <w:rsid w:val="783A1618"/>
    <w:rsid w:val="788222E3"/>
    <w:rsid w:val="7908485F"/>
    <w:rsid w:val="7936053E"/>
    <w:rsid w:val="793F0B2C"/>
    <w:rsid w:val="797D07AB"/>
    <w:rsid w:val="79AC25AE"/>
    <w:rsid w:val="79CF7887"/>
    <w:rsid w:val="7A9E6464"/>
    <w:rsid w:val="7AAC0A0E"/>
    <w:rsid w:val="7B237CCD"/>
    <w:rsid w:val="7B306E47"/>
    <w:rsid w:val="7B8C6B3B"/>
    <w:rsid w:val="7BD77DB7"/>
    <w:rsid w:val="7C3F595C"/>
    <w:rsid w:val="7C683BAE"/>
    <w:rsid w:val="7CBD0742"/>
    <w:rsid w:val="7D7D55A3"/>
    <w:rsid w:val="7DE81FDD"/>
    <w:rsid w:val="7E3C60AD"/>
    <w:rsid w:val="7EC565EC"/>
    <w:rsid w:val="7EEF5417"/>
    <w:rsid w:val="7F0D3AEF"/>
    <w:rsid w:val="7F3E18A8"/>
    <w:rsid w:val="7F435763"/>
    <w:rsid w:val="7F702E68"/>
    <w:rsid w:val="7F787175"/>
    <w:rsid w:val="7FC9305C"/>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8510</Words>
  <Characters>8702</Characters>
  <Lines>182</Lines>
  <Paragraphs>51</Paragraphs>
  <TotalTime>1</TotalTime>
  <ScaleCrop>false</ScaleCrop>
  <LinksUpToDate>false</LinksUpToDate>
  <CharactersWithSpaces>8792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2025-05-16T07:47:46Z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