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00ECDFF1">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2025FW052</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萱花院区临街门面招租</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eastAsia="zh-CN"/>
        </w:rPr>
        <w:t>五</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五月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58D952">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485108766"/>
      <w:bookmarkStart w:id="1" w:name="_Toc25875"/>
      <w:bookmarkStart w:id="2" w:name="_Toc11641050"/>
      <w:bookmarkStart w:id="3" w:name="_Toc12789052"/>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萱花院区临街门面招租</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28443"/>
      <w:bookmarkStart w:id="7" w:name="_Toc313893526"/>
      <w:bookmarkStart w:id="8" w:name="_Toc317775175"/>
      <w:bookmarkStart w:id="9" w:name="_Toc485108767"/>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萱花院区临街门面招租</w:t>
            </w:r>
          </w:p>
        </w:tc>
        <w:tc>
          <w:tcPr>
            <w:tcW w:w="2548" w:type="dxa"/>
            <w:vAlign w:val="center"/>
          </w:tcPr>
          <w:p w14:paraId="2E311328">
            <w:pPr>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p>
        </w:tc>
        <w:tc>
          <w:tcPr>
            <w:tcW w:w="2851" w:type="dxa"/>
            <w:vAlign w:val="center"/>
          </w:tcPr>
          <w:p w14:paraId="0F2BBD7B">
            <w:pPr>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FF0000"/>
                <w:sz w:val="24"/>
                <w:szCs w:val="24"/>
              </w:rPr>
              <w:t>租赁期限：</w:t>
            </w:r>
            <w:r>
              <w:rPr>
                <w:rFonts w:hint="eastAsia" w:ascii="宋体" w:hAnsi="宋体" w:eastAsia="宋体" w:cs="宋体"/>
                <w:color w:val="FF0000"/>
                <w:sz w:val="24"/>
                <w:szCs w:val="24"/>
                <w:lang w:val="en-US" w:eastAsia="zh-CN"/>
              </w:rPr>
              <w:t>3</w:t>
            </w:r>
            <w:r>
              <w:rPr>
                <w:rFonts w:hint="eastAsia" w:ascii="宋体" w:hAnsi="宋体" w:eastAsia="宋体" w:cs="宋体"/>
                <w:color w:val="FF0000"/>
                <w:sz w:val="24"/>
                <w:szCs w:val="24"/>
              </w:rPr>
              <w:t>年</w:t>
            </w: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6609"/>
      <w:bookmarkStart w:id="11" w:name="_Toc485108768"/>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：无。</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102227313"/>
      <w:bookmarkStart w:id="17" w:name="_Toc485108774"/>
    </w:p>
    <w:p w14:paraId="70262DCE">
      <w:pPr>
        <w:spacing w:line="48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承租方需提供有效期内的营业执照、法人身份证复印件等相关资料</w:t>
      </w:r>
      <w:r>
        <w:rPr>
          <w:rFonts w:hint="eastAsia" w:ascii="宋体" w:hAnsi="宋体" w:eastAsia="宋体" w:cs="宋体"/>
          <w:color w:val="FF0000"/>
          <w:sz w:val="24"/>
          <w:szCs w:val="24"/>
          <w:lang w:eastAsia="zh-CN"/>
        </w:rPr>
        <w:t>。</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22</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22</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26</w:t>
      </w:r>
      <w:bookmarkStart w:id="161" w:name="_GoBack"/>
      <w:bookmarkEnd w:id="161"/>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auto"/>
          <w:sz w:val="24"/>
          <w:szCs w:val="24"/>
        </w:rPr>
      </w:pPr>
      <w:bookmarkStart w:id="24" w:name="_Toc1625"/>
      <w:bookmarkStart w:id="25" w:name="_Toc280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31390"/>
      <w:bookmarkStart w:id="27" w:name="_Toc913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66301A38">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2AF17BC7">
      <w:pPr>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（二）报价要求</w:t>
      </w:r>
    </w:p>
    <w:p w14:paraId="2F3C2DF1">
      <w:pPr>
        <w:pStyle w:val="51"/>
        <w:tabs>
          <w:tab w:val="left" w:pos="1259"/>
        </w:tabs>
        <w:spacing w:before="0" w:beforeAutospacing="0" w:after="0" w:afterAutospacing="0" w:line="520" w:lineRule="exact"/>
        <w:ind w:firstLine="480" w:firstLineChars="200"/>
        <w:rPr>
          <w:rFonts w:hint="default"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投标方按照报价表（见</w:t>
      </w:r>
      <w:r>
        <w:rPr>
          <w:rFonts w:hint="eastAsia" w:cs="宋体"/>
          <w:color w:val="FF0000"/>
          <w:kern w:val="2"/>
          <w:sz w:val="24"/>
          <w:szCs w:val="24"/>
          <w:lang w:val="en-US" w:eastAsia="zh-CN" w:bidi="ar-SA"/>
        </w:rPr>
        <w:t>第六章</w:t>
      </w:r>
      <w:r>
        <w:rPr>
          <w:rFonts w:hint="eastAsia" w:ascii="宋体" w:hAnsi="宋体" w:eastAsia="宋体" w:cs="宋体"/>
          <w:color w:val="FF0000"/>
          <w:kern w:val="2"/>
          <w:sz w:val="24"/>
          <w:szCs w:val="24"/>
          <w:lang w:val="en-US" w:eastAsia="zh-CN" w:bidi="ar-SA"/>
        </w:rPr>
        <w:t>）进行报价</w:t>
      </w:r>
      <w:r>
        <w:rPr>
          <w:rFonts w:hint="eastAsia" w:cs="宋体"/>
          <w:color w:val="FF0000"/>
          <w:kern w:val="2"/>
          <w:sz w:val="24"/>
          <w:szCs w:val="24"/>
          <w:lang w:val="en-US" w:eastAsia="zh-CN" w:bidi="ar-SA"/>
        </w:rPr>
        <w:t>.</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8"/>
      <w:bookmarkStart w:id="34" w:name="OLE_LINK3"/>
      <w:bookmarkStart w:id="35" w:name="OLE_LINK9"/>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02227319"/>
      <w:bookmarkStart w:id="37" w:name="_Toc179714298"/>
      <w:bookmarkStart w:id="38" w:name="_Toc342913393"/>
      <w:bookmarkStart w:id="39" w:name="_Toc403569780"/>
      <w:bookmarkStart w:id="40" w:name="_Toc18122"/>
      <w:bookmarkStart w:id="41" w:name="_Toc19143"/>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7135"/>
      <w:bookmarkStart w:id="52" w:name="_Toc102227321"/>
      <w:bookmarkStart w:id="53" w:name="_Toc403569783"/>
      <w:bookmarkStart w:id="54" w:name="_Toc3212"/>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17413"/>
      <w:bookmarkStart w:id="56" w:name="_Toc12880"/>
      <w:bookmarkStart w:id="57" w:name="_Toc403569784"/>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6381"/>
      <w:bookmarkStart w:id="60" w:name="_Toc403569785"/>
      <w:bookmarkStart w:id="61" w:name="_Toc342913396"/>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27835436">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51D3E606">
      <w:pPr>
        <w:pStyle w:val="2"/>
        <w:jc w:val="center"/>
        <w:rPr>
          <w:rFonts w:hint="eastAsia" w:ascii="宋体" w:hAnsi="宋体" w:eastAsia="宋体" w:cs="宋体"/>
          <w:color w:val="FF0000"/>
          <w:sz w:val="24"/>
          <w:szCs w:val="24"/>
          <w:lang w:eastAsia="zh-CN"/>
        </w:rPr>
      </w:pPr>
      <w:r>
        <w:rPr>
          <w:rFonts w:hint="eastAsia" w:ascii="宋体" w:hAnsi="宋体" w:eastAsia="宋体" w:cs="宋体"/>
          <w:b/>
          <w:color w:val="auto"/>
          <w:sz w:val="36"/>
          <w:szCs w:val="36"/>
        </w:rPr>
        <w:t>第三篇  项目</w:t>
      </w:r>
      <w:bookmarkEnd w:id="63"/>
      <w:bookmarkEnd w:id="64"/>
      <w:r>
        <w:rPr>
          <w:rFonts w:hint="eastAsia" w:hAnsi="宋体" w:cs="宋体"/>
          <w:b/>
          <w:color w:val="auto"/>
          <w:sz w:val="36"/>
          <w:szCs w:val="36"/>
          <w:lang w:eastAsia="zh-CN"/>
        </w:rPr>
        <w:t>招租要求</w:t>
      </w:r>
      <w:bookmarkStart w:id="65" w:name="_Toc12789058"/>
    </w:p>
    <w:p w14:paraId="65A15F3E">
      <w:pPr>
        <w:pStyle w:val="3"/>
        <w:spacing w:line="240" w:lineRule="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一、招租地址</w:t>
      </w:r>
    </w:p>
    <w:p w14:paraId="060C87C5">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重庆市永川区萱花路439号</w:t>
      </w:r>
    </w:p>
    <w:p w14:paraId="19E273F7">
      <w:pPr>
        <w:pStyle w:val="3"/>
        <w:spacing w:line="240" w:lineRule="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二、招租要求</w:t>
      </w:r>
    </w:p>
    <w:p w14:paraId="3A028819">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1．租赁期限：3年。</w:t>
      </w:r>
    </w:p>
    <w:p w14:paraId="66E54330">
      <w:pPr>
        <w:snapToGrid w:val="0"/>
        <w:spacing w:line="400" w:lineRule="exact"/>
        <w:ind w:firstLine="480" w:firstLineChars="200"/>
        <w:jc w:val="left"/>
        <w:rPr>
          <w:rFonts w:hint="eastAsia" w:ascii="宋体" w:hAnsi="宋体" w:eastAsia="方正仿宋_GBK" w:cs="宋体"/>
          <w:color w:val="FF0000"/>
          <w:sz w:val="24"/>
          <w:szCs w:val="24"/>
          <w:lang w:val="en-US" w:eastAsia="zh-CN"/>
        </w:rPr>
      </w:pP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lang w:val="en-US" w:eastAsia="zh-CN"/>
        </w:rPr>
        <w:t>租赁费用</w:t>
      </w:r>
      <w:r>
        <w:rPr>
          <w:rFonts w:hint="eastAsia" w:ascii="宋体" w:hAnsi="宋体" w:eastAsia="宋体" w:cs="宋体"/>
          <w:color w:val="FF0000"/>
          <w:sz w:val="24"/>
          <w:szCs w:val="24"/>
          <w:lang w:val="en-US" w:eastAsia="zh-CN"/>
        </w:rPr>
        <w:t>：门面月租金单价不低于250元/㎡。</w:t>
      </w:r>
    </w:p>
    <w:p w14:paraId="1F1106D7">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（1）萱花院区门诊外临街1-9号门面需整租，</w:t>
      </w:r>
      <w:r>
        <w:rPr>
          <w:rFonts w:hint="eastAsia" w:ascii="宋体" w:hAnsi="宋体" w:eastAsia="宋体" w:cs="宋体"/>
          <w:color w:val="FF0000"/>
          <w:sz w:val="24"/>
          <w:szCs w:val="24"/>
          <w:lang w:val="en-US" w:eastAsia="zh-CN"/>
        </w:rPr>
        <w:t>面积共118.53㎡。如承租方经营验光配镜，属于特殊经营范围，则月租金不低于600元/㎡，即1-9号门面</w:t>
      </w:r>
      <w:r>
        <w:rPr>
          <w:rFonts w:hint="default" w:ascii="宋体" w:hAnsi="宋体" w:eastAsia="宋体" w:cs="宋体"/>
          <w:color w:val="FF0000"/>
          <w:sz w:val="24"/>
          <w:szCs w:val="24"/>
          <w:lang w:val="en-US" w:eastAsia="zh-CN"/>
        </w:rPr>
        <w:t>租金不低于71118元/月。</w:t>
      </w:r>
    </w:p>
    <w:p w14:paraId="1AE0FDDA">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（2）临街10、11、12号门面可整租也可单租，</w:t>
      </w:r>
      <w:r>
        <w:rPr>
          <w:rFonts w:hint="eastAsia" w:ascii="宋体" w:hAnsi="宋体" w:eastAsia="宋体" w:cs="宋体"/>
          <w:color w:val="FF0000"/>
          <w:sz w:val="24"/>
          <w:szCs w:val="24"/>
          <w:lang w:val="en-US" w:eastAsia="zh-CN"/>
        </w:rPr>
        <w:t>面积均为14.1㎡。10-12号门面</w:t>
      </w:r>
      <w:r>
        <w:rPr>
          <w:rFonts w:hint="default" w:ascii="宋体" w:hAnsi="宋体" w:eastAsia="宋体" w:cs="宋体"/>
          <w:color w:val="FF0000"/>
          <w:sz w:val="24"/>
          <w:szCs w:val="24"/>
          <w:lang w:val="en-US" w:eastAsia="zh-CN"/>
        </w:rPr>
        <w:t>租金不低于3525元/月/间。</w:t>
      </w:r>
    </w:p>
    <w:p w14:paraId="56E70283">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w:t>
      </w:r>
      <w:r>
        <w:rPr>
          <w:rFonts w:hint="default" w:ascii="宋体" w:hAnsi="宋体" w:eastAsia="宋体" w:cs="宋体"/>
          <w:color w:val="FF0000"/>
          <w:sz w:val="24"/>
          <w:szCs w:val="24"/>
          <w:lang w:val="en-US" w:eastAsia="zh-CN"/>
        </w:rPr>
        <w:t>保证金：合同签订后，承租方向</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交纳门面保证金，1-9号门面的保证金为150</w:t>
      </w:r>
      <w:r>
        <w:rPr>
          <w:rFonts w:hint="eastAsia" w:ascii="宋体" w:hAnsi="宋体" w:eastAsia="宋体" w:cs="宋体"/>
          <w:color w:val="FF0000"/>
          <w:sz w:val="24"/>
          <w:szCs w:val="24"/>
          <w:lang w:val="en-US" w:eastAsia="zh-CN"/>
        </w:rPr>
        <w:t>0</w:t>
      </w:r>
      <w:r>
        <w:rPr>
          <w:rFonts w:hint="default" w:ascii="宋体" w:hAnsi="宋体" w:eastAsia="宋体" w:cs="宋体"/>
          <w:color w:val="FF0000"/>
          <w:sz w:val="24"/>
          <w:szCs w:val="24"/>
          <w:lang w:val="en-US" w:eastAsia="zh-CN"/>
        </w:rPr>
        <w:t>0元，10、11、12号门面保证金为3000元/间。</w:t>
      </w:r>
    </w:p>
    <w:p w14:paraId="38045B0B">
      <w:pPr>
        <w:snapToGrid w:val="0"/>
        <w:spacing w:line="400" w:lineRule="exact"/>
        <w:ind w:firstLine="480" w:firstLineChars="200"/>
        <w:jc w:val="left"/>
        <w:rPr>
          <w:rFonts w:hint="default" w:ascii="宋体" w:hAnsi="宋体" w:eastAsia="宋体" w:cs="宋体"/>
          <w:color w:val="FF0000"/>
          <w:sz w:val="24"/>
          <w:szCs w:val="24"/>
          <w:lang w:val="en-US" w:eastAsia="zh-CN"/>
        </w:rPr>
      </w:pPr>
      <w:bookmarkStart w:id="66" w:name="_Toc28327"/>
      <w:bookmarkStart w:id="67" w:name="_Toc485108787"/>
      <w:r>
        <w:rPr>
          <w:rFonts w:hint="eastAsia" w:ascii="宋体" w:hAnsi="宋体" w:eastAsia="宋体" w:cs="宋体"/>
          <w:color w:val="FF0000"/>
          <w:sz w:val="24"/>
          <w:szCs w:val="24"/>
          <w:lang w:val="en-US" w:eastAsia="zh-CN"/>
        </w:rPr>
        <w:t>4</w:t>
      </w:r>
      <w:r>
        <w:rPr>
          <w:rFonts w:hint="default" w:ascii="宋体" w:hAnsi="宋体" w:eastAsia="宋体" w:cs="宋体"/>
          <w:color w:val="FF0000"/>
          <w:sz w:val="24"/>
          <w:szCs w:val="24"/>
          <w:lang w:val="en-US" w:eastAsia="zh-CN"/>
        </w:rPr>
        <w:t>.所有门面均不得改变所租门面的建筑结构，不得损坏其设施。门面如需装修装饰应经</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同意后方可实施，其费用由承租方自行承担，承租方承诺在退租房屋时不得向</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提出索要其装修装饰费用，不能搬走的装修部分归</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所有。</w:t>
      </w:r>
    </w:p>
    <w:p w14:paraId="74FA5907">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5</w:t>
      </w:r>
      <w:r>
        <w:rPr>
          <w:rFonts w:hint="default" w:ascii="宋体" w:hAnsi="宋体" w:eastAsia="宋体" w:cs="宋体"/>
          <w:color w:val="FF0000"/>
          <w:sz w:val="24"/>
          <w:szCs w:val="24"/>
          <w:lang w:val="en-US" w:eastAsia="zh-CN"/>
        </w:rPr>
        <w:t>.严禁承租方在租用的门面内经营医疗、美容、中西药品、</w:t>
      </w:r>
      <w:r>
        <w:rPr>
          <w:rFonts w:hint="eastAsia" w:ascii="宋体" w:hAnsi="宋体" w:eastAsia="宋体" w:cs="宋体"/>
          <w:color w:val="FF0000"/>
          <w:sz w:val="24"/>
          <w:szCs w:val="24"/>
          <w:lang w:val="en-US" w:eastAsia="zh-CN"/>
        </w:rPr>
        <w:t>棋牌</w:t>
      </w:r>
      <w:r>
        <w:rPr>
          <w:rFonts w:hint="default" w:ascii="宋体" w:hAnsi="宋体" w:eastAsia="宋体" w:cs="宋体"/>
          <w:color w:val="FF0000"/>
          <w:sz w:val="24"/>
          <w:szCs w:val="24"/>
          <w:lang w:val="en-US" w:eastAsia="zh-CN"/>
        </w:rPr>
        <w:t>、</w:t>
      </w:r>
      <w:r>
        <w:rPr>
          <w:rFonts w:hint="eastAsia" w:ascii="宋体" w:hAnsi="宋体" w:eastAsia="宋体" w:cs="宋体"/>
          <w:color w:val="FF0000"/>
          <w:sz w:val="24"/>
          <w:szCs w:val="24"/>
          <w:lang w:val="en-US" w:eastAsia="zh-CN"/>
        </w:rPr>
        <w:t>歌</w:t>
      </w:r>
      <w:r>
        <w:rPr>
          <w:rFonts w:hint="default" w:ascii="宋体" w:hAnsi="宋体" w:eastAsia="宋体" w:cs="宋体"/>
          <w:color w:val="FF0000"/>
          <w:sz w:val="24"/>
          <w:szCs w:val="24"/>
          <w:lang w:val="en-US" w:eastAsia="zh-CN"/>
        </w:rPr>
        <w:t>厅和</w:t>
      </w:r>
      <w:r>
        <w:rPr>
          <w:rFonts w:hint="eastAsia" w:ascii="宋体" w:hAnsi="宋体" w:eastAsia="宋体" w:cs="宋体"/>
          <w:color w:val="FF0000"/>
          <w:sz w:val="24"/>
          <w:szCs w:val="24"/>
          <w:lang w:val="en-US" w:eastAsia="zh-CN"/>
        </w:rPr>
        <w:t>餐饮</w:t>
      </w:r>
      <w:r>
        <w:rPr>
          <w:rFonts w:hint="default" w:ascii="宋体" w:hAnsi="宋体" w:eastAsia="宋体" w:cs="宋体"/>
          <w:color w:val="FF0000"/>
          <w:sz w:val="24"/>
          <w:szCs w:val="24"/>
          <w:lang w:val="en-US" w:eastAsia="zh-CN"/>
        </w:rPr>
        <w:t>业</w:t>
      </w:r>
      <w:r>
        <w:rPr>
          <w:rFonts w:hint="eastAsia" w:ascii="宋体" w:hAnsi="宋体" w:eastAsia="宋体" w:cs="宋体"/>
          <w:color w:val="FF0000"/>
          <w:sz w:val="24"/>
          <w:szCs w:val="24"/>
          <w:lang w:val="en-US" w:eastAsia="zh-CN"/>
        </w:rPr>
        <w:t>以及国家法律法规禁止的经营项目或从事任何违法活动</w:t>
      </w:r>
      <w:r>
        <w:rPr>
          <w:rFonts w:hint="default" w:ascii="宋体" w:hAnsi="宋体" w:eastAsia="宋体" w:cs="宋体"/>
          <w:color w:val="FF0000"/>
          <w:sz w:val="24"/>
          <w:szCs w:val="24"/>
          <w:lang w:val="en-US" w:eastAsia="zh-CN"/>
        </w:rPr>
        <w:t>，否则属承租方违约，</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有权单方面解除本合同，并赔偿</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的损失，承租方无权提出异议。</w:t>
      </w:r>
    </w:p>
    <w:p w14:paraId="59775810">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6</w:t>
      </w:r>
      <w:r>
        <w:rPr>
          <w:rFonts w:hint="default" w:ascii="宋体" w:hAnsi="宋体" w:eastAsia="宋体" w:cs="宋体"/>
          <w:color w:val="FF0000"/>
          <w:sz w:val="24"/>
          <w:szCs w:val="24"/>
          <w:lang w:val="en-US" w:eastAsia="zh-CN"/>
        </w:rPr>
        <w:t>.承租方在租用门面期间，如因特殊原因不再租用，应提前30天与</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协商停止租用，办理退租手续，同时将门面交回</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，承租方不得将所租门面私自转租给他人或收取转让费。本合同期满后，若承租方不愿续租，</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凭收据无息退还保证金；除承租方外，其他任何人持保证金收据均不能退还门面保证金。</w:t>
      </w:r>
    </w:p>
    <w:p w14:paraId="1CFA3EDE">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7</w:t>
      </w:r>
      <w:r>
        <w:rPr>
          <w:rFonts w:hint="default" w:ascii="宋体" w:hAnsi="宋体" w:eastAsia="宋体" w:cs="宋体"/>
          <w:color w:val="FF0000"/>
          <w:sz w:val="24"/>
          <w:szCs w:val="24"/>
          <w:lang w:val="en-US" w:eastAsia="zh-CN"/>
        </w:rPr>
        <w:t>.承租方在租用该门面期间应守法经营，自行负责向税务、工商等部门交纳税费或其它费用，如有违法行为，一律与</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无关，一切后果由承租方负责承担。</w:t>
      </w:r>
    </w:p>
    <w:p w14:paraId="1EC8AD82">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8</w:t>
      </w:r>
      <w:r>
        <w:rPr>
          <w:rFonts w:hint="default" w:ascii="宋体" w:hAnsi="宋体" w:eastAsia="宋体" w:cs="宋体"/>
          <w:color w:val="FF0000"/>
          <w:sz w:val="24"/>
          <w:szCs w:val="24"/>
          <w:lang w:val="en-US" w:eastAsia="zh-CN"/>
        </w:rPr>
        <w:t>.承租方要做好门前三包，防火防盗，不得使用电热器取暖、做饭等，如发生火灾，按《安全生产法》《消防法》等有关规定，自行承担法律责任。</w:t>
      </w:r>
    </w:p>
    <w:p w14:paraId="15A46C04">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9.参选承租方需在报名文件备注需要租赁的具体门面。</w:t>
      </w:r>
    </w:p>
    <w:p w14:paraId="389CAE50">
      <w:pPr>
        <w:tabs>
          <w:tab w:val="left" w:pos="2332"/>
        </w:tabs>
        <w:rPr>
          <w:rFonts w:hint="eastAsia" w:ascii="宋体" w:hAnsi="宋体" w:eastAsia="宋体" w:cs="宋体"/>
          <w:lang w:eastAsia="zh-CN"/>
        </w:rPr>
      </w:pPr>
    </w:p>
    <w:p w14:paraId="6707134D">
      <w:pPr>
        <w:tabs>
          <w:tab w:val="left" w:pos="2332"/>
        </w:tabs>
        <w:jc w:val="center"/>
        <w:rPr>
          <w:rFonts w:hint="eastAsia" w:ascii="宋体" w:hAnsi="宋体" w:eastAsia="宋体" w:cs="宋体"/>
          <w:b/>
          <w:color w:val="auto"/>
          <w:sz w:val="36"/>
          <w:szCs w:val="36"/>
        </w:rPr>
      </w:pPr>
    </w:p>
    <w:p w14:paraId="051DB5A7">
      <w:pPr>
        <w:tabs>
          <w:tab w:val="left" w:pos="2332"/>
        </w:tabs>
        <w:jc w:val="center"/>
        <w:rPr>
          <w:rFonts w:hint="eastAsia" w:ascii="宋体" w:hAnsi="宋体" w:eastAsia="宋体" w:cs="宋体"/>
          <w:b/>
          <w:color w:val="auto"/>
          <w:sz w:val="36"/>
          <w:szCs w:val="36"/>
        </w:rPr>
      </w:pPr>
    </w:p>
    <w:p w14:paraId="40D37C97">
      <w:pPr>
        <w:tabs>
          <w:tab w:val="left" w:pos="2332"/>
        </w:tabs>
        <w:jc w:val="center"/>
        <w:rPr>
          <w:rFonts w:hint="eastAsia" w:ascii="宋体" w:hAnsi="宋体" w:eastAsia="宋体" w:cs="宋体"/>
          <w:b/>
          <w:color w:val="auto"/>
          <w:sz w:val="36"/>
          <w:szCs w:val="36"/>
        </w:rPr>
      </w:pPr>
    </w:p>
    <w:p w14:paraId="28AA47D9">
      <w:pPr>
        <w:tabs>
          <w:tab w:val="left" w:pos="2332"/>
        </w:tabs>
        <w:jc w:val="center"/>
        <w:rPr>
          <w:rFonts w:hint="eastAsia" w:ascii="宋体" w:hAnsi="宋体" w:eastAsia="宋体" w:cs="宋体"/>
          <w:b/>
          <w:color w:val="auto"/>
          <w:sz w:val="36"/>
          <w:szCs w:val="36"/>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403569795"/>
      <w:bookmarkStart w:id="72" w:name="_Toc7358"/>
      <w:bookmarkStart w:id="73" w:name="_Toc485108793"/>
      <w:r>
        <w:rPr>
          <w:rFonts w:hint="eastAsia" w:ascii="宋体" w:hAnsi="宋体" w:eastAsia="宋体" w:cs="宋体"/>
          <w:color w:val="auto"/>
          <w:sz w:val="24"/>
          <w:szCs w:val="24"/>
          <w:lang w:val="en-US" w:eastAsia="zh-CN"/>
        </w:rPr>
        <w:t>一、商务需求</w:t>
      </w:r>
    </w:p>
    <w:p w14:paraId="2E7D79BC">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w:t>
      </w:r>
      <w:r>
        <w:rPr>
          <w:rFonts w:hint="default" w:ascii="宋体" w:hAnsi="宋体" w:eastAsia="宋体" w:cs="宋体"/>
          <w:color w:val="FF0000"/>
          <w:sz w:val="24"/>
          <w:szCs w:val="24"/>
          <w:lang w:val="en-US" w:eastAsia="zh-CN"/>
        </w:rPr>
        <w:t>承租方在租用期间的水费、电费及税费</w:t>
      </w:r>
      <w:r>
        <w:rPr>
          <w:rFonts w:hint="eastAsia" w:ascii="宋体" w:hAnsi="宋体" w:eastAsia="宋体" w:cs="宋体"/>
          <w:color w:val="FF0000"/>
          <w:sz w:val="24"/>
          <w:szCs w:val="24"/>
          <w:lang w:val="en-US" w:eastAsia="zh-CN"/>
        </w:rPr>
        <w:t>等</w:t>
      </w:r>
      <w:r>
        <w:rPr>
          <w:rFonts w:hint="default" w:ascii="宋体" w:hAnsi="宋体" w:eastAsia="宋体" w:cs="宋体"/>
          <w:color w:val="FF0000"/>
          <w:sz w:val="24"/>
          <w:szCs w:val="24"/>
          <w:lang w:val="en-US" w:eastAsia="zh-CN"/>
        </w:rPr>
        <w:t>由承租方自行承担，其交费标准按商业用收费标准计算每季度交入重庆医科大学附属永川医院财务科。</w:t>
      </w:r>
    </w:p>
    <w:p w14:paraId="750FF642">
      <w:pPr>
        <w:spacing w:line="56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2.付款方式：</w:t>
      </w:r>
      <w:r>
        <w:rPr>
          <w:rFonts w:hint="default" w:ascii="宋体" w:hAnsi="宋体" w:eastAsia="宋体" w:cs="宋体"/>
          <w:color w:val="FF0000"/>
          <w:sz w:val="24"/>
          <w:szCs w:val="24"/>
          <w:lang w:val="en-US" w:eastAsia="zh-CN"/>
        </w:rPr>
        <w:t>租金按</w:t>
      </w:r>
      <w:r>
        <w:rPr>
          <w:rFonts w:hint="eastAsia" w:ascii="宋体" w:hAnsi="宋体" w:eastAsia="宋体" w:cs="宋体"/>
          <w:color w:val="FF0000"/>
          <w:sz w:val="24"/>
          <w:szCs w:val="24"/>
          <w:lang w:val="en-US" w:eastAsia="zh-CN"/>
        </w:rPr>
        <w:t>季</w:t>
      </w:r>
      <w:r>
        <w:rPr>
          <w:rFonts w:hint="default" w:ascii="宋体" w:hAnsi="宋体" w:eastAsia="宋体" w:cs="宋体"/>
          <w:color w:val="FF0000"/>
          <w:sz w:val="24"/>
          <w:szCs w:val="24"/>
          <w:lang w:val="en-US" w:eastAsia="zh-CN"/>
        </w:rPr>
        <w:t>预交，上季度最后10日预交下季度租金至重庆医科大学附属永川医院财务科。如承租方未按时交纳租金，属承租方违约，承租方应及时补缴租金，</w:t>
      </w:r>
      <w:r>
        <w:rPr>
          <w:rFonts w:hint="eastAsia" w:ascii="宋体" w:hAnsi="宋体" w:eastAsia="宋体" w:cs="宋体"/>
          <w:color w:val="FF0000"/>
          <w:sz w:val="24"/>
          <w:szCs w:val="24"/>
          <w:lang w:val="en-US" w:eastAsia="zh-CN"/>
        </w:rPr>
        <w:t>并</w:t>
      </w:r>
      <w:r>
        <w:rPr>
          <w:rFonts w:hint="default" w:ascii="宋体" w:hAnsi="宋体" w:eastAsia="宋体" w:cs="宋体"/>
          <w:color w:val="FF0000"/>
          <w:sz w:val="24"/>
          <w:szCs w:val="24"/>
          <w:lang w:val="en-US" w:eastAsia="zh-CN"/>
        </w:rPr>
        <w:t>按照</w:t>
      </w:r>
      <w:r>
        <w:rPr>
          <w:rFonts w:hint="eastAsia" w:ascii="宋体" w:hAnsi="宋体" w:eastAsia="宋体" w:cs="宋体"/>
          <w:color w:val="FF0000"/>
          <w:sz w:val="24"/>
          <w:szCs w:val="24"/>
          <w:lang w:val="en-US" w:eastAsia="zh-CN"/>
        </w:rPr>
        <w:t>逾期天数*（</w:t>
      </w:r>
      <w:r>
        <w:rPr>
          <w:rFonts w:hint="default" w:ascii="宋体" w:hAnsi="宋体" w:eastAsia="宋体" w:cs="宋体"/>
          <w:color w:val="FF0000"/>
          <w:sz w:val="24"/>
          <w:szCs w:val="24"/>
          <w:lang w:val="en-US" w:eastAsia="zh-CN"/>
        </w:rPr>
        <w:t>月租金/30</w:t>
      </w:r>
      <w:r>
        <w:rPr>
          <w:rFonts w:hint="eastAsia" w:ascii="宋体" w:hAnsi="宋体" w:eastAsia="宋体" w:cs="宋体"/>
          <w:color w:val="FF0000"/>
          <w:sz w:val="24"/>
          <w:szCs w:val="24"/>
          <w:lang w:val="en-US" w:eastAsia="zh-CN"/>
        </w:rPr>
        <w:t>）</w:t>
      </w:r>
      <w:r>
        <w:rPr>
          <w:rFonts w:hint="default" w:ascii="宋体" w:hAnsi="宋体" w:eastAsia="宋体" w:cs="宋体"/>
          <w:color w:val="FF0000"/>
          <w:sz w:val="24"/>
          <w:szCs w:val="24"/>
          <w:lang w:val="en-US" w:eastAsia="zh-CN"/>
        </w:rPr>
        <w:t>的标准支付逾期违约金</w:t>
      </w:r>
      <w:r>
        <w:rPr>
          <w:rFonts w:hint="eastAsia" w:ascii="宋体" w:hAnsi="宋体" w:eastAsia="宋体" w:cs="宋体"/>
          <w:color w:val="FF0000"/>
          <w:sz w:val="24"/>
          <w:szCs w:val="24"/>
          <w:lang w:val="en-US" w:eastAsia="zh-CN"/>
        </w:rPr>
        <w:t>。如逾期</w:t>
      </w:r>
      <w:r>
        <w:rPr>
          <w:rFonts w:hint="default" w:ascii="宋体" w:hAnsi="宋体" w:eastAsia="宋体" w:cs="宋体"/>
          <w:color w:val="FF0000"/>
          <w:sz w:val="24"/>
          <w:szCs w:val="24"/>
          <w:lang w:val="en-US" w:eastAsia="zh-CN"/>
        </w:rPr>
        <w:t>超过30天，</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有权单方解除本合同，承租方无权提出异议。</w:t>
      </w:r>
    </w:p>
    <w:p w14:paraId="76955AC7">
      <w:pPr>
        <w:spacing w:line="56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w:t>
      </w:r>
      <w:r>
        <w:rPr>
          <w:rFonts w:hint="default" w:ascii="宋体" w:hAnsi="宋体" w:eastAsia="宋体" w:cs="宋体"/>
          <w:color w:val="FF0000"/>
          <w:sz w:val="24"/>
          <w:szCs w:val="24"/>
          <w:lang w:val="en-US" w:eastAsia="zh-CN"/>
        </w:rPr>
        <w:t>.经营期间若发生下列情况，承租方承诺自行承担全部损失，</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对承租方不作任何经济补偿，本协议自然终止：</w:t>
      </w:r>
    </w:p>
    <w:p w14:paraId="1C7DDAFD">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（1）不可抗力因素如自然灾害等导致的毁损；</w:t>
      </w:r>
    </w:p>
    <w:p w14:paraId="523E2F9A">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（2）由于国家政策层面的原因需终止的；</w:t>
      </w:r>
    </w:p>
    <w:p w14:paraId="478F7F01">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（3）由于上级主管部门明令禁止的原因等；</w:t>
      </w:r>
    </w:p>
    <w:p w14:paraId="29629797">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（4）</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若提前收回门面应提前30天通知承租方。</w:t>
      </w:r>
    </w:p>
    <w:p w14:paraId="4B9EC976">
      <w:pPr>
        <w:spacing w:line="56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w:t>
      </w:r>
      <w:r>
        <w:rPr>
          <w:rFonts w:hint="default" w:ascii="宋体" w:hAnsi="宋体" w:eastAsia="宋体" w:cs="宋体"/>
          <w:color w:val="FF0000"/>
          <w:sz w:val="24"/>
          <w:szCs w:val="24"/>
          <w:lang w:val="en-US" w:eastAsia="zh-CN"/>
        </w:rPr>
        <w:t>.承租方要爱护所租门面的全部设施，合同到期时，双方共同检查验收门面设施，如因使用不当或违反本合同规定造成损失，承租方按价赔偿或承担修理费用。</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85108794"/>
      <w:bookmarkStart w:id="75" w:name="_Toc403569796"/>
      <w:bookmarkStart w:id="76" w:name="_Toc14840"/>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17879"/>
      <w:bookmarkStart w:id="87" w:name="_Toc54718203"/>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2241"/>
      <w:bookmarkStart w:id="99" w:name="_Toc54718206"/>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54718211"/>
      <w:bookmarkStart w:id="108" w:name="_Toc1158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54718210"/>
      <w:bookmarkStart w:id="112" w:name="_Toc31719"/>
      <w:bookmarkStart w:id="113" w:name="_Toc54718212"/>
      <w:bookmarkStart w:id="114" w:name="_Toc26580"/>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19C33860">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1"/>
      <w:bookmarkStart w:id="133" w:name="OLE_LINK10"/>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37B023E1">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313888360"/>
      <w:bookmarkStart w:id="137" w:name="_Toc342913419"/>
      <w:bookmarkStart w:id="138" w:name="_Toc480979018"/>
      <w:bookmarkStart w:id="139" w:name="_Toc485108796"/>
      <w:bookmarkStart w:id="140" w:name="_Toc313008356"/>
      <w:bookmarkStart w:id="141" w:name="_Toc283382454"/>
      <w:bookmarkStart w:id="142" w:name="_Toc12789073"/>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213490B0">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008357"/>
      <w:bookmarkStart w:id="144" w:name="_Toc313888361"/>
      <w:bookmarkStart w:id="145" w:name="_Toc485108797"/>
      <w:bookmarkStart w:id="146" w:name="_Toc342913420"/>
      <w:bookmarkStart w:id="147" w:name="_Toc480979019"/>
      <w:r>
        <w:rPr>
          <w:rFonts w:hint="eastAsia" w:ascii="黑体" w:hAnsi="黑体" w:eastAsia="黑体"/>
          <w:sz w:val="32"/>
          <w:szCs w:val="32"/>
          <w:lang w:val="en-US" w:eastAsia="zh-CN"/>
        </w:rPr>
        <w:t>附件1</w:t>
      </w:r>
    </w:p>
    <w:p w14:paraId="556CFC96">
      <w:pPr>
        <w:pStyle w:val="51"/>
        <w:spacing w:before="0" w:beforeAutospacing="0" w:after="0" w:afterAutospacing="0" w:line="480" w:lineRule="exact"/>
        <w:jc w:val="center"/>
        <w:rPr>
          <w:sz w:val="44"/>
          <w:szCs w:val="44"/>
        </w:rPr>
      </w:pPr>
      <w:r>
        <w:rPr>
          <w:rFonts w:hint="eastAsia"/>
          <w:sz w:val="44"/>
          <w:szCs w:val="44"/>
        </w:rPr>
        <w:t>报 价 表</w:t>
      </w:r>
    </w:p>
    <w:p w14:paraId="5D4261AC">
      <w:pPr>
        <w:tabs>
          <w:tab w:val="left" w:pos="6300"/>
        </w:tabs>
        <w:snapToGrid w:val="0"/>
        <w:spacing w:line="360" w:lineRule="auto"/>
        <w:rPr>
          <w:rFonts w:hint="eastAsia" w:ascii="宋体" w:hAnsi="宋体" w:eastAsia="宋体" w:cs="宋体"/>
          <w:color w:val="FF0000"/>
          <w:sz w:val="24"/>
          <w:szCs w:val="24"/>
          <w:lang w:eastAsia="zh-CN"/>
        </w:rPr>
      </w:pPr>
    </w:p>
    <w:p w14:paraId="75BD078B">
      <w:pPr>
        <w:rPr>
          <w:rFonts w:hint="default" w:ascii="宋体" w:hAnsi="宋体" w:eastAsia="宋体" w:cs="宋体"/>
          <w:b/>
          <w:color w:val="FF0000"/>
          <w:lang w:val="en-US" w:eastAsia="zh-CN"/>
        </w:rPr>
      </w:pPr>
    </w:p>
    <w:tbl>
      <w:tblPr>
        <w:tblStyle w:val="5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3205"/>
        <w:gridCol w:w="3208"/>
      </w:tblGrid>
      <w:tr w14:paraId="66F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66" w:type="pct"/>
            <w:vAlign w:val="center"/>
          </w:tcPr>
          <w:p w14:paraId="7B085915">
            <w:pPr>
              <w:jc w:val="center"/>
              <w:rPr>
                <w:rFonts w:hint="eastAsia" w:ascii="宋体" w:hAnsi="宋体" w:eastAsia="宋体" w:cs="宋体"/>
                <w:b/>
                <w:color w:val="FF0000"/>
                <w:sz w:val="28"/>
                <w:szCs w:val="28"/>
                <w:vertAlign w:val="baseline"/>
                <w:lang w:eastAsia="zh-CN"/>
              </w:rPr>
            </w:pPr>
            <w:r>
              <w:rPr>
                <w:rFonts w:hint="eastAsia" w:ascii="宋体" w:hAnsi="宋体" w:eastAsia="宋体" w:cs="宋体"/>
                <w:b/>
                <w:color w:val="FF0000"/>
                <w:sz w:val="28"/>
                <w:szCs w:val="28"/>
                <w:vertAlign w:val="baseline"/>
                <w:lang w:eastAsia="zh-CN"/>
              </w:rPr>
              <w:t>项目</w:t>
            </w:r>
          </w:p>
        </w:tc>
        <w:tc>
          <w:tcPr>
            <w:tcW w:w="1666" w:type="pct"/>
            <w:vAlign w:val="center"/>
          </w:tcPr>
          <w:p w14:paraId="359A8660">
            <w:pPr>
              <w:jc w:val="center"/>
              <w:rPr>
                <w:rFonts w:hint="eastAsia" w:ascii="宋体" w:hAnsi="宋体" w:eastAsia="宋体" w:cs="宋体"/>
                <w:b/>
                <w:color w:val="FF0000"/>
                <w:sz w:val="28"/>
                <w:szCs w:val="28"/>
                <w:vertAlign w:val="baseline"/>
                <w:lang w:eastAsia="zh-CN"/>
              </w:rPr>
            </w:pPr>
            <w:r>
              <w:rPr>
                <w:rFonts w:hint="eastAsia" w:ascii="宋体" w:hAnsi="宋体" w:eastAsia="宋体" w:cs="宋体"/>
                <w:b/>
                <w:color w:val="FF0000"/>
                <w:sz w:val="28"/>
                <w:szCs w:val="28"/>
                <w:vertAlign w:val="baseline"/>
                <w:lang w:eastAsia="zh-CN"/>
              </w:rPr>
              <w:t>价格（元</w:t>
            </w:r>
            <w:r>
              <w:rPr>
                <w:rFonts w:hint="eastAsia" w:ascii="宋体" w:hAnsi="宋体" w:eastAsia="宋体" w:cs="宋体"/>
                <w:b/>
                <w:color w:val="FF0000"/>
                <w:sz w:val="28"/>
                <w:szCs w:val="28"/>
                <w:vertAlign w:val="baseline"/>
                <w:lang w:val="en-US" w:eastAsia="zh-CN"/>
              </w:rPr>
              <w:t>/月/间</w:t>
            </w:r>
            <w:r>
              <w:rPr>
                <w:rFonts w:hint="eastAsia" w:ascii="宋体" w:hAnsi="宋体" w:eastAsia="宋体" w:cs="宋体"/>
                <w:b/>
                <w:color w:val="FF0000"/>
                <w:sz w:val="28"/>
                <w:szCs w:val="28"/>
                <w:vertAlign w:val="baseline"/>
                <w:lang w:eastAsia="zh-CN"/>
              </w:rPr>
              <w:t>）</w:t>
            </w:r>
          </w:p>
        </w:tc>
        <w:tc>
          <w:tcPr>
            <w:tcW w:w="1667" w:type="pct"/>
            <w:vAlign w:val="center"/>
          </w:tcPr>
          <w:p w14:paraId="2376751D">
            <w:pPr>
              <w:jc w:val="center"/>
              <w:rPr>
                <w:rFonts w:hint="eastAsia" w:ascii="宋体" w:hAnsi="宋体" w:eastAsia="宋体" w:cs="宋体"/>
                <w:b/>
                <w:color w:val="FF0000"/>
                <w:sz w:val="28"/>
                <w:szCs w:val="28"/>
                <w:vertAlign w:val="baseline"/>
                <w:lang w:eastAsia="zh-CN"/>
              </w:rPr>
            </w:pPr>
            <w:r>
              <w:rPr>
                <w:rFonts w:hint="eastAsia" w:ascii="宋体" w:hAnsi="宋体" w:eastAsia="宋体" w:cs="宋体"/>
                <w:b/>
                <w:color w:val="FF0000"/>
                <w:sz w:val="28"/>
                <w:szCs w:val="28"/>
                <w:vertAlign w:val="baseline"/>
                <w:lang w:eastAsia="zh-CN"/>
              </w:rPr>
              <w:t>备注</w:t>
            </w:r>
          </w:p>
        </w:tc>
      </w:tr>
      <w:tr w14:paraId="26F0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666" w:type="pct"/>
            <w:vAlign w:val="center"/>
          </w:tcPr>
          <w:p w14:paraId="2D4E8DFF">
            <w:pPr>
              <w:jc w:val="center"/>
              <w:rPr>
                <w:rFonts w:hint="eastAsia" w:ascii="宋体" w:hAnsi="宋体" w:eastAsia="宋体" w:cs="宋体"/>
                <w:b/>
                <w:color w:val="FF0000"/>
                <w:sz w:val="28"/>
                <w:szCs w:val="28"/>
                <w:vertAlign w:val="baseline"/>
              </w:rPr>
            </w:pPr>
            <w:r>
              <w:rPr>
                <w:rFonts w:hint="default" w:ascii="宋体" w:hAnsi="宋体" w:eastAsia="宋体" w:cs="宋体"/>
                <w:b/>
                <w:color w:val="FF0000"/>
                <w:lang w:val="en-US" w:eastAsia="zh-CN"/>
              </w:rPr>
              <w:t>1-9号门面</w:t>
            </w:r>
          </w:p>
        </w:tc>
        <w:tc>
          <w:tcPr>
            <w:tcW w:w="1666" w:type="pct"/>
            <w:vAlign w:val="center"/>
          </w:tcPr>
          <w:p w14:paraId="1021AD5A">
            <w:pPr>
              <w:rPr>
                <w:rFonts w:hint="eastAsia" w:ascii="宋体" w:hAnsi="宋体" w:eastAsia="宋体" w:cs="宋体"/>
                <w:b/>
                <w:color w:val="FF0000"/>
                <w:sz w:val="28"/>
                <w:szCs w:val="28"/>
                <w:vertAlign w:val="baseline"/>
              </w:rPr>
            </w:pPr>
          </w:p>
        </w:tc>
        <w:tc>
          <w:tcPr>
            <w:tcW w:w="1667" w:type="pct"/>
            <w:vAlign w:val="center"/>
          </w:tcPr>
          <w:p w14:paraId="32DCC0FD">
            <w:pPr>
              <w:rPr>
                <w:rFonts w:hint="eastAsia" w:ascii="宋体" w:hAnsi="宋体" w:eastAsia="宋体" w:cs="宋体"/>
                <w:b/>
                <w:color w:val="FF0000"/>
                <w:sz w:val="28"/>
                <w:szCs w:val="28"/>
                <w:vertAlign w:val="baseline"/>
              </w:rPr>
            </w:pPr>
          </w:p>
        </w:tc>
      </w:tr>
      <w:tr w14:paraId="0E20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666" w:type="pct"/>
            <w:vAlign w:val="center"/>
          </w:tcPr>
          <w:p w14:paraId="24069425">
            <w:pPr>
              <w:jc w:val="center"/>
              <w:rPr>
                <w:rFonts w:hint="eastAsia" w:ascii="宋体" w:hAnsi="宋体" w:eastAsia="宋体" w:cs="宋体"/>
                <w:b/>
                <w:color w:val="FF0000"/>
                <w:sz w:val="28"/>
                <w:szCs w:val="28"/>
                <w:vertAlign w:val="baseline"/>
                <w:lang w:val="en-US" w:eastAsia="zh-CN"/>
              </w:rPr>
            </w:pPr>
            <w:r>
              <w:rPr>
                <w:rFonts w:hint="eastAsia" w:ascii="宋体" w:hAnsi="宋体" w:eastAsia="宋体" w:cs="宋体"/>
                <w:b/>
                <w:color w:val="FF0000"/>
                <w:lang w:val="en-US" w:eastAsia="zh-CN"/>
              </w:rPr>
              <w:t>10-12号门面</w:t>
            </w:r>
          </w:p>
        </w:tc>
        <w:tc>
          <w:tcPr>
            <w:tcW w:w="1666" w:type="pct"/>
            <w:vAlign w:val="center"/>
          </w:tcPr>
          <w:p w14:paraId="7D65EA6B">
            <w:pPr>
              <w:rPr>
                <w:rFonts w:hint="eastAsia" w:ascii="宋体" w:hAnsi="宋体" w:eastAsia="宋体" w:cs="宋体"/>
                <w:b/>
                <w:color w:val="FF0000"/>
                <w:sz w:val="28"/>
                <w:szCs w:val="28"/>
                <w:vertAlign w:val="baseline"/>
              </w:rPr>
            </w:pPr>
          </w:p>
        </w:tc>
        <w:tc>
          <w:tcPr>
            <w:tcW w:w="1667" w:type="pct"/>
            <w:vAlign w:val="center"/>
          </w:tcPr>
          <w:p w14:paraId="4C13A5E3">
            <w:pPr>
              <w:rPr>
                <w:rFonts w:hint="eastAsia" w:ascii="宋体" w:hAnsi="宋体" w:eastAsia="宋体" w:cs="宋体"/>
                <w:b/>
                <w:color w:val="FF0000"/>
                <w:sz w:val="28"/>
                <w:szCs w:val="28"/>
                <w:vertAlign w:val="baseline"/>
              </w:rPr>
            </w:pPr>
          </w:p>
        </w:tc>
      </w:tr>
    </w:tbl>
    <w:p w14:paraId="3FFDEB59">
      <w:pPr>
        <w:rPr>
          <w:rFonts w:hint="eastAsia" w:ascii="宋体" w:hAnsi="宋体" w:eastAsia="宋体" w:cs="宋体"/>
          <w:b/>
          <w:color w:val="FF0000"/>
        </w:rPr>
      </w:pPr>
    </w:p>
    <w:p w14:paraId="6F6FECF6">
      <w:pPr>
        <w:snapToGrid w:val="0"/>
        <w:spacing w:line="400" w:lineRule="exact"/>
        <w:ind w:firstLine="422" w:firstLineChars="200"/>
        <w:jc w:val="left"/>
        <w:rPr>
          <w:rFonts w:hint="default" w:ascii="宋体" w:hAnsi="宋体" w:eastAsia="宋体" w:cs="宋体"/>
          <w:b/>
          <w:color w:val="FF0000"/>
          <w:lang w:val="en-US" w:eastAsia="zh-CN"/>
        </w:rPr>
      </w:pPr>
      <w:r>
        <w:rPr>
          <w:rFonts w:hint="eastAsia" w:ascii="宋体" w:hAnsi="宋体" w:eastAsia="宋体" w:cs="宋体"/>
          <w:b/>
          <w:color w:val="FF0000"/>
          <w:lang w:eastAsia="zh-CN"/>
        </w:rPr>
        <w:t>注：</w:t>
      </w:r>
      <w:r>
        <w:rPr>
          <w:rFonts w:hint="eastAsia" w:ascii="宋体" w:hAnsi="宋体" w:eastAsia="宋体" w:cs="宋体"/>
          <w:b/>
          <w:color w:val="FF0000"/>
          <w:lang w:val="en-US" w:eastAsia="zh-CN"/>
        </w:rPr>
        <w:t>1.</w:t>
      </w:r>
      <w:r>
        <w:rPr>
          <w:rFonts w:hint="default" w:ascii="宋体" w:hAnsi="宋体" w:eastAsia="宋体" w:cs="宋体"/>
          <w:b/>
          <w:color w:val="FF0000"/>
          <w:lang w:val="en-US" w:eastAsia="zh-CN"/>
        </w:rPr>
        <w:t>萱花院区门诊外临街1-9号门面需整租，</w:t>
      </w:r>
      <w:r>
        <w:rPr>
          <w:rFonts w:hint="eastAsia" w:ascii="宋体" w:hAnsi="宋体" w:eastAsia="宋体" w:cs="宋体"/>
          <w:b/>
          <w:color w:val="FF0000"/>
          <w:lang w:val="en-US" w:eastAsia="zh-CN"/>
        </w:rPr>
        <w:t>面积共118.53㎡。如承租方经营验光配镜，属于特殊经营范围，则月租金不低于600元/㎡，即1-9号门面</w:t>
      </w:r>
      <w:r>
        <w:rPr>
          <w:rFonts w:hint="default" w:ascii="宋体" w:hAnsi="宋体" w:eastAsia="宋体" w:cs="宋体"/>
          <w:b/>
          <w:color w:val="FF0000"/>
          <w:lang w:val="en-US" w:eastAsia="zh-CN"/>
        </w:rPr>
        <w:t>租金不低于71118元/月。</w:t>
      </w:r>
    </w:p>
    <w:p w14:paraId="6F2C6FBA">
      <w:pPr>
        <w:numPr>
          <w:ilvl w:val="0"/>
          <w:numId w:val="14"/>
        </w:numPr>
        <w:snapToGrid w:val="0"/>
        <w:spacing w:line="400" w:lineRule="exact"/>
        <w:ind w:firstLine="422" w:firstLineChars="200"/>
        <w:jc w:val="left"/>
        <w:rPr>
          <w:rFonts w:hint="default" w:ascii="宋体" w:hAnsi="宋体" w:eastAsia="宋体" w:cs="宋体"/>
          <w:b/>
          <w:color w:val="FF0000"/>
          <w:lang w:val="en-US" w:eastAsia="zh-CN"/>
        </w:rPr>
      </w:pPr>
      <w:r>
        <w:rPr>
          <w:rFonts w:hint="default" w:ascii="宋体" w:hAnsi="宋体" w:eastAsia="宋体" w:cs="宋体"/>
          <w:b/>
          <w:color w:val="FF0000"/>
          <w:lang w:val="en-US" w:eastAsia="zh-CN"/>
        </w:rPr>
        <w:t>临街10、11、12号门面可整租也可单租，</w:t>
      </w:r>
      <w:r>
        <w:rPr>
          <w:rFonts w:hint="eastAsia" w:ascii="宋体" w:hAnsi="宋体" w:eastAsia="宋体" w:cs="宋体"/>
          <w:b/>
          <w:color w:val="FF0000"/>
          <w:lang w:val="en-US" w:eastAsia="zh-CN"/>
        </w:rPr>
        <w:t>面积均为14.1㎡。10-12号门面</w:t>
      </w:r>
      <w:r>
        <w:rPr>
          <w:rFonts w:hint="default" w:ascii="宋体" w:hAnsi="宋体" w:eastAsia="宋体" w:cs="宋体"/>
          <w:b/>
          <w:color w:val="FF0000"/>
          <w:lang w:val="en-US" w:eastAsia="zh-CN"/>
        </w:rPr>
        <w:t>租金不低于3525元/月/间。</w:t>
      </w:r>
    </w:p>
    <w:p w14:paraId="1B3B92FA">
      <w:pPr>
        <w:numPr>
          <w:ilvl w:val="0"/>
          <w:numId w:val="14"/>
        </w:numPr>
        <w:snapToGrid w:val="0"/>
        <w:spacing w:line="400" w:lineRule="exact"/>
        <w:ind w:firstLine="422" w:firstLineChars="200"/>
        <w:jc w:val="left"/>
        <w:rPr>
          <w:rFonts w:hint="default" w:ascii="宋体" w:hAnsi="宋体" w:eastAsia="宋体" w:cs="宋体"/>
          <w:b/>
          <w:color w:val="FF0000"/>
          <w:lang w:val="en-US" w:eastAsia="zh-CN"/>
        </w:rPr>
      </w:pPr>
      <w:r>
        <w:rPr>
          <w:rFonts w:hint="eastAsia" w:ascii="宋体" w:hAnsi="宋体" w:eastAsia="宋体" w:cs="宋体"/>
          <w:b/>
          <w:color w:val="FF0000"/>
          <w:lang w:val="en-US" w:eastAsia="zh-CN"/>
        </w:rPr>
        <w:t>参选承租方需在此表备注参选的具体门面。</w:t>
      </w:r>
    </w:p>
    <w:p w14:paraId="3B8B6BE0">
      <w:pPr>
        <w:rPr>
          <w:rFonts w:hint="default" w:ascii="宋体" w:hAnsi="宋体" w:eastAsia="宋体" w:cs="宋体"/>
          <w:b/>
          <w:color w:val="FF0000"/>
          <w:lang w:val="en-US" w:eastAsia="zh-CN"/>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279A457E">
      <w:pPr>
        <w:rPr>
          <w:rFonts w:hint="eastAsia" w:ascii="宋体" w:hAnsi="宋体" w:eastAsia="宋体" w:cs="宋体"/>
          <w:b/>
          <w:color w:val="FF0000"/>
        </w:rPr>
      </w:pPr>
    </w:p>
    <w:p w14:paraId="3DA8DD72">
      <w:pPr>
        <w:rPr>
          <w:rFonts w:hint="eastAsia" w:ascii="宋体" w:hAnsi="宋体" w:eastAsia="宋体" w:cs="宋体"/>
          <w:b/>
          <w:color w:val="FF0000"/>
        </w:rPr>
      </w:pPr>
    </w:p>
    <w:p w14:paraId="2F47B7FB">
      <w:pPr>
        <w:rPr>
          <w:rFonts w:hint="eastAsia" w:ascii="宋体" w:hAnsi="宋体" w:eastAsia="宋体" w:cs="宋体"/>
          <w:b/>
          <w:color w:val="FF0000"/>
        </w:rPr>
      </w:pPr>
    </w:p>
    <w:p w14:paraId="601755EF">
      <w:pPr>
        <w:rPr>
          <w:rFonts w:hint="eastAsia" w:ascii="宋体" w:hAnsi="宋体" w:eastAsia="宋体" w:cs="宋体"/>
          <w:b/>
          <w:color w:val="auto"/>
        </w:rPr>
      </w:pPr>
    </w:p>
    <w:p w14:paraId="7E594C28">
      <w:pPr>
        <w:rPr>
          <w:rFonts w:hint="eastAsia" w:ascii="宋体" w:hAnsi="宋体" w:eastAsia="宋体" w:cs="宋体"/>
          <w:b/>
          <w:color w:val="auto"/>
        </w:rPr>
      </w:pPr>
    </w:p>
    <w:p w14:paraId="7E571D04">
      <w:pPr>
        <w:rPr>
          <w:rFonts w:hint="eastAsia" w:ascii="宋体" w:hAnsi="宋体" w:eastAsia="宋体" w:cs="宋体"/>
          <w:b/>
          <w:color w:val="auto"/>
        </w:rPr>
      </w:pPr>
    </w:p>
    <w:p w14:paraId="71FB911B">
      <w:pPr>
        <w:rPr>
          <w:rFonts w:hint="eastAsia" w:ascii="宋体" w:hAnsi="宋体" w:eastAsia="宋体" w:cs="宋体"/>
          <w:b/>
          <w:color w:val="auto"/>
        </w:rPr>
      </w:pPr>
    </w:p>
    <w:p w14:paraId="7D085430">
      <w:pPr>
        <w:rPr>
          <w:rFonts w:hint="eastAsia" w:ascii="宋体" w:hAnsi="宋体" w:eastAsia="宋体" w:cs="宋体"/>
          <w:b/>
          <w:color w:val="auto"/>
        </w:rPr>
      </w:pPr>
    </w:p>
    <w:p w14:paraId="447F7910">
      <w:pPr>
        <w:rPr>
          <w:rFonts w:hint="eastAsia" w:ascii="宋体" w:hAnsi="宋体" w:eastAsia="宋体" w:cs="宋体"/>
          <w:b/>
          <w:color w:val="auto"/>
        </w:rPr>
      </w:pPr>
    </w:p>
    <w:p w14:paraId="43512ECE">
      <w:pPr>
        <w:rPr>
          <w:rFonts w:hint="eastAsia" w:ascii="宋体" w:hAnsi="宋体" w:eastAsia="宋体" w:cs="宋体"/>
          <w:b/>
          <w:color w:val="auto"/>
        </w:rPr>
      </w:pPr>
    </w:p>
    <w:p w14:paraId="01B4984D">
      <w:pPr>
        <w:rPr>
          <w:rFonts w:hint="eastAsia" w:ascii="宋体" w:hAnsi="宋体" w:eastAsia="宋体" w:cs="宋体"/>
          <w:b/>
          <w:color w:val="auto"/>
        </w:rPr>
      </w:pPr>
    </w:p>
    <w:p w14:paraId="1EC9F724">
      <w:pPr>
        <w:rPr>
          <w:rFonts w:hint="eastAsia" w:ascii="宋体" w:hAnsi="宋体" w:eastAsia="宋体" w:cs="宋体"/>
          <w:b/>
          <w:color w:val="auto"/>
        </w:rPr>
      </w:pPr>
    </w:p>
    <w:p w14:paraId="563A5FED">
      <w:pPr>
        <w:rPr>
          <w:rFonts w:hint="eastAsia" w:ascii="宋体" w:hAnsi="宋体" w:eastAsia="宋体" w:cs="宋体"/>
          <w:b/>
          <w:color w:val="auto"/>
        </w:rPr>
      </w:pPr>
    </w:p>
    <w:p w14:paraId="30B429E7">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888362"/>
      <w:bookmarkStart w:id="149" w:name="_Toc485108798"/>
      <w:bookmarkStart w:id="150" w:name="_Toc313008358"/>
      <w:bookmarkStart w:id="151" w:name="_Toc480979020"/>
      <w:bookmarkStart w:id="152" w:name="_Toc342913421"/>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572EA794">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447D67AC">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42913422"/>
      <w:bookmarkStart w:id="155" w:name="_Toc313888363"/>
      <w:bookmarkStart w:id="156" w:name="_Toc313008359"/>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p w14:paraId="0E14E2D6">
      <w:pPr>
        <w:rPr>
          <w:rFonts w:hint="eastAsia" w:ascii="宋体" w:hAnsi="宋体" w:eastAsia="宋体" w:cs="宋体"/>
          <w:color w:val="auto"/>
        </w:rPr>
      </w:pPr>
    </w:p>
    <w:p w14:paraId="1AC32B4E">
      <w:pPr>
        <w:rPr>
          <w:rFonts w:hint="eastAsia" w:ascii="宋体" w:hAnsi="宋体" w:eastAsia="宋体" w:cs="宋体"/>
          <w:color w:val="auto"/>
        </w:rPr>
      </w:pPr>
    </w:p>
    <w:p w14:paraId="4F9C677C">
      <w:pPr>
        <w:rPr>
          <w:rFonts w:hint="eastAsia" w:ascii="宋体" w:hAnsi="宋体" w:eastAsia="宋体" w:cs="宋体"/>
          <w:color w:val="auto"/>
        </w:rPr>
      </w:pPr>
    </w:p>
    <w:p w14:paraId="240A526D">
      <w:pPr>
        <w:rPr>
          <w:rFonts w:hint="eastAsia" w:ascii="宋体" w:hAnsi="宋体" w:eastAsia="宋体" w:cs="宋体"/>
          <w:color w:val="auto"/>
        </w:rPr>
      </w:pPr>
    </w:p>
    <w:p w14:paraId="2F0EE370">
      <w:pPr>
        <w:rPr>
          <w:rFonts w:hint="eastAsia" w:ascii="宋体" w:hAnsi="宋体" w:eastAsia="宋体" w:cs="宋体"/>
          <w:color w:val="auto"/>
        </w:rPr>
      </w:pPr>
    </w:p>
    <w:p w14:paraId="3C6DE15C">
      <w:pPr>
        <w:rPr>
          <w:rFonts w:hint="eastAsia" w:ascii="宋体" w:hAnsi="宋体" w:eastAsia="宋体" w:cs="宋体"/>
          <w:color w:val="auto"/>
        </w:rPr>
      </w:pPr>
    </w:p>
    <w:p w14:paraId="6E2F7E35">
      <w:pPr>
        <w:rPr>
          <w:rFonts w:hint="eastAsia" w:ascii="宋体" w:hAnsi="宋体" w:eastAsia="宋体" w:cs="宋体"/>
          <w:color w:val="auto"/>
        </w:rPr>
      </w:pPr>
    </w:p>
    <w:p w14:paraId="2D9EE4D3">
      <w:pPr>
        <w:rPr>
          <w:rFonts w:hint="eastAsia" w:ascii="宋体" w:hAnsi="宋体" w:eastAsia="宋体" w:cs="宋体"/>
          <w:color w:val="auto"/>
        </w:rPr>
      </w:pPr>
    </w:p>
    <w:p w14:paraId="0A30CD05">
      <w:pPr>
        <w:rPr>
          <w:rFonts w:hint="eastAsia" w:ascii="宋体" w:hAnsi="宋体" w:eastAsia="宋体" w:cs="宋体"/>
          <w:color w:val="auto"/>
        </w:rPr>
      </w:pPr>
    </w:p>
    <w:p w14:paraId="5E297985">
      <w:pPr>
        <w:rPr>
          <w:rFonts w:hint="eastAsia" w:ascii="宋体" w:hAnsi="宋体" w:eastAsia="宋体" w:cs="宋体"/>
          <w:color w:val="auto"/>
        </w:rPr>
      </w:pPr>
    </w:p>
    <w:p w14:paraId="458EA993">
      <w:pPr>
        <w:rPr>
          <w:rFonts w:hint="eastAsia" w:ascii="宋体" w:hAnsi="宋体" w:eastAsia="宋体" w:cs="宋体"/>
          <w:color w:val="auto"/>
        </w:rPr>
      </w:pPr>
    </w:p>
    <w:p w14:paraId="55847485">
      <w:pPr>
        <w:rPr>
          <w:rFonts w:hint="eastAsia" w:ascii="宋体" w:hAnsi="宋体" w:eastAsia="宋体" w:cs="宋体"/>
          <w:color w:val="auto"/>
        </w:rPr>
      </w:pPr>
    </w:p>
    <w:p w14:paraId="41A457D5">
      <w:pPr>
        <w:rPr>
          <w:rFonts w:hint="eastAsia" w:ascii="宋体" w:hAnsi="宋体" w:eastAsia="宋体" w:cs="宋体"/>
          <w:color w:val="auto"/>
        </w:rPr>
      </w:pPr>
    </w:p>
    <w:p w14:paraId="691CAB32">
      <w:pPr>
        <w:rPr>
          <w:rFonts w:hint="eastAsia" w:ascii="宋体" w:hAnsi="宋体" w:eastAsia="宋体" w:cs="宋体"/>
          <w:color w:val="auto"/>
        </w:rPr>
      </w:pPr>
    </w:p>
    <w:p w14:paraId="6320105C">
      <w:pPr>
        <w:rPr>
          <w:rFonts w:hint="eastAsia" w:ascii="宋体" w:hAnsi="宋体" w:eastAsia="宋体" w:cs="宋体"/>
          <w:color w:val="auto"/>
        </w:rPr>
      </w:pPr>
    </w:p>
    <w:p w14:paraId="59547202">
      <w:pPr>
        <w:rPr>
          <w:rFonts w:hint="eastAsia" w:ascii="宋体" w:hAnsi="宋体" w:eastAsia="宋体" w:cs="宋体"/>
          <w:color w:val="auto"/>
        </w:rPr>
      </w:pPr>
    </w:p>
    <w:p w14:paraId="7212DAB3">
      <w:pPr>
        <w:rPr>
          <w:rFonts w:hint="eastAsia" w:ascii="宋体" w:hAnsi="宋体" w:eastAsia="宋体" w:cs="宋体"/>
          <w:color w:val="auto"/>
        </w:rPr>
      </w:pPr>
    </w:p>
    <w:p w14:paraId="236CDBC7">
      <w:pPr>
        <w:rPr>
          <w:rFonts w:hint="eastAsia" w:ascii="宋体" w:hAnsi="宋体" w:eastAsia="宋体" w:cs="宋体"/>
          <w:color w:val="auto"/>
        </w:rPr>
      </w:pPr>
    </w:p>
    <w:p w14:paraId="0899747E">
      <w:pPr>
        <w:rPr>
          <w:rFonts w:hint="eastAsia" w:ascii="宋体" w:hAnsi="宋体" w:eastAsia="宋体" w:cs="宋体"/>
          <w:color w:val="auto"/>
        </w:rPr>
      </w:pPr>
    </w:p>
    <w:p w14:paraId="2ACAF63E">
      <w:pPr>
        <w:rPr>
          <w:rFonts w:hint="eastAsia" w:ascii="宋体" w:hAnsi="宋体" w:eastAsia="宋体" w:cs="宋体"/>
          <w:color w:val="auto"/>
        </w:rPr>
      </w:pPr>
    </w:p>
    <w:p w14:paraId="34CB1A14">
      <w:pPr>
        <w:rPr>
          <w:rFonts w:hint="eastAsia" w:ascii="宋体" w:hAnsi="宋体" w:eastAsia="宋体" w:cs="宋体"/>
          <w:color w:val="auto"/>
        </w:rPr>
      </w:pPr>
    </w:p>
    <w:p w14:paraId="67EBC5AC">
      <w:pPr>
        <w:rPr>
          <w:rFonts w:hint="eastAsia" w:ascii="宋体" w:hAnsi="宋体" w:eastAsia="宋体" w:cs="宋体"/>
          <w:color w:val="auto"/>
        </w:rPr>
      </w:pPr>
    </w:p>
    <w:p w14:paraId="08C30166">
      <w:pPr>
        <w:rPr>
          <w:rFonts w:hint="eastAsia" w:ascii="宋体" w:hAnsi="宋体" w:eastAsia="宋体" w:cs="宋体"/>
          <w:color w:val="auto"/>
        </w:rPr>
      </w:pPr>
    </w:p>
    <w:p w14:paraId="2F894899">
      <w:pPr>
        <w:rPr>
          <w:rFonts w:hint="eastAsia" w:ascii="宋体" w:hAnsi="宋体" w:eastAsia="宋体" w:cs="宋体"/>
          <w:color w:val="auto"/>
        </w:rPr>
      </w:pPr>
    </w:p>
    <w:p w14:paraId="1362CF76">
      <w:pPr>
        <w:rPr>
          <w:rFonts w:hint="eastAsia" w:ascii="宋体" w:hAnsi="宋体" w:eastAsia="宋体" w:cs="宋体"/>
          <w:color w:val="auto"/>
        </w:rPr>
      </w:pPr>
    </w:p>
    <w:p w14:paraId="4EB40D29">
      <w:pPr>
        <w:rPr>
          <w:rFonts w:hint="eastAsia" w:ascii="宋体" w:hAnsi="宋体" w:eastAsia="宋体" w:cs="宋体"/>
          <w:color w:val="auto"/>
        </w:rPr>
      </w:pPr>
    </w:p>
    <w:p w14:paraId="2830269F">
      <w:pPr>
        <w:rPr>
          <w:rFonts w:hint="eastAsia" w:ascii="宋体" w:hAnsi="宋体" w:eastAsia="宋体" w:cs="宋体"/>
          <w:color w:val="auto"/>
        </w:rPr>
      </w:pPr>
    </w:p>
    <w:p w14:paraId="6EA99EE5">
      <w:pPr>
        <w:rPr>
          <w:rFonts w:hint="eastAsia" w:ascii="宋体" w:hAnsi="宋体" w:eastAsia="宋体" w:cs="宋体"/>
          <w:color w:val="auto"/>
        </w:rPr>
      </w:pPr>
    </w:p>
    <w:p w14:paraId="52DFDD1B">
      <w:pPr>
        <w:rPr>
          <w:rFonts w:hint="eastAsia" w:ascii="宋体" w:hAnsi="宋体" w:eastAsia="宋体" w:cs="宋体"/>
          <w:color w:val="auto"/>
        </w:rPr>
      </w:pPr>
    </w:p>
    <w:p w14:paraId="601662AB">
      <w:pPr>
        <w:rPr>
          <w:rFonts w:hint="eastAsia" w:ascii="宋体" w:hAnsi="宋体" w:eastAsia="宋体" w:cs="宋体"/>
          <w:color w:val="auto"/>
        </w:rPr>
      </w:pPr>
    </w:p>
    <w:p w14:paraId="16ADD694">
      <w:pPr>
        <w:rPr>
          <w:rFonts w:hint="eastAsia" w:ascii="宋体" w:hAnsi="宋体" w:eastAsia="宋体" w:cs="宋体"/>
          <w:color w:val="auto"/>
        </w:rPr>
      </w:pPr>
    </w:p>
    <w:p w14:paraId="5889F3BD">
      <w:pPr>
        <w:rPr>
          <w:rFonts w:hint="eastAsia" w:ascii="宋体" w:hAnsi="宋体" w:eastAsia="宋体" w:cs="宋体"/>
          <w:color w:val="auto"/>
          <w:lang w:val="en-US" w:eastAsia="zh-CN"/>
        </w:rPr>
      </w:pPr>
      <w:r>
        <w:rPr>
          <w:rFonts w:hint="eastAsia" w:ascii="宋体" w:hAnsi="宋体" w:eastAsia="宋体" w:cs="宋体"/>
          <w:color w:val="auto"/>
          <w:lang w:eastAsia="zh-CN"/>
        </w:rPr>
        <w:t>附件</w:t>
      </w:r>
      <w:r>
        <w:rPr>
          <w:rFonts w:hint="eastAsia" w:ascii="宋体" w:hAnsi="宋体" w:eastAsia="宋体" w:cs="宋体"/>
          <w:color w:val="auto"/>
          <w:lang w:val="en-US" w:eastAsia="zh-CN"/>
        </w:rPr>
        <w:t>1</w:t>
      </w:r>
    </w:p>
    <w:p w14:paraId="1C8E9350">
      <w:pPr>
        <w:rPr>
          <w:rFonts w:hint="default" w:ascii="宋体" w:hAnsi="宋体" w:eastAsia="宋体" w:cs="宋体"/>
          <w:color w:val="auto"/>
          <w:lang w:val="en-US" w:eastAsia="zh-CN"/>
        </w:rPr>
      </w:pPr>
      <w:r>
        <w:rPr>
          <w:rFonts w:hint="default" w:ascii="宋体" w:hAnsi="宋体" w:eastAsia="宋体" w:cs="宋体"/>
          <w:color w:val="auto"/>
          <w:lang w:val="en-US" w:eastAsia="zh-CN"/>
        </w:rPr>
        <w:drawing>
          <wp:inline distT="0" distB="0" distL="114300" distR="114300">
            <wp:extent cx="3248025" cy="3962400"/>
            <wp:effectExtent l="0" t="0" r="9525" b="0"/>
            <wp:docPr id="8" name="图片 8" descr="lQLPKHA5VeckDJ_NAaDNAVWw2WxhTFlmc1sG3KJVu9OmAA_341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QLPKHA5VeckDJ_NAaDNAVWw2WxhTFlmc1sG3KJVu9OmAA_341_416"/>
                    <pic:cNvPicPr>
                      <a:picLocks noChangeAspect="1"/>
                    </pic:cNvPicPr>
                  </pic:nvPicPr>
                  <pic:blipFill>
                    <a:blip r:embed="rId16"/>
                    <a:stretch>
                      <a:fillRect/>
                    </a:stretch>
                  </pic:blipFill>
                  <pic:spPr>
                    <a:xfrm>
                      <a:off x="0" y="0"/>
                      <a:ext cx="3248025" cy="3962400"/>
                    </a:xfrm>
                    <a:prstGeom prst="rect">
                      <a:avLst/>
                    </a:prstGeom>
                  </pic:spPr>
                </pic:pic>
              </a:graphicData>
            </a:graphic>
          </wp:inline>
        </w:drawing>
      </w:r>
    </w:p>
    <w:p w14:paraId="2CCF33AC">
      <w:pPr>
        <w:rPr>
          <w:rFonts w:hint="default" w:ascii="宋体" w:hAnsi="宋体" w:eastAsia="宋体" w:cs="宋体"/>
          <w:color w:val="auto"/>
          <w:lang w:val="en-US" w:eastAsia="zh-CN"/>
        </w:rPr>
      </w:pPr>
    </w:p>
    <w:p w14:paraId="65F98155">
      <w:pPr>
        <w:rPr>
          <w:rFonts w:hint="default" w:ascii="宋体" w:hAnsi="宋体" w:eastAsia="宋体" w:cs="宋体"/>
          <w:color w:val="auto"/>
          <w:lang w:val="en-US" w:eastAsia="zh-CN"/>
        </w:rPr>
      </w:pPr>
    </w:p>
    <w:p w14:paraId="233BD93E">
      <w:pPr>
        <w:rPr>
          <w:rFonts w:hint="default" w:ascii="宋体" w:hAnsi="宋体" w:eastAsia="宋体" w:cs="宋体"/>
          <w:color w:val="auto"/>
          <w:lang w:val="en-US" w:eastAsia="zh-CN"/>
        </w:rPr>
      </w:pPr>
      <w:r>
        <w:rPr>
          <w:rFonts w:hint="default" w:ascii="宋体" w:hAnsi="宋体" w:eastAsia="宋体" w:cs="宋体"/>
          <w:color w:val="auto"/>
          <w:lang w:val="en-US" w:eastAsia="zh-CN"/>
        </w:rPr>
        <w:drawing>
          <wp:inline distT="0" distB="0" distL="114300" distR="114300">
            <wp:extent cx="7948930" cy="5962015"/>
            <wp:effectExtent l="0" t="0" r="635" b="13970"/>
            <wp:docPr id="9" name="图片 9" descr="lQDPKG9mVVcalh_NBaDNB4CwmsNQd1zSKzcG3KJ35IUb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DPKG9mVVcalh_NBaDNB4CwmsNQd1zSKzcG3KJ35IUbAA_1920_1440"/>
                    <pic:cNvPicPr>
                      <a:picLocks noChangeAspect="1"/>
                    </pic:cNvPicPr>
                  </pic:nvPicPr>
                  <pic:blipFill>
                    <a:blip r:embed="rId17"/>
                    <a:stretch>
                      <a:fillRect/>
                    </a:stretch>
                  </pic:blipFill>
                  <pic:spPr>
                    <a:xfrm rot="5400000">
                      <a:off x="0" y="0"/>
                      <a:ext cx="7948930" cy="5962015"/>
                    </a:xfrm>
                    <a:prstGeom prst="rect">
                      <a:avLst/>
                    </a:prstGeom>
                  </pic:spPr>
                </pic:pic>
              </a:graphicData>
            </a:graphic>
          </wp:inline>
        </w:drawing>
      </w: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005AFE-A5F6-41B1-AACE-91488915564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32F64F83-0E39-400F-9AAB-85B57A2DD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29C392"/>
    <w:multiLevelType w:val="singleLevel"/>
    <w:tmpl w:val="E029C392"/>
    <w:lvl w:ilvl="0" w:tentative="0">
      <w:start w:val="2"/>
      <w:numFmt w:val="decimal"/>
      <w:lvlText w:val="%1."/>
      <w:lvlJc w:val="left"/>
      <w:pPr>
        <w:tabs>
          <w:tab w:val="left" w:pos="312"/>
        </w:tabs>
      </w:p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5E64439"/>
    <w:rsid w:val="05E94CDF"/>
    <w:rsid w:val="06A45EA9"/>
    <w:rsid w:val="06BC1BB0"/>
    <w:rsid w:val="074B1659"/>
    <w:rsid w:val="07911761"/>
    <w:rsid w:val="07C5765D"/>
    <w:rsid w:val="07F26429"/>
    <w:rsid w:val="084C34CD"/>
    <w:rsid w:val="0ACF458A"/>
    <w:rsid w:val="0B6515A1"/>
    <w:rsid w:val="0B6F68C5"/>
    <w:rsid w:val="0BAE21B6"/>
    <w:rsid w:val="0BDC31C7"/>
    <w:rsid w:val="0BE1258C"/>
    <w:rsid w:val="0C033E70"/>
    <w:rsid w:val="0C3152C1"/>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774D53"/>
    <w:rsid w:val="158D32E0"/>
    <w:rsid w:val="15B3640A"/>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A2DC5"/>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D815698"/>
    <w:rsid w:val="2D9C536D"/>
    <w:rsid w:val="2E4A05E4"/>
    <w:rsid w:val="2F1F1F02"/>
    <w:rsid w:val="2F2348BD"/>
    <w:rsid w:val="2F6F1AD9"/>
    <w:rsid w:val="2F943FCB"/>
    <w:rsid w:val="2FD06C0B"/>
    <w:rsid w:val="30A44277"/>
    <w:rsid w:val="30B15F03"/>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2030507"/>
    <w:rsid w:val="420A020E"/>
    <w:rsid w:val="428345E9"/>
    <w:rsid w:val="429D5EC0"/>
    <w:rsid w:val="437470EA"/>
    <w:rsid w:val="43F81C45"/>
    <w:rsid w:val="444565A3"/>
    <w:rsid w:val="447A6AFE"/>
    <w:rsid w:val="44A8406A"/>
    <w:rsid w:val="45AC0F39"/>
    <w:rsid w:val="461B60BF"/>
    <w:rsid w:val="46C96141"/>
    <w:rsid w:val="46D06FAA"/>
    <w:rsid w:val="475461C4"/>
    <w:rsid w:val="477A0BC3"/>
    <w:rsid w:val="47D41743"/>
    <w:rsid w:val="47F3755A"/>
    <w:rsid w:val="482B71EF"/>
    <w:rsid w:val="487D04F4"/>
    <w:rsid w:val="48FA020D"/>
    <w:rsid w:val="492C6FBB"/>
    <w:rsid w:val="499D1F70"/>
    <w:rsid w:val="4A1025A8"/>
    <w:rsid w:val="4AC26B09"/>
    <w:rsid w:val="4AD41B9B"/>
    <w:rsid w:val="4AED1C9D"/>
    <w:rsid w:val="4BE8259F"/>
    <w:rsid w:val="4C4E289A"/>
    <w:rsid w:val="4DD75684"/>
    <w:rsid w:val="4E0D2518"/>
    <w:rsid w:val="4E231003"/>
    <w:rsid w:val="4EBA456B"/>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AE15E3"/>
    <w:rsid w:val="5D290C69"/>
    <w:rsid w:val="5E36741C"/>
    <w:rsid w:val="5E930DF8"/>
    <w:rsid w:val="5F3F2DAC"/>
    <w:rsid w:val="5FB15C3A"/>
    <w:rsid w:val="5FDF26F7"/>
    <w:rsid w:val="6022194E"/>
    <w:rsid w:val="606E5CB4"/>
    <w:rsid w:val="60980BFD"/>
    <w:rsid w:val="60D65D3F"/>
    <w:rsid w:val="60F4333C"/>
    <w:rsid w:val="611A50B4"/>
    <w:rsid w:val="619C43F3"/>
    <w:rsid w:val="6269072D"/>
    <w:rsid w:val="62A30CCB"/>
    <w:rsid w:val="6352606D"/>
    <w:rsid w:val="639436E3"/>
    <w:rsid w:val="6445282D"/>
    <w:rsid w:val="645A13DB"/>
    <w:rsid w:val="656A40F1"/>
    <w:rsid w:val="667E25AF"/>
    <w:rsid w:val="66815672"/>
    <w:rsid w:val="679C27B9"/>
    <w:rsid w:val="67CB3049"/>
    <w:rsid w:val="67FF2A16"/>
    <w:rsid w:val="682465CF"/>
    <w:rsid w:val="68821B44"/>
    <w:rsid w:val="68A05F7B"/>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7452BA0"/>
    <w:rsid w:val="774923FD"/>
    <w:rsid w:val="777E28EC"/>
    <w:rsid w:val="77B52272"/>
    <w:rsid w:val="783A1618"/>
    <w:rsid w:val="788222E3"/>
    <w:rsid w:val="7908485F"/>
    <w:rsid w:val="7936053E"/>
    <w:rsid w:val="793F0B2C"/>
    <w:rsid w:val="797D07AB"/>
    <w:rsid w:val="79AC25AE"/>
    <w:rsid w:val="79CE205A"/>
    <w:rsid w:val="7AAC0A0E"/>
    <w:rsid w:val="7B306E47"/>
    <w:rsid w:val="7B8C6B3B"/>
    <w:rsid w:val="7BD77DB7"/>
    <w:rsid w:val="7C3F595C"/>
    <w:rsid w:val="7C683BAE"/>
    <w:rsid w:val="7CAF2E00"/>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16787</Words>
  <Characters>17492</Characters>
  <Lines>182</Lines>
  <Paragraphs>51</Paragraphs>
  <TotalTime>6</TotalTime>
  <ScaleCrop>false</ScaleCrop>
  <LinksUpToDate>false</LinksUpToDate>
  <CharactersWithSpaces>18697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2025-05-22T00:29:12Z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