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2025FW056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全科楼技能培训中心改造服务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F492CA">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485108766"/>
      <w:bookmarkStart w:id="2" w:name="_Toc25875"/>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全科楼技能培训中心改造服务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28443"/>
      <w:bookmarkStart w:id="7" w:name="_Toc313893526"/>
      <w:bookmarkStart w:id="8" w:name="_Toc317775175"/>
      <w:bookmarkStart w:id="9"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全科楼技能培训中心改造服务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：自筹资金,项目预算：626,641.79元。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05B35286">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建筑业企业资质证书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建筑工程施工总承包贰级及以上、建筑装修装饰工程贰级及以上、建筑机电安装工程贰级及以上）</w:t>
      </w:r>
    </w:p>
    <w:p w14:paraId="031E0D82">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有效的</w:t>
      </w:r>
      <w:r>
        <w:rPr>
          <w:rFonts w:hint="eastAsia" w:ascii="宋体" w:hAnsi="宋体" w:eastAsia="宋体" w:cs="宋体"/>
          <w:color w:val="000000" w:themeColor="text1"/>
          <w:sz w:val="24"/>
          <w:szCs w:val="24"/>
          <w:shd w:val="clear" w:color="auto" w:fill="auto"/>
          <w14:textFill>
            <w14:solidFill>
              <w14:schemeClr w14:val="tx1"/>
            </w14:solidFill>
          </w14:textFill>
        </w:rPr>
        <w:t>安全生产许可证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AF8C55C">
      <w:pPr>
        <w:spacing w:line="4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项目</w:t>
      </w:r>
      <w:r>
        <w:rPr>
          <w:rFonts w:hint="eastAsia" w:ascii="宋体" w:hAnsi="宋体" w:eastAsia="宋体" w:cs="宋体"/>
          <w:color w:val="FF0000"/>
          <w:sz w:val="24"/>
          <w:szCs w:val="24"/>
          <w:shd w:val="clear" w:color="auto" w:fill="auto"/>
        </w:rPr>
        <w:t>为总价包干（包含但不限于人工费、材料费、机械费、保险费、税费等各项费用）。</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并满足甲方使用要求，除设计变更或采购方要求的改动内容外，总价不作调整。设计变更或采购方要求的改动内容执行上述定额按实结算，其中人工、材料价格按施工同期《重庆工程造价信息》发布价取算数平均值，造价信息没有的材料由双方共同认质认价。</w:t>
      </w:r>
      <w:r>
        <w:rPr>
          <w:rFonts w:hint="eastAsia" w:ascii="宋体" w:hAnsi="宋体" w:eastAsia="宋体" w:cs="宋体"/>
          <w:color w:val="FF0000"/>
          <w:sz w:val="24"/>
          <w:szCs w:val="24"/>
          <w:shd w:val="clear" w:color="auto" w:fill="auto"/>
          <w:lang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8"/>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342913393"/>
      <w:bookmarkStart w:id="38" w:name="_Toc179714298"/>
      <w:bookmarkStart w:id="39" w:name="_Toc102227319"/>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项目内容：全科楼技能培训中心改造项目内容详见施工图（现场勘测后发放图纸）。安全文明施工费、措施费等由各投标单位结合自身情况统一报价，招标前另行通知现场勘查，勘察完成后发放图纸。不到现场勘察的投标人，一旦中标投标人不得以不完全了解施工现场情况为借口而提出额外赔偿，或延长工期的要求，造成一切损失由投标人承担。</w:t>
      </w:r>
    </w:p>
    <w:p w14:paraId="1F2C7383">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w:t>
      </w:r>
    </w:p>
    <w:p w14:paraId="58D06CAC">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人员要求：本项目涉及到焊接的部位，焊工需具有中华人民共和国应急管理部（原国家安全生产监督管理局）颁发的“焊接与热切割作业”证书，并且为本公司员工（提供社保证明）。项目开工前，特种作业人员必须到场，直至项目竣工验收完成，未经我院同意不得随意更换特种作业人员。</w:t>
      </w:r>
    </w:p>
    <w:p w14:paraId="1702757A">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val="en-US" w:eastAsia="zh-CN"/>
        </w:rPr>
        <w:t>、开工前责任科室需提交临时施工许可证申请，相关部门审核通过后并办理了临时施工许可证后方可进行施工。在施工过程中，中标方应采取有效的安全措施，保证施工人员和其他人员的人身安全，并承担因安全事故导致的一切经济和法律责任。如有损坏财产须照价赔偿。并遵守安全文明施工。</w:t>
      </w:r>
    </w:p>
    <w:p w14:paraId="056F45DA">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default"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val="en-US" w:eastAsia="zh-CN"/>
        </w:rPr>
        <w:t>、本项目完工后需做好各项售后服务。</w:t>
      </w: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1.质保期：2年。</w:t>
      </w:r>
    </w:p>
    <w:p w14:paraId="7517BE2F">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2.工期：不大于40天</w:t>
      </w:r>
    </w:p>
    <w:p w14:paraId="61BDF0A5">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合同签订后5个工作日内，服务方向采购方转账支付合同金额的8%作为履约保证金。验收合格后服务方提供完整的验收资料两套和合法发票，经采购方审核无误后60日内转账支付合同价款100%，履约保证金在质保期满后无息支付。</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43" w:name="_Toc485108797"/>
      <w:bookmarkStart w:id="144" w:name="_Toc313888361"/>
      <w:bookmarkStart w:id="145" w:name="_Toc480979019"/>
      <w:bookmarkStart w:id="146" w:name="_Toc342913420"/>
      <w:bookmarkStart w:id="147" w:name="_Toc313008357"/>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sz w:val="24"/>
                <w:lang w:val="en-US" w:eastAsia="zh-CN"/>
              </w:rPr>
              <w:t>全科楼技能培训中心改造项目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6CA2ECB9">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PPR管</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PVC管</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地砖</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r w14:paraId="343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65DD48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石膏板</w:t>
            </w:r>
          </w:p>
        </w:tc>
        <w:tc>
          <w:tcPr>
            <w:tcW w:w="1830" w:type="dxa"/>
            <w:vAlign w:val="center"/>
          </w:tcPr>
          <w:p w14:paraId="60576612">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7CBF49BE">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38C926A">
            <w:pPr>
              <w:tabs>
                <w:tab w:val="left" w:pos="1134"/>
              </w:tabs>
              <w:jc w:val="center"/>
              <w:rPr>
                <w:rFonts w:hint="default" w:ascii="黑体" w:hAnsi="黑体" w:eastAsia="黑体"/>
                <w:sz w:val="32"/>
                <w:szCs w:val="32"/>
                <w:vertAlign w:val="baseline"/>
                <w:lang w:val="en-US" w:eastAsia="zh-CN"/>
              </w:rPr>
            </w:pPr>
          </w:p>
        </w:tc>
      </w:tr>
      <w:tr w14:paraId="2684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0BC014C">
            <w:pPr>
              <w:tabs>
                <w:tab w:val="left" w:pos="1134"/>
              </w:tabs>
              <w:jc w:val="center"/>
              <w:rPr>
                <w:rFonts w:hint="eastAsia" w:ascii="宋体" w:hAnsi="宋体" w:eastAsia="宋体" w:cs="宋体"/>
                <w:sz w:val="24"/>
                <w:szCs w:val="24"/>
                <w:vertAlign w:val="baseline"/>
                <w:lang w:val="en-US" w:eastAsia="zh-CN"/>
              </w:rPr>
            </w:pPr>
            <w:r>
              <w:rPr>
                <w:rFonts w:hint="eastAsia" w:ascii="宋体" w:hAnsi="宋体"/>
                <w:sz w:val="24"/>
                <w:lang w:val="en-US" w:eastAsia="zh-CN"/>
              </w:rPr>
              <w:t>铜芯线</w:t>
            </w:r>
          </w:p>
        </w:tc>
        <w:tc>
          <w:tcPr>
            <w:tcW w:w="1830" w:type="dxa"/>
            <w:vAlign w:val="center"/>
          </w:tcPr>
          <w:p w14:paraId="26693EB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46E0CFB">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D6D7E47">
            <w:pPr>
              <w:tabs>
                <w:tab w:val="left" w:pos="1134"/>
              </w:tabs>
              <w:jc w:val="center"/>
              <w:rPr>
                <w:rFonts w:hint="default" w:ascii="黑体" w:hAnsi="黑体" w:eastAsia="黑体"/>
                <w:sz w:val="32"/>
                <w:szCs w:val="32"/>
                <w:vertAlign w:val="baseline"/>
                <w:lang w:val="en-US" w:eastAsia="zh-CN"/>
              </w:rPr>
            </w:pPr>
          </w:p>
        </w:tc>
      </w:tr>
      <w:tr w14:paraId="6C00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30B05E91">
            <w:pPr>
              <w:tabs>
                <w:tab w:val="left" w:pos="1134"/>
              </w:tabs>
              <w:jc w:val="center"/>
              <w:rPr>
                <w:rFonts w:hint="default" w:ascii="宋体" w:hAnsi="宋体" w:eastAsia="宋体" w:cs="宋体"/>
                <w:sz w:val="24"/>
                <w:szCs w:val="24"/>
                <w:vertAlign w:val="baseline"/>
                <w:lang w:val="en-US" w:eastAsia="zh-CN"/>
              </w:rPr>
            </w:pPr>
            <w:r>
              <w:rPr>
                <w:rFonts w:hint="eastAsia" w:ascii="宋体" w:hAnsi="宋体"/>
                <w:sz w:val="24"/>
                <w:lang w:val="en-US" w:eastAsia="zh-CN"/>
              </w:rPr>
              <w:t>乳胶漆</w:t>
            </w:r>
          </w:p>
        </w:tc>
        <w:tc>
          <w:tcPr>
            <w:tcW w:w="1830" w:type="dxa"/>
            <w:vAlign w:val="center"/>
          </w:tcPr>
          <w:p w14:paraId="31731BA0">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3D4718A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4694A36">
            <w:pPr>
              <w:tabs>
                <w:tab w:val="left" w:pos="1134"/>
              </w:tabs>
              <w:jc w:val="center"/>
              <w:rPr>
                <w:rFonts w:hint="default" w:ascii="黑体" w:hAnsi="黑体" w:eastAsia="黑体"/>
                <w:sz w:val="32"/>
                <w:szCs w:val="32"/>
                <w:vertAlign w:val="baseline"/>
                <w:lang w:val="en-US" w:eastAsia="zh-CN"/>
              </w:rPr>
            </w:pPr>
          </w:p>
        </w:tc>
      </w:tr>
      <w:tr w14:paraId="2D47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5B5F0">
            <w:pPr>
              <w:tabs>
                <w:tab w:val="left" w:pos="1134"/>
              </w:tabs>
              <w:jc w:val="center"/>
              <w:rPr>
                <w:rFonts w:hint="eastAsia" w:ascii="宋体" w:hAnsi="宋体"/>
                <w:sz w:val="24"/>
                <w:lang w:val="en-US" w:eastAsia="zh-CN"/>
              </w:rPr>
            </w:pPr>
            <w:r>
              <w:rPr>
                <w:rFonts w:hint="eastAsia" w:ascii="宋体" w:hAnsi="宋体"/>
                <w:sz w:val="24"/>
                <w:lang w:val="en-US" w:eastAsia="zh-CN"/>
              </w:rPr>
              <w:t>线管</w:t>
            </w:r>
          </w:p>
        </w:tc>
        <w:tc>
          <w:tcPr>
            <w:tcW w:w="1830" w:type="dxa"/>
            <w:vAlign w:val="center"/>
          </w:tcPr>
          <w:p w14:paraId="0AEB3CA6">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7CA88502">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0700122A">
            <w:pPr>
              <w:tabs>
                <w:tab w:val="left" w:pos="1134"/>
              </w:tabs>
              <w:jc w:val="center"/>
              <w:rPr>
                <w:rFonts w:hint="default" w:ascii="黑体" w:hAnsi="黑体" w:eastAsia="黑体"/>
                <w:sz w:val="32"/>
                <w:szCs w:val="32"/>
                <w:vertAlign w:val="baseline"/>
                <w:lang w:val="en-US" w:eastAsia="zh-CN"/>
              </w:rPr>
            </w:pPr>
          </w:p>
        </w:tc>
      </w:tr>
      <w:tr w14:paraId="584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107D9A48">
            <w:pPr>
              <w:tabs>
                <w:tab w:val="left" w:pos="1134"/>
              </w:tabs>
              <w:jc w:val="center"/>
              <w:rPr>
                <w:rFonts w:hint="eastAsia" w:ascii="宋体" w:hAnsi="宋体"/>
                <w:sz w:val="24"/>
                <w:lang w:val="en-US" w:eastAsia="zh-CN"/>
              </w:rPr>
            </w:pPr>
            <w:r>
              <w:rPr>
                <w:rFonts w:hint="eastAsia" w:ascii="宋体" w:hAnsi="宋体"/>
                <w:sz w:val="24"/>
                <w:lang w:val="en-US" w:eastAsia="zh-CN"/>
              </w:rPr>
              <w:t>插座</w:t>
            </w:r>
          </w:p>
        </w:tc>
        <w:tc>
          <w:tcPr>
            <w:tcW w:w="1830" w:type="dxa"/>
            <w:vAlign w:val="center"/>
          </w:tcPr>
          <w:p w14:paraId="58DCBEBC">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37B325E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8109273">
            <w:pPr>
              <w:tabs>
                <w:tab w:val="left" w:pos="1134"/>
              </w:tabs>
              <w:jc w:val="center"/>
              <w:rPr>
                <w:rFonts w:hint="default" w:ascii="黑体" w:hAnsi="黑体" w:eastAsia="黑体"/>
                <w:sz w:val="32"/>
                <w:szCs w:val="32"/>
                <w:vertAlign w:val="baseline"/>
                <w:lang w:val="en-US" w:eastAsia="zh-CN"/>
              </w:rPr>
            </w:pPr>
          </w:p>
        </w:tc>
      </w:tr>
      <w:tr w14:paraId="2CDB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9F837C0">
            <w:pPr>
              <w:tabs>
                <w:tab w:val="left" w:pos="1134"/>
              </w:tabs>
              <w:jc w:val="center"/>
              <w:rPr>
                <w:rFonts w:hint="eastAsia" w:ascii="宋体" w:hAnsi="宋体"/>
                <w:sz w:val="24"/>
                <w:lang w:val="en-US" w:eastAsia="zh-CN"/>
              </w:rPr>
            </w:pPr>
            <w:r>
              <w:rPr>
                <w:rFonts w:hint="eastAsia" w:ascii="宋体" w:hAnsi="宋体"/>
                <w:sz w:val="24"/>
                <w:lang w:val="en-US" w:eastAsia="zh-CN"/>
              </w:rPr>
              <w:t>抗倍特板</w:t>
            </w:r>
          </w:p>
        </w:tc>
        <w:tc>
          <w:tcPr>
            <w:tcW w:w="1830" w:type="dxa"/>
            <w:vAlign w:val="center"/>
          </w:tcPr>
          <w:p w14:paraId="2647FE84">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4C31C66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497ECB74">
            <w:pPr>
              <w:tabs>
                <w:tab w:val="left" w:pos="1134"/>
              </w:tabs>
              <w:jc w:val="center"/>
              <w:rPr>
                <w:rFonts w:hint="default" w:ascii="黑体" w:hAnsi="黑体" w:eastAsia="黑体"/>
                <w:sz w:val="32"/>
                <w:szCs w:val="32"/>
                <w:vertAlign w:val="baseline"/>
                <w:lang w:val="en-US" w:eastAsia="zh-CN"/>
              </w:rPr>
            </w:pPr>
          </w:p>
        </w:tc>
      </w:tr>
      <w:tr w14:paraId="3DD4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0446970">
            <w:pPr>
              <w:tabs>
                <w:tab w:val="left" w:pos="1134"/>
              </w:tabs>
              <w:jc w:val="center"/>
              <w:rPr>
                <w:rFonts w:hint="default" w:ascii="宋体" w:hAnsi="宋体"/>
                <w:sz w:val="24"/>
                <w:lang w:val="en-US" w:eastAsia="zh-CN"/>
              </w:rPr>
            </w:pPr>
            <w:r>
              <w:rPr>
                <w:rFonts w:hint="eastAsia" w:ascii="宋体" w:hAnsi="宋体"/>
                <w:sz w:val="24"/>
                <w:lang w:val="en-US" w:eastAsia="zh-CN"/>
              </w:rPr>
              <w:t>弱电线</w:t>
            </w:r>
          </w:p>
        </w:tc>
        <w:tc>
          <w:tcPr>
            <w:tcW w:w="1830" w:type="dxa"/>
            <w:vAlign w:val="center"/>
          </w:tcPr>
          <w:p w14:paraId="5EFA63FE">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F24B2E9">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7D8E2DB1">
            <w:pPr>
              <w:tabs>
                <w:tab w:val="left" w:pos="1134"/>
              </w:tabs>
              <w:jc w:val="center"/>
              <w:rPr>
                <w:rFonts w:hint="default" w:ascii="黑体" w:hAnsi="黑体" w:eastAsia="黑体"/>
                <w:sz w:val="32"/>
                <w:szCs w:val="32"/>
                <w:vertAlign w:val="baseline"/>
                <w:lang w:val="en-US" w:eastAsia="zh-CN"/>
              </w:rPr>
            </w:pPr>
          </w:p>
        </w:tc>
      </w:tr>
    </w:tbl>
    <w:p w14:paraId="4C1F01BE">
      <w:pPr>
        <w:spacing w:line="360" w:lineRule="auto"/>
        <w:rPr>
          <w:rFonts w:hint="eastAsia" w:ascii="宋体" w:hAnsi="宋体"/>
          <w:sz w:val="28"/>
          <w:szCs w:val="28"/>
          <w:lang w:val="en-US" w:eastAsia="zh-CN"/>
        </w:rPr>
      </w:pPr>
      <w:r>
        <w:rPr>
          <w:rFonts w:hint="eastAsia" w:ascii="宋体" w:hAnsi="宋体"/>
          <w:sz w:val="28"/>
          <w:szCs w:val="28"/>
          <w:lang w:val="en-US" w:eastAsia="zh-CN"/>
        </w:rPr>
        <w:t>备注：参选供应商应如实填写此表，如不填写视为无效响应。</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42B8784-0C31-41EB-9E98-141722BEAF0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33E2AA5B-8E35-4D7B-93E0-14EAA38D07D5}"/>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1F7A92C3-DB22-4687-B8B9-CEF36B1E6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53AA2"/>
    <w:rsid w:val="13D52C1B"/>
    <w:rsid w:val="13F41DC8"/>
    <w:rsid w:val="144B1714"/>
    <w:rsid w:val="14B95EDB"/>
    <w:rsid w:val="14C6168E"/>
    <w:rsid w:val="14C6556D"/>
    <w:rsid w:val="14E12006"/>
    <w:rsid w:val="1554725E"/>
    <w:rsid w:val="15604521"/>
    <w:rsid w:val="156125ED"/>
    <w:rsid w:val="158D32E0"/>
    <w:rsid w:val="16243DF1"/>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BF1851"/>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12534</Words>
  <Characters>12846</Characters>
  <Lines>182</Lines>
  <Paragraphs>51</Paragraphs>
  <TotalTime>1</TotalTime>
  <ScaleCrop>false</ScaleCrop>
  <LinksUpToDate>false</LinksUpToDate>
  <CharactersWithSpaces>13316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2025-05-23T02:04:07Z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