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2025FW048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水电类设施维修安装服务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910359">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5875"/>
      <w:bookmarkStart w:id="3"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17775178"/>
      <w:bookmarkStart w:id="5"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水电类设施维修安装服务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28443"/>
      <w:bookmarkStart w:id="7" w:name="_Toc485108767"/>
      <w:bookmarkStart w:id="8" w:name="_Toc313893526"/>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水电类设施维修安装服务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w:t>
      </w:r>
      <w:r>
        <w:rPr>
          <w:rFonts w:hint="eastAsia" w:ascii="宋体" w:hAnsi="宋体" w:eastAsia="宋体" w:cs="宋体"/>
          <w:b/>
          <w:bCs/>
          <w:color w:val="FF0000"/>
          <w:sz w:val="24"/>
          <w:szCs w:val="24"/>
          <w:shd w:val="clear" w:color="auto" w:fill="auto"/>
          <w:lang w:val="en-US" w:eastAsia="zh-CN"/>
        </w:rPr>
        <w:t>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6"/>
      <w:bookmarkStart w:id="15" w:name="_Toc11958"/>
      <w:bookmarkStart w:id="16" w:name="_Toc102227313"/>
      <w:bookmarkStart w:id="17" w:name="_Toc485108774"/>
    </w:p>
    <w:p w14:paraId="248C8D49">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有效的三证合一营业执照（经营范围包含水电维修相关内容）、从业人员需持有低压电工作业、焊工证等资质证书。</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4C87D8DE">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spacing w:line="5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lang w:val="en-US" w:eastAsia="zh-CN"/>
        </w:rPr>
        <w:t>各项投标报价包含服务费、保险费、税费等各项费用</w:t>
      </w:r>
      <w:r>
        <w:rPr>
          <w:rFonts w:hint="eastAsia" w:ascii="宋体" w:hAnsi="宋体" w:eastAsia="宋体" w:cs="宋体"/>
          <w:color w:val="FF0000"/>
          <w:sz w:val="24"/>
          <w:szCs w:val="24"/>
          <w:shd w:val="clear" w:color="auto" w:fill="auto"/>
          <w:lang w:val="en-US" w:eastAsia="zh-CN"/>
        </w:rPr>
        <w:t>（材料费除外）</w:t>
      </w:r>
      <w:r>
        <w:rPr>
          <w:rFonts w:hint="default" w:ascii="宋体" w:hAnsi="宋体" w:eastAsia="宋体" w:cs="宋体"/>
          <w:color w:val="FF0000"/>
          <w:sz w:val="24"/>
          <w:szCs w:val="24"/>
          <w:shd w:val="clear" w:color="auto" w:fill="auto"/>
          <w:lang w:val="en-US" w:eastAsia="zh-CN"/>
        </w:rPr>
        <w:t>。报价表见</w:t>
      </w:r>
      <w:r>
        <w:rPr>
          <w:rFonts w:hint="eastAsia" w:ascii="宋体" w:hAnsi="宋体" w:eastAsia="宋体" w:cs="宋体"/>
          <w:color w:val="FF0000"/>
          <w:sz w:val="24"/>
          <w:szCs w:val="24"/>
          <w:shd w:val="clear" w:color="auto" w:fill="auto"/>
          <w:lang w:val="en-US" w:eastAsia="zh-CN"/>
        </w:rPr>
        <w:t>第六章</w:t>
      </w:r>
      <w:r>
        <w:rPr>
          <w:rFonts w:hint="default" w:ascii="宋体" w:hAnsi="宋体" w:eastAsia="宋体" w:cs="宋体"/>
          <w:color w:val="FF0000"/>
          <w:sz w:val="24"/>
          <w:szCs w:val="24"/>
          <w:shd w:val="clear" w:color="auto" w:fill="auto"/>
          <w:lang w:val="en-US" w:eastAsia="zh-CN"/>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3"/>
      <w:bookmarkStart w:id="34" w:name="OLE_LINK8"/>
      <w:bookmarkStart w:id="35"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9143"/>
      <w:bookmarkStart w:id="37" w:name="_Toc18122"/>
      <w:bookmarkStart w:id="38" w:name="_Toc342913393"/>
      <w:bookmarkStart w:id="39" w:name="_Toc179714298"/>
      <w:bookmarkStart w:id="40" w:name="_Toc102227319"/>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29340"/>
      <w:bookmarkStart w:id="48" w:name="_Toc14816"/>
      <w:bookmarkStart w:id="49"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342913395"/>
      <w:bookmarkStart w:id="51" w:name="_Toc403569783"/>
      <w:bookmarkStart w:id="52" w:name="_Toc102227321"/>
      <w:bookmarkStart w:id="53" w:name="_Toc7135"/>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7D335087">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28327"/>
      <w:bookmarkStart w:id="66" w:name="_Toc12789058"/>
      <w:bookmarkStart w:id="67"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w:t>
      </w:r>
      <w:r>
        <w:rPr>
          <w:rFonts w:hint="eastAsia" w:ascii="宋体" w:hAnsi="宋体" w:eastAsia="宋体" w:cs="宋体"/>
          <w:color w:val="000000" w:themeColor="text1"/>
          <w:sz w:val="24"/>
          <w:szCs w:val="24"/>
          <w:shd w:val="clear" w:color="auto" w:fill="auto"/>
          <w14:textFill>
            <w14:solidFill>
              <w14:schemeClr w14:val="tx1"/>
            </w14:solidFill>
          </w14:textFill>
        </w:rPr>
        <w:t>求</w:t>
      </w:r>
    </w:p>
    <w:p w14:paraId="2B5E247D">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1．接到采购方电话通知后须在1小时内上门处置，紧急维修事项需立即到达医院处理，不能立即处理的需提供临时处置措施或提出解决方案；如特殊科室需要夜间维修、安装的，需要服从医院的安排；每次服务完成后由采购方相关部门签字确认。</w:t>
      </w:r>
    </w:p>
    <w:p w14:paraId="4994FCD0">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2．从业人员在维修、安装时需严格按照水、电、焊工等相应操作规程进行规范操作，工作完成内容需达到相应技术要求且满足采购方使用要求。</w:t>
      </w:r>
    </w:p>
    <w:p w14:paraId="12FDFA43">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3．服务方需办理院内施工安全许可审批，取得院内施工许可后方可施工。每次动火作业等特种作业前需按程序到保卫科等相应部门办理作业许可。</w:t>
      </w:r>
    </w:p>
    <w:p w14:paraId="50F4B5F0">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4．服务方须指派具备资质的专业人员开展相关工作，各项工作须严格按照相关操作规程开展，做好各项维修记录。</w:t>
      </w:r>
    </w:p>
    <w:p w14:paraId="6AD36B9A">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5．在施工过程中，服务方应采取有效的安全措施，保证工作人员和其他人员的人身安全，并承担因安全事故导致的一切经济和法律责任。如有损坏财产须照价赔偿。</w:t>
      </w:r>
    </w:p>
    <w:p w14:paraId="065C8FFC">
      <w:pPr>
        <w:spacing w:line="390" w:lineRule="exact"/>
        <w:ind w:firstLine="480" w:firstLineChars="200"/>
        <w:rPr>
          <w:rFonts w:hint="eastAsia" w:ascii="宋体" w:hAnsi="宋体" w:eastAsia="宋体" w:cs="宋体"/>
          <w:color w:val="FF0000"/>
          <w:sz w:val="24"/>
          <w:szCs w:val="24"/>
          <w:shd w:val="clear" w:color="auto" w:fill="auto"/>
        </w:rPr>
      </w:pPr>
    </w:p>
    <w:p w14:paraId="0B25948B">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p>
    <w:p w14:paraId="528FEC62">
      <w:pPr>
        <w:snapToGrid w:val="0"/>
        <w:spacing w:line="400" w:lineRule="exact"/>
        <w:ind w:firstLine="560" w:firstLineChars="200"/>
        <w:jc w:val="left"/>
        <w:rPr>
          <w:rFonts w:hint="eastAsia" w:ascii="方正仿宋_GBK" w:eastAsia="方正仿宋_GBK" w:hAnsiTheme="minorEastAsia"/>
          <w:sz w:val="28"/>
          <w:szCs w:val="28"/>
        </w:rPr>
      </w:pPr>
    </w:p>
    <w:p w14:paraId="3E5E546B">
      <w:pPr>
        <w:spacing w:line="560" w:lineRule="exact"/>
        <w:ind w:firstLine="560" w:firstLineChars="200"/>
        <w:rPr>
          <w:rFonts w:hint="eastAsia" w:ascii="宋体" w:hAnsi="宋体"/>
          <w:sz w:val="28"/>
          <w:szCs w:val="28"/>
        </w:rPr>
      </w:pPr>
    </w:p>
    <w:p w14:paraId="0F062C0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31D358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CB6E1F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81D1AF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5B51ABE">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34E13A0">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D9A980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E3CC81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1980F0A">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56E07B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564EDB11">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BE81AC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485108793"/>
      <w:bookmarkStart w:id="72" w:name="_Toc7358"/>
      <w:bookmarkStart w:id="7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04A2795">
      <w:pPr>
        <w:spacing w:line="39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default" w:ascii="宋体" w:hAnsi="宋体" w:eastAsia="宋体" w:cs="宋体"/>
          <w:color w:val="FF0000"/>
          <w:sz w:val="24"/>
          <w:szCs w:val="24"/>
          <w:shd w:val="clear" w:color="auto" w:fill="auto"/>
        </w:rPr>
        <w:t>．合同期限：三年，自2025年7月1日起至2028年6月30日止。</w:t>
      </w:r>
    </w:p>
    <w:p w14:paraId="29027284">
      <w:pPr>
        <w:spacing w:line="390" w:lineRule="exact"/>
        <w:ind w:firstLine="480" w:firstLineChars="200"/>
        <w:rPr>
          <w:rFonts w:hint="default"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default" w:ascii="宋体" w:hAnsi="宋体" w:eastAsia="宋体" w:cs="宋体"/>
          <w:color w:val="FF0000"/>
          <w:sz w:val="24"/>
          <w:szCs w:val="24"/>
          <w:shd w:val="clear" w:color="auto" w:fill="auto"/>
        </w:rPr>
        <w:t>．费用确定方式：服务方每次服务时详细记录内容，采购方使用科室进行工时和材料确认，服务方必须在当月统计提交采购方审核确定费用。</w:t>
      </w:r>
    </w:p>
    <w:p w14:paraId="45C6DD9F">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（1）服务费用。各项投标报价包含服务费、保险费、税费等各项费用。报价表见附件。</w:t>
      </w:r>
    </w:p>
    <w:p w14:paraId="00809D89">
      <w:pPr>
        <w:spacing w:line="390" w:lineRule="exact"/>
        <w:ind w:firstLine="480" w:firstLineChars="200"/>
        <w:rPr>
          <w:rFonts w:hint="default"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rPr>
        <w:t>（2）材料费用。维修后单独报价由采购办组织议价确定，且不得高于采购方零星采购材料入库价格。</w:t>
      </w:r>
    </w:p>
    <w:p w14:paraId="212271E6">
      <w:pPr>
        <w:spacing w:line="39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w:t>
      </w:r>
      <w:r>
        <w:rPr>
          <w:rFonts w:hint="default" w:ascii="宋体" w:hAnsi="宋体" w:eastAsia="宋体" w:cs="宋体"/>
          <w:color w:val="FF0000"/>
          <w:sz w:val="24"/>
          <w:szCs w:val="24"/>
          <w:shd w:val="clear" w:color="auto" w:fill="auto"/>
        </w:rPr>
        <w:t>付款方式：服务方在按时完成各项工作及无其它违约情况下，按月据实结算费用，采购方凭服务方提供的经采购方相关科室签字确认的结算清单及合法发票每月转账支付费用。</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14840"/>
      <w:bookmarkStart w:id="75" w:name="_Toc485108794"/>
      <w:bookmarkStart w:id="76" w:name="_Toc403569796"/>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8853"/>
      <w:bookmarkStart w:id="9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6"/>
      <w:bookmarkStart w:id="9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54718211"/>
      <w:bookmarkStart w:id="10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54718212"/>
      <w:bookmarkStart w:id="11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5B5A6661">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04D96D3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03613589">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1BB5CAB9">
      <w:pPr>
        <w:spacing w:line="560" w:lineRule="exact"/>
        <w:jc w:val="center"/>
        <w:rPr>
          <w:rFonts w:eastAsia="方正仿宋_GBK"/>
          <w:sz w:val="28"/>
          <w:szCs w:val="28"/>
        </w:rPr>
      </w:pPr>
      <w:bookmarkStart w:id="143" w:name="_Toc313008357"/>
      <w:bookmarkStart w:id="144" w:name="_Toc342913420"/>
      <w:bookmarkStart w:id="145" w:name="_Toc480979019"/>
      <w:bookmarkStart w:id="146" w:name="_Toc313888361"/>
      <w:bookmarkStart w:id="147" w:name="_Toc485108797"/>
      <w:r>
        <w:rPr>
          <w:rFonts w:eastAsia="方正仿宋_GBK"/>
          <w:sz w:val="28"/>
          <w:szCs w:val="28"/>
        </w:rPr>
        <w:t>报价表</w:t>
      </w:r>
    </w:p>
    <w:tbl>
      <w:tblPr>
        <w:tblStyle w:val="60"/>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139"/>
        <w:gridCol w:w="1492"/>
        <w:gridCol w:w="1179"/>
        <w:gridCol w:w="1481"/>
        <w:gridCol w:w="1806"/>
      </w:tblGrid>
      <w:tr w14:paraId="2C8C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2F701355">
            <w:pPr>
              <w:widowControl/>
              <w:spacing w:line="400" w:lineRule="exact"/>
              <w:contextualSpacing/>
              <w:jc w:val="center"/>
              <w:rPr>
                <w:szCs w:val="21"/>
              </w:rPr>
            </w:pPr>
            <w:r>
              <w:rPr>
                <w:szCs w:val="21"/>
              </w:rPr>
              <w:t>序号</w:t>
            </w:r>
          </w:p>
        </w:tc>
        <w:tc>
          <w:tcPr>
            <w:tcW w:w="2139" w:type="dxa"/>
            <w:vAlign w:val="center"/>
          </w:tcPr>
          <w:p w14:paraId="7E7A8257">
            <w:pPr>
              <w:widowControl/>
              <w:spacing w:line="400" w:lineRule="exact"/>
              <w:contextualSpacing/>
              <w:jc w:val="center"/>
              <w:rPr>
                <w:szCs w:val="21"/>
              </w:rPr>
            </w:pPr>
            <w:r>
              <w:rPr>
                <w:szCs w:val="21"/>
              </w:rPr>
              <w:t>项目内容</w:t>
            </w:r>
          </w:p>
        </w:tc>
        <w:tc>
          <w:tcPr>
            <w:tcW w:w="1492" w:type="dxa"/>
            <w:vAlign w:val="center"/>
          </w:tcPr>
          <w:p w14:paraId="22293CA0">
            <w:pPr>
              <w:widowControl/>
              <w:spacing w:line="400" w:lineRule="exact"/>
              <w:contextualSpacing/>
              <w:jc w:val="center"/>
              <w:rPr>
                <w:szCs w:val="21"/>
              </w:rPr>
            </w:pPr>
            <w:r>
              <w:rPr>
                <w:szCs w:val="21"/>
              </w:rPr>
              <w:t>工期（工时）</w:t>
            </w:r>
          </w:p>
        </w:tc>
        <w:tc>
          <w:tcPr>
            <w:tcW w:w="1179" w:type="dxa"/>
            <w:vAlign w:val="center"/>
          </w:tcPr>
          <w:p w14:paraId="5F054A34">
            <w:pPr>
              <w:widowControl/>
              <w:spacing w:line="400" w:lineRule="exact"/>
              <w:contextualSpacing/>
              <w:jc w:val="center"/>
              <w:rPr>
                <w:szCs w:val="21"/>
              </w:rPr>
            </w:pPr>
            <w:r>
              <w:rPr>
                <w:szCs w:val="21"/>
              </w:rPr>
              <w:t>费用</w:t>
            </w:r>
          </w:p>
          <w:p w14:paraId="16380687">
            <w:pPr>
              <w:widowControl/>
              <w:spacing w:line="400" w:lineRule="exact"/>
              <w:contextualSpacing/>
              <w:jc w:val="center"/>
              <w:rPr>
                <w:szCs w:val="21"/>
              </w:rPr>
            </w:pPr>
            <w:r>
              <w:rPr>
                <w:szCs w:val="21"/>
              </w:rPr>
              <w:t>（元）/人</w:t>
            </w:r>
          </w:p>
        </w:tc>
        <w:tc>
          <w:tcPr>
            <w:tcW w:w="1481" w:type="dxa"/>
          </w:tcPr>
          <w:p w14:paraId="63FB1764">
            <w:pPr>
              <w:widowControl/>
              <w:spacing w:line="400" w:lineRule="exact"/>
              <w:contextualSpacing/>
              <w:jc w:val="center"/>
              <w:rPr>
                <w:szCs w:val="21"/>
              </w:rPr>
            </w:pPr>
            <w:r>
              <w:rPr>
                <w:szCs w:val="21"/>
              </w:rPr>
              <w:t>月度服</w:t>
            </w:r>
          </w:p>
          <w:p w14:paraId="5B85D6A1">
            <w:pPr>
              <w:widowControl/>
              <w:spacing w:line="400" w:lineRule="exact"/>
              <w:contextualSpacing/>
              <w:jc w:val="center"/>
              <w:rPr>
                <w:szCs w:val="21"/>
              </w:rPr>
            </w:pPr>
            <w:r>
              <w:rPr>
                <w:szCs w:val="21"/>
              </w:rPr>
              <w:t>务次数</w:t>
            </w:r>
          </w:p>
        </w:tc>
        <w:tc>
          <w:tcPr>
            <w:tcW w:w="1806" w:type="dxa"/>
            <w:vAlign w:val="center"/>
          </w:tcPr>
          <w:p w14:paraId="48AE1BD8">
            <w:pPr>
              <w:widowControl/>
              <w:spacing w:line="400" w:lineRule="exact"/>
              <w:contextualSpacing/>
              <w:jc w:val="center"/>
              <w:rPr>
                <w:szCs w:val="21"/>
              </w:rPr>
            </w:pPr>
            <w:r>
              <w:rPr>
                <w:szCs w:val="21"/>
              </w:rPr>
              <w:t>备注</w:t>
            </w:r>
          </w:p>
        </w:tc>
      </w:tr>
      <w:tr w14:paraId="6BCA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717801C3">
            <w:pPr>
              <w:widowControl/>
              <w:spacing w:line="400" w:lineRule="exact"/>
              <w:contextualSpacing/>
              <w:jc w:val="center"/>
              <w:rPr>
                <w:szCs w:val="21"/>
              </w:rPr>
            </w:pPr>
            <w:r>
              <w:rPr>
                <w:szCs w:val="21"/>
              </w:rPr>
              <w:t>1</w:t>
            </w:r>
          </w:p>
        </w:tc>
        <w:tc>
          <w:tcPr>
            <w:tcW w:w="2139" w:type="dxa"/>
            <w:vMerge w:val="restart"/>
            <w:shd w:val="clear" w:color="auto" w:fill="auto"/>
            <w:vAlign w:val="center"/>
          </w:tcPr>
          <w:p w14:paraId="05C9A01E">
            <w:pPr>
              <w:widowControl/>
              <w:spacing w:line="400" w:lineRule="exact"/>
              <w:contextualSpacing/>
              <w:jc w:val="center"/>
              <w:rPr>
                <w:szCs w:val="21"/>
              </w:rPr>
            </w:pPr>
            <w:r>
              <w:rPr>
                <w:szCs w:val="21"/>
              </w:rPr>
              <w:t>水电设施维修、安装</w:t>
            </w:r>
          </w:p>
          <w:p w14:paraId="45B28EB3">
            <w:pPr>
              <w:spacing w:line="400" w:lineRule="exact"/>
              <w:jc w:val="center"/>
              <w:rPr>
                <w:szCs w:val="21"/>
              </w:rPr>
            </w:pPr>
            <w:r>
              <w:rPr>
                <w:szCs w:val="21"/>
              </w:rPr>
              <w:t>（法定工作日）</w:t>
            </w:r>
          </w:p>
        </w:tc>
        <w:tc>
          <w:tcPr>
            <w:tcW w:w="1492" w:type="dxa"/>
            <w:shd w:val="clear" w:color="auto" w:fill="auto"/>
            <w:vAlign w:val="center"/>
          </w:tcPr>
          <w:p w14:paraId="2CCF9981">
            <w:pPr>
              <w:widowControl/>
              <w:spacing w:line="400" w:lineRule="exact"/>
              <w:contextualSpacing/>
              <w:jc w:val="center"/>
              <w:rPr>
                <w:szCs w:val="21"/>
              </w:rPr>
            </w:pPr>
            <w:r>
              <w:rPr>
                <w:rFonts w:hint="eastAsia"/>
                <w:szCs w:val="21"/>
              </w:rPr>
              <w:t>2</w:t>
            </w:r>
            <w:r>
              <w:rPr>
                <w:szCs w:val="21"/>
              </w:rPr>
              <w:t>小时内</w:t>
            </w:r>
          </w:p>
        </w:tc>
        <w:tc>
          <w:tcPr>
            <w:tcW w:w="1179" w:type="dxa"/>
            <w:vAlign w:val="center"/>
          </w:tcPr>
          <w:p w14:paraId="2670A023">
            <w:pPr>
              <w:widowControl/>
              <w:spacing w:line="400" w:lineRule="exact"/>
              <w:contextualSpacing/>
              <w:jc w:val="center"/>
              <w:rPr>
                <w:szCs w:val="21"/>
              </w:rPr>
            </w:pPr>
          </w:p>
        </w:tc>
        <w:tc>
          <w:tcPr>
            <w:tcW w:w="1481" w:type="dxa"/>
            <w:vAlign w:val="center"/>
          </w:tcPr>
          <w:p w14:paraId="04C6FA24">
            <w:pPr>
              <w:widowControl/>
              <w:spacing w:line="400" w:lineRule="exact"/>
              <w:contextualSpacing/>
              <w:jc w:val="center"/>
              <w:rPr>
                <w:szCs w:val="21"/>
              </w:rPr>
            </w:pPr>
            <w:r>
              <w:rPr>
                <w:rFonts w:hint="eastAsia"/>
                <w:szCs w:val="21"/>
              </w:rPr>
              <w:t>3</w:t>
            </w:r>
          </w:p>
        </w:tc>
        <w:tc>
          <w:tcPr>
            <w:tcW w:w="1806" w:type="dxa"/>
            <w:vMerge w:val="restart"/>
            <w:vAlign w:val="center"/>
          </w:tcPr>
          <w:p w14:paraId="25E24C54">
            <w:pPr>
              <w:widowControl/>
              <w:spacing w:line="400" w:lineRule="exact"/>
              <w:contextualSpacing/>
              <w:jc w:val="left"/>
              <w:rPr>
                <w:szCs w:val="21"/>
              </w:rPr>
            </w:pPr>
            <w:r>
              <w:rPr>
                <w:szCs w:val="21"/>
              </w:rPr>
              <w:t>根据每个项目实施时间确定</w:t>
            </w:r>
          </w:p>
        </w:tc>
      </w:tr>
      <w:tr w14:paraId="43EE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0D02297E">
            <w:pPr>
              <w:widowControl/>
              <w:spacing w:line="400" w:lineRule="exact"/>
              <w:contextualSpacing/>
              <w:jc w:val="center"/>
              <w:rPr>
                <w:szCs w:val="21"/>
              </w:rPr>
            </w:pPr>
            <w:r>
              <w:rPr>
                <w:szCs w:val="21"/>
              </w:rPr>
              <w:t>2</w:t>
            </w:r>
          </w:p>
        </w:tc>
        <w:tc>
          <w:tcPr>
            <w:tcW w:w="2139" w:type="dxa"/>
            <w:vMerge w:val="continue"/>
            <w:vAlign w:val="center"/>
          </w:tcPr>
          <w:p w14:paraId="21B3A0D3">
            <w:pPr>
              <w:widowControl/>
              <w:spacing w:line="400" w:lineRule="exact"/>
              <w:contextualSpacing/>
              <w:jc w:val="center"/>
              <w:rPr>
                <w:szCs w:val="21"/>
              </w:rPr>
            </w:pPr>
          </w:p>
        </w:tc>
        <w:tc>
          <w:tcPr>
            <w:tcW w:w="1492" w:type="dxa"/>
            <w:vAlign w:val="center"/>
          </w:tcPr>
          <w:p w14:paraId="5C44F817">
            <w:pPr>
              <w:widowControl/>
              <w:spacing w:line="400" w:lineRule="exact"/>
              <w:contextualSpacing/>
              <w:jc w:val="center"/>
              <w:rPr>
                <w:szCs w:val="21"/>
              </w:rPr>
            </w:pPr>
            <w:r>
              <w:rPr>
                <w:szCs w:val="21"/>
              </w:rPr>
              <w:t>4小时内</w:t>
            </w:r>
          </w:p>
        </w:tc>
        <w:tc>
          <w:tcPr>
            <w:tcW w:w="1179" w:type="dxa"/>
            <w:vAlign w:val="center"/>
          </w:tcPr>
          <w:p w14:paraId="4CF6A4FD">
            <w:pPr>
              <w:widowControl/>
              <w:spacing w:line="400" w:lineRule="exact"/>
              <w:contextualSpacing/>
              <w:jc w:val="center"/>
              <w:rPr>
                <w:szCs w:val="21"/>
              </w:rPr>
            </w:pPr>
          </w:p>
        </w:tc>
        <w:tc>
          <w:tcPr>
            <w:tcW w:w="1481" w:type="dxa"/>
            <w:vAlign w:val="center"/>
          </w:tcPr>
          <w:p w14:paraId="76B26AF3">
            <w:pPr>
              <w:widowControl/>
              <w:spacing w:line="400" w:lineRule="exact"/>
              <w:contextualSpacing/>
              <w:jc w:val="center"/>
              <w:rPr>
                <w:szCs w:val="21"/>
              </w:rPr>
            </w:pPr>
            <w:r>
              <w:rPr>
                <w:rFonts w:hint="eastAsia"/>
                <w:szCs w:val="21"/>
              </w:rPr>
              <w:t>2</w:t>
            </w:r>
          </w:p>
        </w:tc>
        <w:tc>
          <w:tcPr>
            <w:tcW w:w="1806" w:type="dxa"/>
            <w:vMerge w:val="continue"/>
            <w:vAlign w:val="center"/>
          </w:tcPr>
          <w:p w14:paraId="7A3EC0C0">
            <w:pPr>
              <w:widowControl/>
              <w:spacing w:line="400" w:lineRule="exact"/>
              <w:contextualSpacing/>
              <w:jc w:val="left"/>
              <w:rPr>
                <w:szCs w:val="21"/>
              </w:rPr>
            </w:pPr>
          </w:p>
        </w:tc>
      </w:tr>
      <w:tr w14:paraId="6F22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6C7F73D9">
            <w:pPr>
              <w:widowControl/>
              <w:spacing w:line="400" w:lineRule="exact"/>
              <w:contextualSpacing/>
              <w:jc w:val="center"/>
              <w:rPr>
                <w:szCs w:val="21"/>
              </w:rPr>
            </w:pPr>
            <w:r>
              <w:rPr>
                <w:szCs w:val="21"/>
              </w:rPr>
              <w:t>3</w:t>
            </w:r>
          </w:p>
        </w:tc>
        <w:tc>
          <w:tcPr>
            <w:tcW w:w="2139" w:type="dxa"/>
            <w:vMerge w:val="continue"/>
            <w:vAlign w:val="center"/>
          </w:tcPr>
          <w:p w14:paraId="3E3B6DC1">
            <w:pPr>
              <w:spacing w:line="400" w:lineRule="exact"/>
              <w:jc w:val="center"/>
              <w:rPr>
                <w:szCs w:val="21"/>
              </w:rPr>
            </w:pPr>
          </w:p>
        </w:tc>
        <w:tc>
          <w:tcPr>
            <w:tcW w:w="1492" w:type="dxa"/>
            <w:vAlign w:val="center"/>
          </w:tcPr>
          <w:p w14:paraId="101786B6">
            <w:pPr>
              <w:spacing w:line="400" w:lineRule="exact"/>
              <w:jc w:val="center"/>
              <w:rPr>
                <w:szCs w:val="21"/>
              </w:rPr>
            </w:pPr>
            <w:r>
              <w:rPr>
                <w:szCs w:val="21"/>
              </w:rPr>
              <w:t>8小时内</w:t>
            </w:r>
          </w:p>
        </w:tc>
        <w:tc>
          <w:tcPr>
            <w:tcW w:w="1179" w:type="dxa"/>
            <w:vAlign w:val="center"/>
          </w:tcPr>
          <w:p w14:paraId="0A361068">
            <w:pPr>
              <w:widowControl/>
              <w:spacing w:line="400" w:lineRule="exact"/>
              <w:contextualSpacing/>
              <w:jc w:val="center"/>
              <w:rPr>
                <w:szCs w:val="21"/>
              </w:rPr>
            </w:pPr>
          </w:p>
        </w:tc>
        <w:tc>
          <w:tcPr>
            <w:tcW w:w="1481" w:type="dxa"/>
            <w:vAlign w:val="center"/>
          </w:tcPr>
          <w:p w14:paraId="712D9BA0">
            <w:pPr>
              <w:widowControl/>
              <w:spacing w:line="400" w:lineRule="exact"/>
              <w:contextualSpacing/>
              <w:jc w:val="center"/>
              <w:rPr>
                <w:szCs w:val="21"/>
              </w:rPr>
            </w:pPr>
            <w:r>
              <w:rPr>
                <w:rFonts w:hint="eastAsia"/>
                <w:szCs w:val="21"/>
              </w:rPr>
              <w:t>2</w:t>
            </w:r>
          </w:p>
        </w:tc>
        <w:tc>
          <w:tcPr>
            <w:tcW w:w="1806" w:type="dxa"/>
            <w:vMerge w:val="continue"/>
            <w:vAlign w:val="center"/>
          </w:tcPr>
          <w:p w14:paraId="3FCD84D0">
            <w:pPr>
              <w:widowControl/>
              <w:spacing w:line="400" w:lineRule="exact"/>
              <w:contextualSpacing/>
              <w:jc w:val="center"/>
              <w:rPr>
                <w:szCs w:val="21"/>
              </w:rPr>
            </w:pPr>
          </w:p>
        </w:tc>
      </w:tr>
      <w:tr w14:paraId="12E4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4F27C564">
            <w:pPr>
              <w:widowControl/>
              <w:spacing w:line="400" w:lineRule="exact"/>
              <w:contextualSpacing/>
              <w:jc w:val="center"/>
              <w:rPr>
                <w:szCs w:val="21"/>
              </w:rPr>
            </w:pPr>
            <w:r>
              <w:rPr>
                <w:szCs w:val="21"/>
              </w:rPr>
              <w:t>4</w:t>
            </w:r>
          </w:p>
        </w:tc>
        <w:tc>
          <w:tcPr>
            <w:tcW w:w="2139" w:type="dxa"/>
            <w:vMerge w:val="restart"/>
            <w:vAlign w:val="center"/>
          </w:tcPr>
          <w:p w14:paraId="3C1B9DDC">
            <w:pPr>
              <w:spacing w:line="400" w:lineRule="exact"/>
              <w:jc w:val="center"/>
              <w:rPr>
                <w:szCs w:val="21"/>
              </w:rPr>
            </w:pPr>
            <w:r>
              <w:rPr>
                <w:szCs w:val="21"/>
              </w:rPr>
              <w:t>水电设施维修、安装（18-24时）</w:t>
            </w:r>
          </w:p>
        </w:tc>
        <w:tc>
          <w:tcPr>
            <w:tcW w:w="1492" w:type="dxa"/>
            <w:vAlign w:val="center"/>
          </w:tcPr>
          <w:p w14:paraId="1A5A244E">
            <w:pPr>
              <w:spacing w:line="400" w:lineRule="exact"/>
              <w:jc w:val="center"/>
              <w:rPr>
                <w:szCs w:val="21"/>
              </w:rPr>
            </w:pPr>
            <w:r>
              <w:rPr>
                <w:szCs w:val="21"/>
              </w:rPr>
              <w:t>4小时内</w:t>
            </w:r>
          </w:p>
        </w:tc>
        <w:tc>
          <w:tcPr>
            <w:tcW w:w="1179" w:type="dxa"/>
            <w:vAlign w:val="center"/>
          </w:tcPr>
          <w:p w14:paraId="5F4AC480">
            <w:pPr>
              <w:widowControl/>
              <w:spacing w:line="400" w:lineRule="exact"/>
              <w:contextualSpacing/>
              <w:jc w:val="center"/>
              <w:rPr>
                <w:szCs w:val="21"/>
              </w:rPr>
            </w:pPr>
          </w:p>
        </w:tc>
        <w:tc>
          <w:tcPr>
            <w:tcW w:w="1481" w:type="dxa"/>
            <w:vAlign w:val="center"/>
          </w:tcPr>
          <w:p w14:paraId="422AAACB">
            <w:pPr>
              <w:widowControl/>
              <w:spacing w:line="400" w:lineRule="exact"/>
              <w:contextualSpacing/>
              <w:jc w:val="center"/>
              <w:rPr>
                <w:szCs w:val="21"/>
              </w:rPr>
            </w:pPr>
            <w:r>
              <w:rPr>
                <w:rFonts w:hint="eastAsia"/>
                <w:szCs w:val="21"/>
              </w:rPr>
              <w:t>1</w:t>
            </w:r>
          </w:p>
        </w:tc>
        <w:tc>
          <w:tcPr>
            <w:tcW w:w="1806" w:type="dxa"/>
            <w:vMerge w:val="continue"/>
            <w:vAlign w:val="center"/>
          </w:tcPr>
          <w:p w14:paraId="575871CD">
            <w:pPr>
              <w:widowControl/>
              <w:spacing w:line="400" w:lineRule="exact"/>
              <w:contextualSpacing/>
              <w:jc w:val="center"/>
              <w:rPr>
                <w:szCs w:val="21"/>
              </w:rPr>
            </w:pPr>
          </w:p>
        </w:tc>
      </w:tr>
      <w:tr w14:paraId="46EF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8" w:type="dxa"/>
            <w:shd w:val="clear" w:color="auto" w:fill="auto"/>
            <w:vAlign w:val="center"/>
          </w:tcPr>
          <w:p w14:paraId="569E7BCC">
            <w:pPr>
              <w:widowControl/>
              <w:spacing w:line="400" w:lineRule="exact"/>
              <w:contextualSpacing/>
              <w:jc w:val="center"/>
              <w:rPr>
                <w:szCs w:val="21"/>
              </w:rPr>
            </w:pPr>
            <w:r>
              <w:rPr>
                <w:szCs w:val="21"/>
              </w:rPr>
              <w:t>5</w:t>
            </w:r>
          </w:p>
        </w:tc>
        <w:tc>
          <w:tcPr>
            <w:tcW w:w="2139" w:type="dxa"/>
            <w:vMerge w:val="continue"/>
            <w:vAlign w:val="center"/>
          </w:tcPr>
          <w:p w14:paraId="2A81198A">
            <w:pPr>
              <w:spacing w:line="400" w:lineRule="exact"/>
              <w:jc w:val="center"/>
              <w:rPr>
                <w:szCs w:val="21"/>
              </w:rPr>
            </w:pPr>
          </w:p>
        </w:tc>
        <w:tc>
          <w:tcPr>
            <w:tcW w:w="1492" w:type="dxa"/>
            <w:vAlign w:val="center"/>
          </w:tcPr>
          <w:p w14:paraId="627D50A9">
            <w:pPr>
              <w:spacing w:line="400" w:lineRule="exact"/>
              <w:jc w:val="center"/>
              <w:rPr>
                <w:szCs w:val="21"/>
              </w:rPr>
            </w:pPr>
            <w:r>
              <w:rPr>
                <w:rFonts w:hint="eastAsia"/>
                <w:szCs w:val="21"/>
              </w:rPr>
              <w:t>6</w:t>
            </w:r>
            <w:r>
              <w:rPr>
                <w:szCs w:val="21"/>
              </w:rPr>
              <w:t>小时内</w:t>
            </w:r>
          </w:p>
        </w:tc>
        <w:tc>
          <w:tcPr>
            <w:tcW w:w="1179" w:type="dxa"/>
            <w:vAlign w:val="center"/>
          </w:tcPr>
          <w:p w14:paraId="00BBE43C">
            <w:pPr>
              <w:widowControl/>
              <w:spacing w:line="400" w:lineRule="exact"/>
              <w:contextualSpacing/>
              <w:jc w:val="center"/>
              <w:rPr>
                <w:szCs w:val="21"/>
              </w:rPr>
            </w:pPr>
          </w:p>
        </w:tc>
        <w:tc>
          <w:tcPr>
            <w:tcW w:w="1481" w:type="dxa"/>
            <w:vAlign w:val="center"/>
          </w:tcPr>
          <w:p w14:paraId="1A7F9172">
            <w:pPr>
              <w:widowControl/>
              <w:spacing w:line="400" w:lineRule="exact"/>
              <w:contextualSpacing/>
              <w:jc w:val="center"/>
              <w:rPr>
                <w:szCs w:val="21"/>
              </w:rPr>
            </w:pPr>
            <w:r>
              <w:rPr>
                <w:rFonts w:hint="eastAsia"/>
                <w:szCs w:val="21"/>
              </w:rPr>
              <w:t>0</w:t>
            </w:r>
          </w:p>
        </w:tc>
        <w:tc>
          <w:tcPr>
            <w:tcW w:w="1806" w:type="dxa"/>
            <w:vMerge w:val="continue"/>
            <w:vAlign w:val="center"/>
          </w:tcPr>
          <w:p w14:paraId="7237A232">
            <w:pPr>
              <w:widowControl/>
              <w:spacing w:line="400" w:lineRule="exact"/>
              <w:contextualSpacing/>
              <w:jc w:val="center"/>
              <w:rPr>
                <w:szCs w:val="21"/>
              </w:rPr>
            </w:pPr>
          </w:p>
        </w:tc>
      </w:tr>
      <w:tr w14:paraId="2D74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58" w:type="dxa"/>
            <w:shd w:val="clear" w:color="auto" w:fill="auto"/>
            <w:vAlign w:val="center"/>
          </w:tcPr>
          <w:p w14:paraId="2E672230">
            <w:pPr>
              <w:widowControl/>
              <w:spacing w:line="400" w:lineRule="exact"/>
              <w:contextualSpacing/>
              <w:jc w:val="center"/>
              <w:rPr>
                <w:szCs w:val="21"/>
              </w:rPr>
            </w:pPr>
            <w:r>
              <w:rPr>
                <w:szCs w:val="21"/>
              </w:rPr>
              <w:t>6</w:t>
            </w:r>
          </w:p>
        </w:tc>
        <w:tc>
          <w:tcPr>
            <w:tcW w:w="2139" w:type="dxa"/>
            <w:vMerge w:val="restart"/>
            <w:vAlign w:val="center"/>
          </w:tcPr>
          <w:p w14:paraId="5CFD3632">
            <w:pPr>
              <w:spacing w:line="400" w:lineRule="exact"/>
              <w:jc w:val="center"/>
              <w:rPr>
                <w:szCs w:val="21"/>
              </w:rPr>
            </w:pPr>
            <w:r>
              <w:rPr>
                <w:szCs w:val="21"/>
              </w:rPr>
              <w:t>水电设施维修、安装（0-8时、法定节假日）</w:t>
            </w:r>
          </w:p>
        </w:tc>
        <w:tc>
          <w:tcPr>
            <w:tcW w:w="1492" w:type="dxa"/>
            <w:vAlign w:val="center"/>
          </w:tcPr>
          <w:p w14:paraId="59D7D531">
            <w:pPr>
              <w:spacing w:line="400" w:lineRule="exact"/>
              <w:jc w:val="center"/>
              <w:rPr>
                <w:szCs w:val="21"/>
              </w:rPr>
            </w:pPr>
            <w:r>
              <w:rPr>
                <w:szCs w:val="21"/>
              </w:rPr>
              <w:t>4小时内</w:t>
            </w:r>
          </w:p>
        </w:tc>
        <w:tc>
          <w:tcPr>
            <w:tcW w:w="1179" w:type="dxa"/>
            <w:vAlign w:val="center"/>
          </w:tcPr>
          <w:p w14:paraId="43A1647D">
            <w:pPr>
              <w:widowControl/>
              <w:spacing w:line="400" w:lineRule="exact"/>
              <w:contextualSpacing/>
              <w:jc w:val="center"/>
              <w:rPr>
                <w:szCs w:val="21"/>
              </w:rPr>
            </w:pPr>
          </w:p>
        </w:tc>
        <w:tc>
          <w:tcPr>
            <w:tcW w:w="1481" w:type="dxa"/>
            <w:vAlign w:val="center"/>
          </w:tcPr>
          <w:p w14:paraId="3A9D4E0A">
            <w:pPr>
              <w:widowControl/>
              <w:spacing w:line="400" w:lineRule="exact"/>
              <w:contextualSpacing/>
              <w:jc w:val="center"/>
              <w:rPr>
                <w:szCs w:val="21"/>
              </w:rPr>
            </w:pPr>
            <w:r>
              <w:rPr>
                <w:rFonts w:hint="eastAsia"/>
                <w:szCs w:val="21"/>
              </w:rPr>
              <w:t>1</w:t>
            </w:r>
          </w:p>
        </w:tc>
        <w:tc>
          <w:tcPr>
            <w:tcW w:w="1806" w:type="dxa"/>
            <w:vMerge w:val="restart"/>
            <w:vAlign w:val="center"/>
          </w:tcPr>
          <w:p w14:paraId="68707E54">
            <w:pPr>
              <w:widowControl/>
              <w:spacing w:line="400" w:lineRule="exact"/>
              <w:contextualSpacing/>
              <w:jc w:val="left"/>
              <w:rPr>
                <w:szCs w:val="21"/>
              </w:rPr>
            </w:pPr>
            <w:r>
              <w:rPr>
                <w:szCs w:val="21"/>
              </w:rPr>
              <w:t>超过4小时，不足7小时部分，在第5项的基础上，每超1小时增加</w:t>
            </w:r>
            <w:r>
              <w:rPr>
                <w:szCs w:val="21"/>
                <w:u w:val="single"/>
              </w:rPr>
              <w:t xml:space="preserve">      </w:t>
            </w:r>
            <w:r>
              <w:rPr>
                <w:szCs w:val="21"/>
              </w:rPr>
              <w:t>元，7小时至8小时按8小时结算。</w:t>
            </w:r>
          </w:p>
        </w:tc>
      </w:tr>
      <w:tr w14:paraId="578A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58" w:type="dxa"/>
            <w:shd w:val="clear" w:color="auto" w:fill="auto"/>
            <w:vAlign w:val="center"/>
          </w:tcPr>
          <w:p w14:paraId="77B7946A">
            <w:pPr>
              <w:widowControl/>
              <w:spacing w:line="400" w:lineRule="exact"/>
              <w:contextualSpacing/>
              <w:jc w:val="center"/>
              <w:rPr>
                <w:szCs w:val="21"/>
              </w:rPr>
            </w:pPr>
            <w:r>
              <w:rPr>
                <w:szCs w:val="21"/>
              </w:rPr>
              <w:t>7</w:t>
            </w:r>
          </w:p>
        </w:tc>
        <w:tc>
          <w:tcPr>
            <w:tcW w:w="2139" w:type="dxa"/>
            <w:vMerge w:val="continue"/>
            <w:vAlign w:val="center"/>
          </w:tcPr>
          <w:p w14:paraId="72805F9E">
            <w:pPr>
              <w:spacing w:line="400" w:lineRule="exact"/>
              <w:jc w:val="center"/>
              <w:rPr>
                <w:szCs w:val="21"/>
              </w:rPr>
            </w:pPr>
          </w:p>
        </w:tc>
        <w:tc>
          <w:tcPr>
            <w:tcW w:w="1492" w:type="dxa"/>
            <w:vAlign w:val="center"/>
          </w:tcPr>
          <w:p w14:paraId="692B0777">
            <w:pPr>
              <w:spacing w:line="400" w:lineRule="exact"/>
              <w:jc w:val="center"/>
              <w:rPr>
                <w:szCs w:val="21"/>
              </w:rPr>
            </w:pPr>
            <w:r>
              <w:rPr>
                <w:szCs w:val="21"/>
              </w:rPr>
              <w:t>8小时内</w:t>
            </w:r>
          </w:p>
        </w:tc>
        <w:tc>
          <w:tcPr>
            <w:tcW w:w="1179" w:type="dxa"/>
            <w:vAlign w:val="center"/>
          </w:tcPr>
          <w:p w14:paraId="671870B7">
            <w:pPr>
              <w:widowControl/>
              <w:spacing w:line="400" w:lineRule="exact"/>
              <w:contextualSpacing/>
              <w:jc w:val="center"/>
              <w:rPr>
                <w:szCs w:val="21"/>
              </w:rPr>
            </w:pPr>
          </w:p>
        </w:tc>
        <w:tc>
          <w:tcPr>
            <w:tcW w:w="1481" w:type="dxa"/>
            <w:vAlign w:val="center"/>
          </w:tcPr>
          <w:p w14:paraId="440E127B">
            <w:pPr>
              <w:widowControl/>
              <w:spacing w:line="400" w:lineRule="exact"/>
              <w:contextualSpacing/>
              <w:jc w:val="center"/>
              <w:rPr>
                <w:szCs w:val="21"/>
              </w:rPr>
            </w:pPr>
            <w:r>
              <w:rPr>
                <w:rFonts w:hint="eastAsia"/>
                <w:szCs w:val="21"/>
              </w:rPr>
              <w:t>0</w:t>
            </w:r>
          </w:p>
        </w:tc>
        <w:tc>
          <w:tcPr>
            <w:tcW w:w="1806" w:type="dxa"/>
            <w:vMerge w:val="continue"/>
            <w:vAlign w:val="center"/>
          </w:tcPr>
          <w:p w14:paraId="2365CBEE">
            <w:pPr>
              <w:widowControl/>
              <w:spacing w:line="400" w:lineRule="exact"/>
              <w:contextualSpacing/>
              <w:jc w:val="center"/>
              <w:rPr>
                <w:szCs w:val="21"/>
              </w:rPr>
            </w:pPr>
          </w:p>
        </w:tc>
      </w:tr>
      <w:tr w14:paraId="622B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658" w:type="dxa"/>
            <w:shd w:val="clear" w:color="auto" w:fill="auto"/>
            <w:vAlign w:val="center"/>
          </w:tcPr>
          <w:p w14:paraId="2F5A29EB">
            <w:pPr>
              <w:widowControl/>
              <w:spacing w:line="400" w:lineRule="exact"/>
              <w:contextualSpacing/>
              <w:jc w:val="center"/>
              <w:rPr>
                <w:szCs w:val="21"/>
              </w:rPr>
            </w:pPr>
            <w:r>
              <w:rPr>
                <w:szCs w:val="21"/>
              </w:rPr>
              <w:t>8</w:t>
            </w:r>
          </w:p>
        </w:tc>
        <w:tc>
          <w:tcPr>
            <w:tcW w:w="2139" w:type="dxa"/>
            <w:vAlign w:val="center"/>
          </w:tcPr>
          <w:p w14:paraId="33E214C4">
            <w:pPr>
              <w:widowControl/>
              <w:spacing w:line="400" w:lineRule="exact"/>
              <w:contextualSpacing/>
              <w:jc w:val="center"/>
              <w:rPr>
                <w:szCs w:val="21"/>
              </w:rPr>
            </w:pPr>
            <w:r>
              <w:rPr>
                <w:szCs w:val="21"/>
              </w:rPr>
              <w:t>微波炉、电磁炉、风扇小电器维修</w:t>
            </w:r>
          </w:p>
        </w:tc>
        <w:tc>
          <w:tcPr>
            <w:tcW w:w="1492" w:type="dxa"/>
            <w:vAlign w:val="center"/>
          </w:tcPr>
          <w:p w14:paraId="75C41461">
            <w:pPr>
              <w:widowControl/>
              <w:spacing w:line="400" w:lineRule="exact"/>
              <w:contextualSpacing/>
              <w:jc w:val="center"/>
              <w:rPr>
                <w:szCs w:val="21"/>
              </w:rPr>
            </w:pPr>
            <w:r>
              <w:rPr>
                <w:szCs w:val="21"/>
              </w:rPr>
              <w:t>/</w:t>
            </w:r>
          </w:p>
        </w:tc>
        <w:tc>
          <w:tcPr>
            <w:tcW w:w="1179" w:type="dxa"/>
            <w:vAlign w:val="center"/>
          </w:tcPr>
          <w:p w14:paraId="1B252C45">
            <w:pPr>
              <w:widowControl/>
              <w:spacing w:line="400" w:lineRule="exact"/>
              <w:contextualSpacing/>
              <w:jc w:val="center"/>
              <w:rPr>
                <w:szCs w:val="21"/>
              </w:rPr>
            </w:pPr>
          </w:p>
        </w:tc>
        <w:tc>
          <w:tcPr>
            <w:tcW w:w="1481" w:type="dxa"/>
            <w:vAlign w:val="center"/>
          </w:tcPr>
          <w:p w14:paraId="669A9C97">
            <w:pPr>
              <w:widowControl/>
              <w:spacing w:line="400" w:lineRule="exact"/>
              <w:contextualSpacing/>
              <w:jc w:val="center"/>
              <w:rPr>
                <w:szCs w:val="21"/>
              </w:rPr>
            </w:pPr>
            <w:r>
              <w:rPr>
                <w:rFonts w:hint="eastAsia"/>
                <w:szCs w:val="21"/>
              </w:rPr>
              <w:t>0</w:t>
            </w:r>
          </w:p>
        </w:tc>
        <w:tc>
          <w:tcPr>
            <w:tcW w:w="1806" w:type="dxa"/>
            <w:vAlign w:val="center"/>
          </w:tcPr>
          <w:p w14:paraId="59989024">
            <w:pPr>
              <w:widowControl/>
              <w:spacing w:line="400" w:lineRule="exact"/>
              <w:contextualSpacing/>
              <w:jc w:val="center"/>
              <w:rPr>
                <w:szCs w:val="21"/>
              </w:rPr>
            </w:pPr>
            <w:r>
              <w:rPr>
                <w:szCs w:val="21"/>
              </w:rPr>
              <w:t>按每台电器报价</w:t>
            </w:r>
          </w:p>
        </w:tc>
      </w:tr>
      <w:tr w14:paraId="46F8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658" w:type="dxa"/>
            <w:shd w:val="clear" w:color="auto" w:fill="auto"/>
            <w:vAlign w:val="center"/>
          </w:tcPr>
          <w:p w14:paraId="14D12687">
            <w:pPr>
              <w:widowControl/>
              <w:spacing w:line="400" w:lineRule="exact"/>
              <w:contextualSpacing/>
              <w:jc w:val="center"/>
              <w:rPr>
                <w:szCs w:val="21"/>
              </w:rPr>
            </w:pPr>
            <w:r>
              <w:rPr>
                <w:szCs w:val="21"/>
              </w:rPr>
              <w:t>9</w:t>
            </w:r>
          </w:p>
        </w:tc>
        <w:tc>
          <w:tcPr>
            <w:tcW w:w="2139" w:type="dxa"/>
            <w:vAlign w:val="center"/>
          </w:tcPr>
          <w:p w14:paraId="6C96D919">
            <w:pPr>
              <w:widowControl/>
              <w:spacing w:line="400" w:lineRule="exact"/>
              <w:contextualSpacing/>
              <w:jc w:val="center"/>
              <w:rPr>
                <w:szCs w:val="21"/>
              </w:rPr>
            </w:pPr>
            <w:r>
              <w:rPr>
                <w:szCs w:val="21"/>
              </w:rPr>
              <w:t>病床、值班床、检查床、抢救床、病员推车（床）焊接、维修</w:t>
            </w:r>
          </w:p>
        </w:tc>
        <w:tc>
          <w:tcPr>
            <w:tcW w:w="1492" w:type="dxa"/>
            <w:vAlign w:val="center"/>
          </w:tcPr>
          <w:p w14:paraId="76950EBB">
            <w:pPr>
              <w:widowControl/>
              <w:spacing w:line="400" w:lineRule="exact"/>
              <w:contextualSpacing/>
              <w:jc w:val="center"/>
              <w:rPr>
                <w:szCs w:val="21"/>
              </w:rPr>
            </w:pPr>
            <w:r>
              <w:rPr>
                <w:szCs w:val="21"/>
              </w:rPr>
              <w:t>/</w:t>
            </w:r>
          </w:p>
        </w:tc>
        <w:tc>
          <w:tcPr>
            <w:tcW w:w="1179" w:type="dxa"/>
            <w:vAlign w:val="center"/>
          </w:tcPr>
          <w:p w14:paraId="07CE5A16">
            <w:pPr>
              <w:widowControl/>
              <w:spacing w:line="400" w:lineRule="exact"/>
              <w:contextualSpacing/>
              <w:jc w:val="center"/>
              <w:rPr>
                <w:szCs w:val="21"/>
              </w:rPr>
            </w:pPr>
          </w:p>
        </w:tc>
        <w:tc>
          <w:tcPr>
            <w:tcW w:w="1481" w:type="dxa"/>
            <w:vAlign w:val="center"/>
          </w:tcPr>
          <w:p w14:paraId="16115DAB">
            <w:pPr>
              <w:widowControl/>
              <w:spacing w:line="400" w:lineRule="exact"/>
              <w:contextualSpacing/>
              <w:jc w:val="center"/>
              <w:rPr>
                <w:szCs w:val="21"/>
              </w:rPr>
            </w:pPr>
            <w:r>
              <w:rPr>
                <w:rFonts w:hint="eastAsia"/>
                <w:szCs w:val="21"/>
              </w:rPr>
              <w:t>78</w:t>
            </w:r>
          </w:p>
        </w:tc>
        <w:tc>
          <w:tcPr>
            <w:tcW w:w="1806" w:type="dxa"/>
            <w:vMerge w:val="restart"/>
            <w:vAlign w:val="center"/>
          </w:tcPr>
          <w:p w14:paraId="216A2BFB">
            <w:pPr>
              <w:widowControl/>
              <w:spacing w:line="400" w:lineRule="exact"/>
              <w:contextualSpacing/>
              <w:jc w:val="center"/>
              <w:rPr>
                <w:szCs w:val="21"/>
              </w:rPr>
            </w:pPr>
            <w:r>
              <w:rPr>
                <w:szCs w:val="21"/>
              </w:rPr>
              <w:t>按张/辆报价</w:t>
            </w:r>
          </w:p>
        </w:tc>
      </w:tr>
      <w:tr w14:paraId="43D7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658" w:type="dxa"/>
            <w:shd w:val="clear" w:color="auto" w:fill="auto"/>
            <w:vAlign w:val="center"/>
          </w:tcPr>
          <w:p w14:paraId="48AB229E">
            <w:pPr>
              <w:widowControl/>
              <w:spacing w:line="400" w:lineRule="exact"/>
              <w:contextualSpacing/>
              <w:jc w:val="center"/>
              <w:rPr>
                <w:szCs w:val="21"/>
              </w:rPr>
            </w:pPr>
            <w:r>
              <w:rPr>
                <w:szCs w:val="21"/>
              </w:rPr>
              <w:t>10</w:t>
            </w:r>
          </w:p>
        </w:tc>
        <w:tc>
          <w:tcPr>
            <w:tcW w:w="2139" w:type="dxa"/>
            <w:vAlign w:val="center"/>
          </w:tcPr>
          <w:p w14:paraId="47AE0AF6">
            <w:pPr>
              <w:widowControl/>
              <w:spacing w:line="400" w:lineRule="exact"/>
              <w:contextualSpacing/>
              <w:jc w:val="center"/>
              <w:rPr>
                <w:szCs w:val="21"/>
              </w:rPr>
            </w:pPr>
            <w:r>
              <w:rPr>
                <w:szCs w:val="21"/>
              </w:rPr>
              <w:t>不锈钢类：推车、治疗车、护理车、治疗柜等焊接、维修</w:t>
            </w:r>
          </w:p>
        </w:tc>
        <w:tc>
          <w:tcPr>
            <w:tcW w:w="1492" w:type="dxa"/>
            <w:vAlign w:val="center"/>
          </w:tcPr>
          <w:p w14:paraId="46E91308">
            <w:pPr>
              <w:widowControl/>
              <w:spacing w:line="400" w:lineRule="exact"/>
              <w:contextualSpacing/>
              <w:jc w:val="center"/>
              <w:rPr>
                <w:szCs w:val="21"/>
              </w:rPr>
            </w:pPr>
            <w:r>
              <w:rPr>
                <w:szCs w:val="21"/>
              </w:rPr>
              <w:t>/</w:t>
            </w:r>
          </w:p>
        </w:tc>
        <w:tc>
          <w:tcPr>
            <w:tcW w:w="1179" w:type="dxa"/>
            <w:vAlign w:val="center"/>
          </w:tcPr>
          <w:p w14:paraId="70B30D3E">
            <w:pPr>
              <w:widowControl/>
              <w:spacing w:line="400" w:lineRule="exact"/>
              <w:contextualSpacing/>
              <w:jc w:val="center"/>
              <w:rPr>
                <w:szCs w:val="21"/>
              </w:rPr>
            </w:pPr>
          </w:p>
        </w:tc>
        <w:tc>
          <w:tcPr>
            <w:tcW w:w="1481" w:type="dxa"/>
            <w:vAlign w:val="center"/>
          </w:tcPr>
          <w:p w14:paraId="6BEEA641">
            <w:pPr>
              <w:widowControl/>
              <w:spacing w:line="400" w:lineRule="exact"/>
              <w:contextualSpacing/>
              <w:jc w:val="center"/>
              <w:rPr>
                <w:szCs w:val="21"/>
              </w:rPr>
            </w:pPr>
            <w:r>
              <w:rPr>
                <w:rFonts w:hint="eastAsia"/>
                <w:szCs w:val="21"/>
              </w:rPr>
              <w:t>6</w:t>
            </w:r>
          </w:p>
        </w:tc>
        <w:tc>
          <w:tcPr>
            <w:tcW w:w="1806" w:type="dxa"/>
            <w:vMerge w:val="continue"/>
            <w:vAlign w:val="center"/>
          </w:tcPr>
          <w:p w14:paraId="69541BB9">
            <w:pPr>
              <w:widowControl/>
              <w:spacing w:line="400" w:lineRule="exact"/>
              <w:contextualSpacing/>
              <w:jc w:val="center"/>
              <w:rPr>
                <w:szCs w:val="21"/>
              </w:rPr>
            </w:pPr>
          </w:p>
        </w:tc>
      </w:tr>
      <w:tr w14:paraId="5AC4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58" w:type="dxa"/>
            <w:vAlign w:val="center"/>
          </w:tcPr>
          <w:p w14:paraId="63063D2D">
            <w:pPr>
              <w:widowControl/>
              <w:spacing w:line="400" w:lineRule="exact"/>
              <w:contextualSpacing/>
              <w:jc w:val="center"/>
              <w:rPr>
                <w:szCs w:val="21"/>
              </w:rPr>
            </w:pPr>
            <w:r>
              <w:rPr>
                <w:szCs w:val="21"/>
              </w:rPr>
              <w:t>1</w:t>
            </w:r>
            <w:r>
              <w:rPr>
                <w:rFonts w:hint="eastAsia"/>
                <w:szCs w:val="21"/>
              </w:rPr>
              <w:t>1</w:t>
            </w:r>
          </w:p>
        </w:tc>
        <w:tc>
          <w:tcPr>
            <w:tcW w:w="2139" w:type="dxa"/>
            <w:vAlign w:val="center"/>
          </w:tcPr>
          <w:p w14:paraId="09067DF7">
            <w:pPr>
              <w:widowControl/>
              <w:spacing w:line="400" w:lineRule="exact"/>
              <w:contextualSpacing/>
              <w:jc w:val="center"/>
              <w:rPr>
                <w:szCs w:val="21"/>
              </w:rPr>
            </w:pPr>
            <w:r>
              <w:rPr>
                <w:szCs w:val="21"/>
              </w:rPr>
              <w:t>桌、椅、板凳、普通推车等焊接、维修</w:t>
            </w:r>
          </w:p>
        </w:tc>
        <w:tc>
          <w:tcPr>
            <w:tcW w:w="1492" w:type="dxa"/>
            <w:vAlign w:val="center"/>
          </w:tcPr>
          <w:p w14:paraId="2CD351BD">
            <w:pPr>
              <w:widowControl/>
              <w:spacing w:line="400" w:lineRule="exact"/>
              <w:contextualSpacing/>
              <w:jc w:val="center"/>
              <w:rPr>
                <w:szCs w:val="21"/>
              </w:rPr>
            </w:pPr>
            <w:r>
              <w:rPr>
                <w:szCs w:val="21"/>
              </w:rPr>
              <w:t>/</w:t>
            </w:r>
          </w:p>
        </w:tc>
        <w:tc>
          <w:tcPr>
            <w:tcW w:w="1179" w:type="dxa"/>
            <w:vAlign w:val="center"/>
          </w:tcPr>
          <w:p w14:paraId="0317B1E1">
            <w:pPr>
              <w:widowControl/>
              <w:spacing w:line="400" w:lineRule="exact"/>
              <w:contextualSpacing/>
              <w:jc w:val="center"/>
              <w:rPr>
                <w:szCs w:val="21"/>
              </w:rPr>
            </w:pPr>
          </w:p>
        </w:tc>
        <w:tc>
          <w:tcPr>
            <w:tcW w:w="1481" w:type="dxa"/>
            <w:vAlign w:val="center"/>
          </w:tcPr>
          <w:p w14:paraId="409B9CB0">
            <w:pPr>
              <w:widowControl/>
              <w:spacing w:line="400" w:lineRule="exact"/>
              <w:contextualSpacing/>
              <w:jc w:val="center"/>
              <w:rPr>
                <w:szCs w:val="21"/>
              </w:rPr>
            </w:pPr>
            <w:r>
              <w:rPr>
                <w:rFonts w:hint="eastAsia"/>
                <w:szCs w:val="21"/>
              </w:rPr>
              <w:t>13</w:t>
            </w:r>
          </w:p>
        </w:tc>
        <w:tc>
          <w:tcPr>
            <w:tcW w:w="1806" w:type="dxa"/>
            <w:vMerge w:val="continue"/>
            <w:vAlign w:val="center"/>
          </w:tcPr>
          <w:p w14:paraId="0C4FA1D6">
            <w:pPr>
              <w:widowControl/>
              <w:spacing w:line="400" w:lineRule="exact"/>
              <w:contextualSpacing/>
              <w:jc w:val="center"/>
              <w:rPr>
                <w:szCs w:val="21"/>
              </w:rPr>
            </w:pPr>
          </w:p>
        </w:tc>
      </w:tr>
      <w:tr w14:paraId="03A1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468" w:type="dxa"/>
            <w:gridSpan w:val="4"/>
            <w:vAlign w:val="center"/>
          </w:tcPr>
          <w:p w14:paraId="6DA2BEE3">
            <w:pPr>
              <w:widowControl/>
              <w:spacing w:line="400" w:lineRule="exact"/>
              <w:contextualSpacing/>
              <w:jc w:val="center"/>
              <w:rPr>
                <w:rFonts w:hint="eastAsia" w:eastAsiaTheme="minorEastAsia"/>
                <w:szCs w:val="21"/>
                <w:lang w:eastAsia="zh-CN"/>
              </w:rPr>
            </w:pPr>
            <w:r>
              <w:rPr>
                <w:rFonts w:hint="eastAsia"/>
                <w:szCs w:val="21"/>
                <w:lang w:eastAsia="zh-CN"/>
              </w:rPr>
              <w:t>总价（元</w:t>
            </w:r>
            <w:r>
              <w:rPr>
                <w:rFonts w:hint="eastAsia"/>
                <w:szCs w:val="21"/>
                <w:lang w:val="en-US" w:eastAsia="zh-CN"/>
              </w:rPr>
              <w:t>/月</w:t>
            </w:r>
            <w:r>
              <w:rPr>
                <w:rFonts w:hint="eastAsia"/>
                <w:szCs w:val="21"/>
                <w:lang w:eastAsia="zh-CN"/>
              </w:rPr>
              <w:t>）</w:t>
            </w:r>
          </w:p>
        </w:tc>
        <w:tc>
          <w:tcPr>
            <w:tcW w:w="3287" w:type="dxa"/>
            <w:gridSpan w:val="2"/>
            <w:vAlign w:val="center"/>
          </w:tcPr>
          <w:p w14:paraId="74048B90">
            <w:pPr>
              <w:widowControl/>
              <w:spacing w:line="400" w:lineRule="exact"/>
              <w:contextualSpacing/>
              <w:jc w:val="center"/>
              <w:rPr>
                <w:szCs w:val="21"/>
              </w:rPr>
            </w:pPr>
          </w:p>
        </w:tc>
      </w:tr>
    </w:tbl>
    <w:p w14:paraId="19A4B5F9">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方正仿宋_GBK" w:hAnsi="方正仿宋_GBK" w:eastAsia="方正仿宋_GBK" w:cs="方正仿宋_GBK"/>
        </w:rPr>
      </w:pPr>
    </w:p>
    <w:p w14:paraId="44863382">
      <w:pPr>
        <w:numPr>
          <w:ilvl w:val="0"/>
          <w:numId w:val="0"/>
        </w:numPr>
        <w:spacing w:line="400" w:lineRule="exact"/>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sz w:val="24"/>
          <w:szCs w:val="24"/>
          <w:shd w:val="clear" w:color="auto" w:fill="auto"/>
        </w:rPr>
        <w:t>备注：</w:t>
      </w:r>
      <w:r>
        <w:rPr>
          <w:rFonts w:hint="eastAsia" w:ascii="宋体" w:hAnsi="宋体" w:eastAsia="宋体" w:cs="宋体"/>
          <w:color w:val="FF0000"/>
          <w:sz w:val="24"/>
          <w:szCs w:val="24"/>
          <w:shd w:val="clear" w:color="auto" w:fill="auto"/>
          <w:lang w:val="en-US" w:eastAsia="zh-CN"/>
        </w:rPr>
        <w:t>1.报价为包干价，</w:t>
      </w:r>
      <w:r>
        <w:rPr>
          <w:rFonts w:hint="default" w:ascii="宋体" w:hAnsi="宋体" w:eastAsia="宋体" w:cs="宋体"/>
          <w:color w:val="FF0000"/>
          <w:sz w:val="24"/>
          <w:szCs w:val="24"/>
          <w:shd w:val="clear" w:color="auto" w:fill="auto"/>
          <w:lang w:val="en-US" w:eastAsia="zh-CN"/>
        </w:rPr>
        <w:t>各项投标报价包含服务费、保险费、税费等各项费用</w:t>
      </w:r>
      <w:r>
        <w:rPr>
          <w:rFonts w:hint="eastAsia" w:ascii="宋体" w:hAnsi="宋体" w:eastAsia="宋体" w:cs="宋体"/>
          <w:color w:val="FF0000"/>
          <w:sz w:val="24"/>
          <w:szCs w:val="24"/>
          <w:shd w:val="clear" w:color="auto" w:fill="auto"/>
          <w:lang w:val="en-US" w:eastAsia="zh-CN"/>
        </w:rPr>
        <w:t>（材料费除外）</w:t>
      </w:r>
      <w:r>
        <w:rPr>
          <w:rFonts w:hint="default" w:ascii="宋体" w:hAnsi="宋体" w:eastAsia="宋体" w:cs="宋体"/>
          <w:color w:val="FF0000"/>
          <w:sz w:val="24"/>
          <w:szCs w:val="24"/>
          <w:shd w:val="clear" w:color="auto" w:fill="auto"/>
          <w:lang w:val="en-US" w:eastAsia="zh-CN"/>
        </w:rPr>
        <w:t>。</w:t>
      </w:r>
    </w:p>
    <w:p w14:paraId="2877A2CA">
      <w:pPr>
        <w:pStyle w:val="52"/>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720" w:firstLineChars="300"/>
        <w:jc w:val="both"/>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cs="宋体"/>
          <w:color w:val="000000" w:themeColor="text1"/>
          <w:kern w:val="2"/>
          <w:sz w:val="24"/>
          <w:szCs w:val="24"/>
          <w:shd w:val="clear" w:color="auto" w:fill="auto"/>
          <w:lang w:val="en-US" w:eastAsia="zh-CN" w:bidi="ar-SA"/>
          <w14:textFill>
            <w14:solidFill>
              <w14:schemeClr w14:val="tx1"/>
            </w14:solidFill>
          </w14:textFill>
        </w:rPr>
        <w:t>2.采购人根据此表总价，比选成交供应商</w:t>
      </w:r>
    </w:p>
    <w:p w14:paraId="11D2014B">
      <w:pPr>
        <w:rPr>
          <w:rFonts w:hint="eastAsia" w:ascii="宋体" w:hAnsi="宋体" w:eastAsia="宋体" w:cs="宋体"/>
          <w:b/>
          <w:color w:val="000000" w:themeColor="text1"/>
          <w:shd w:val="clear" w:color="auto" w:fill="auto"/>
          <w14:textFill>
            <w14:solidFill>
              <w14:schemeClr w14:val="tx1"/>
            </w14:solidFill>
          </w14:textFill>
        </w:rPr>
      </w:pPr>
    </w:p>
    <w:p w14:paraId="6E4D0A41">
      <w:pPr>
        <w:rPr>
          <w:rFonts w:hint="eastAsia" w:ascii="宋体" w:hAnsi="宋体" w:eastAsia="宋体" w:cs="宋体"/>
          <w:b/>
          <w:color w:val="000000" w:themeColor="text1"/>
          <w:shd w:val="clear" w:color="auto" w:fill="auto"/>
          <w:lang w:eastAsia="zh-CN"/>
          <w14:textFill>
            <w14:solidFill>
              <w14:schemeClr w14:val="tx1"/>
            </w14:solidFill>
          </w14:textFill>
        </w:rPr>
      </w:pPr>
    </w:p>
    <w:p w14:paraId="18158003">
      <w:pPr>
        <w:rPr>
          <w:rFonts w:hint="eastAsia" w:ascii="宋体" w:hAnsi="宋体" w:eastAsia="宋体" w:cs="宋体"/>
          <w:b/>
          <w:color w:val="000000" w:themeColor="text1"/>
          <w:shd w:val="clear" w:color="auto" w:fill="auto"/>
          <w:lang w:eastAsia="zh-CN"/>
          <w14:textFill>
            <w14:solidFill>
              <w14:schemeClr w14:val="tx1"/>
            </w14:solidFill>
          </w14:textFill>
        </w:rPr>
      </w:pPr>
    </w:p>
    <w:p w14:paraId="694BF444">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96032">
      <w:pPr>
        <w:rPr>
          <w:rFonts w:hint="eastAsia" w:ascii="宋体" w:hAnsi="宋体" w:eastAsia="宋体" w:cs="宋体"/>
          <w:b/>
          <w:color w:val="000000" w:themeColor="text1"/>
          <w:shd w:val="clear" w:color="auto" w:fill="auto"/>
          <w:lang w:eastAsia="zh-CN"/>
          <w14:textFill>
            <w14:solidFill>
              <w14:schemeClr w14:val="tx1"/>
            </w14:solidFill>
          </w14:textFill>
        </w:rPr>
      </w:pPr>
    </w:p>
    <w:p w14:paraId="31FC04B1">
      <w:pPr>
        <w:rPr>
          <w:rFonts w:hint="eastAsia" w:ascii="宋体" w:hAnsi="宋体" w:eastAsia="宋体" w:cs="宋体"/>
          <w:b/>
          <w:color w:val="000000" w:themeColor="text1"/>
          <w:shd w:val="clear" w:color="auto" w:fill="auto"/>
          <w:lang w:eastAsia="zh-CN"/>
          <w14:textFill>
            <w14:solidFill>
              <w14:schemeClr w14:val="tx1"/>
            </w14:solidFill>
          </w14:textFill>
        </w:rPr>
      </w:pPr>
    </w:p>
    <w:p w14:paraId="315C9A04">
      <w:pPr>
        <w:rPr>
          <w:rFonts w:hint="eastAsia" w:ascii="宋体" w:hAnsi="宋体" w:eastAsia="宋体" w:cs="宋体"/>
          <w:b/>
          <w:color w:val="000000" w:themeColor="text1"/>
          <w:shd w:val="clear" w:color="auto" w:fill="auto"/>
          <w:lang w:eastAsia="zh-CN"/>
          <w14:textFill>
            <w14:solidFill>
              <w14:schemeClr w14:val="tx1"/>
            </w14:solidFill>
          </w14:textFill>
        </w:rPr>
      </w:pPr>
    </w:p>
    <w:p w14:paraId="64EF8113">
      <w:pPr>
        <w:rPr>
          <w:rFonts w:hint="eastAsia" w:ascii="宋体" w:hAnsi="宋体" w:eastAsia="宋体" w:cs="宋体"/>
          <w:b/>
          <w:color w:val="000000" w:themeColor="text1"/>
          <w:shd w:val="clear" w:color="auto" w:fill="auto"/>
          <w:lang w:eastAsia="zh-CN"/>
          <w14:textFill>
            <w14:solidFill>
              <w14:schemeClr w14:val="tx1"/>
            </w14:solidFill>
          </w14:textFill>
        </w:rPr>
      </w:pPr>
    </w:p>
    <w:p w14:paraId="29551636">
      <w:pPr>
        <w:rPr>
          <w:rFonts w:hint="eastAsia" w:ascii="宋体" w:hAnsi="宋体" w:eastAsia="宋体" w:cs="宋体"/>
          <w:b/>
          <w:color w:val="000000" w:themeColor="text1"/>
          <w:shd w:val="clear" w:color="auto" w:fill="auto"/>
          <w:lang w:eastAsia="zh-CN"/>
          <w14:textFill>
            <w14:solidFill>
              <w14:schemeClr w14:val="tx1"/>
            </w14:solidFill>
          </w14:textFill>
        </w:rPr>
      </w:pPr>
    </w:p>
    <w:p w14:paraId="57F75A22">
      <w:pPr>
        <w:rPr>
          <w:rFonts w:hint="eastAsia" w:ascii="宋体" w:hAnsi="宋体" w:eastAsia="宋体" w:cs="宋体"/>
          <w:b/>
          <w:color w:val="000000" w:themeColor="text1"/>
          <w:shd w:val="clear" w:color="auto" w:fill="auto"/>
          <w:lang w:eastAsia="zh-CN"/>
          <w14:textFill>
            <w14:solidFill>
              <w14:schemeClr w14:val="tx1"/>
            </w14:solidFill>
          </w14:textFill>
        </w:rPr>
      </w:pPr>
    </w:p>
    <w:p w14:paraId="600CD43F">
      <w:pPr>
        <w:rPr>
          <w:rFonts w:hint="eastAsia" w:ascii="宋体" w:hAnsi="宋体" w:eastAsia="宋体" w:cs="宋体"/>
          <w:b/>
          <w:color w:val="000000" w:themeColor="text1"/>
          <w:shd w:val="clear" w:color="auto" w:fill="auto"/>
          <w:lang w:eastAsia="zh-CN"/>
          <w14:textFill>
            <w14:solidFill>
              <w14:schemeClr w14:val="tx1"/>
            </w14:solidFill>
          </w14:textFill>
        </w:rPr>
      </w:pPr>
    </w:p>
    <w:p w14:paraId="628F80CC">
      <w:pPr>
        <w:rPr>
          <w:rFonts w:hint="eastAsia" w:ascii="宋体" w:hAnsi="宋体" w:eastAsia="宋体" w:cs="宋体"/>
          <w:b/>
          <w:color w:val="000000" w:themeColor="text1"/>
          <w:shd w:val="clear" w:color="auto" w:fill="auto"/>
          <w:lang w:eastAsia="zh-CN"/>
          <w14:textFill>
            <w14:solidFill>
              <w14:schemeClr w14:val="tx1"/>
            </w14:solidFill>
          </w14:textFill>
        </w:rPr>
      </w:pPr>
    </w:p>
    <w:p w14:paraId="3F0A63DB">
      <w:pPr>
        <w:rPr>
          <w:rFonts w:hint="eastAsia" w:ascii="宋体" w:hAnsi="宋体" w:eastAsia="宋体" w:cs="宋体"/>
          <w:b/>
          <w:color w:val="000000" w:themeColor="text1"/>
          <w:shd w:val="clear" w:color="auto" w:fill="auto"/>
          <w:lang w:eastAsia="zh-CN"/>
          <w14:textFill>
            <w14:solidFill>
              <w14:schemeClr w14:val="tx1"/>
            </w14:solidFill>
          </w14:textFill>
        </w:rPr>
      </w:pPr>
    </w:p>
    <w:p w14:paraId="39660B8C">
      <w:pPr>
        <w:rPr>
          <w:rFonts w:hint="eastAsia" w:ascii="宋体" w:hAnsi="宋体" w:eastAsia="宋体" w:cs="宋体"/>
          <w:b/>
          <w:color w:val="000000" w:themeColor="text1"/>
          <w:shd w:val="clear" w:color="auto" w:fill="auto"/>
          <w:lang w:eastAsia="zh-CN"/>
          <w14:textFill>
            <w14:solidFill>
              <w14:schemeClr w14:val="tx1"/>
            </w14:solidFill>
          </w14:textFill>
        </w:rPr>
      </w:pPr>
    </w:p>
    <w:p w14:paraId="487C3E14">
      <w:pPr>
        <w:rPr>
          <w:rFonts w:hint="eastAsia" w:ascii="宋体" w:hAnsi="宋体" w:eastAsia="宋体" w:cs="宋体"/>
          <w:b/>
          <w:color w:val="000000" w:themeColor="text1"/>
          <w:shd w:val="clear" w:color="auto" w:fill="auto"/>
          <w:lang w:eastAsia="zh-CN"/>
          <w14:textFill>
            <w14:solidFill>
              <w14:schemeClr w14:val="tx1"/>
            </w14:solidFill>
          </w14:textFill>
        </w:rPr>
      </w:pPr>
    </w:p>
    <w:p w14:paraId="265F6F85">
      <w:pPr>
        <w:rPr>
          <w:rFonts w:hint="eastAsia" w:ascii="宋体" w:hAnsi="宋体" w:eastAsia="宋体" w:cs="宋体"/>
          <w:b/>
          <w:color w:val="000000" w:themeColor="text1"/>
          <w:shd w:val="clear" w:color="auto" w:fill="auto"/>
          <w:lang w:eastAsia="zh-CN"/>
          <w14:textFill>
            <w14:solidFill>
              <w14:schemeClr w14:val="tx1"/>
            </w14:solidFill>
          </w14:textFill>
        </w:rPr>
      </w:pPr>
    </w:p>
    <w:p w14:paraId="07022ACC">
      <w:pPr>
        <w:rPr>
          <w:rFonts w:hint="eastAsia" w:ascii="宋体" w:hAnsi="宋体" w:eastAsia="宋体" w:cs="宋体"/>
          <w:b/>
          <w:color w:val="000000" w:themeColor="text1"/>
          <w:shd w:val="clear" w:color="auto" w:fill="auto"/>
          <w:lang w:eastAsia="zh-CN"/>
          <w14:textFill>
            <w14:solidFill>
              <w14:schemeClr w14:val="tx1"/>
            </w14:solidFill>
          </w14:textFill>
        </w:rPr>
      </w:pPr>
    </w:p>
    <w:p w14:paraId="62435432">
      <w:pPr>
        <w:rPr>
          <w:rFonts w:hint="eastAsia" w:ascii="宋体" w:hAnsi="宋体" w:eastAsia="宋体" w:cs="宋体"/>
          <w:b/>
          <w:color w:val="000000" w:themeColor="text1"/>
          <w:shd w:val="clear" w:color="auto" w:fill="auto"/>
          <w:lang w:eastAsia="zh-CN"/>
          <w14:textFill>
            <w14:solidFill>
              <w14:schemeClr w14:val="tx1"/>
            </w14:solidFill>
          </w14:textFill>
        </w:rPr>
      </w:pPr>
    </w:p>
    <w:p w14:paraId="49DE9DBD">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D92A8">
      <w:pPr>
        <w:rPr>
          <w:rFonts w:hint="eastAsia" w:ascii="宋体" w:hAnsi="宋体" w:eastAsia="宋体" w:cs="宋体"/>
          <w:b/>
          <w:color w:val="000000" w:themeColor="text1"/>
          <w:shd w:val="clear" w:color="auto" w:fill="auto"/>
          <w:lang w:eastAsia="zh-CN"/>
          <w14:textFill>
            <w14:solidFill>
              <w14:schemeClr w14:val="tx1"/>
            </w14:solidFill>
          </w14:textFill>
        </w:rPr>
      </w:pPr>
    </w:p>
    <w:p w14:paraId="6482364F">
      <w:pPr>
        <w:rPr>
          <w:rFonts w:hint="eastAsia" w:ascii="宋体" w:hAnsi="宋体" w:eastAsia="宋体" w:cs="宋体"/>
          <w:b/>
          <w:color w:val="000000" w:themeColor="text1"/>
          <w:shd w:val="clear" w:color="auto" w:fill="auto"/>
          <w:lang w:eastAsia="zh-CN"/>
          <w14:textFill>
            <w14:solidFill>
              <w14:schemeClr w14:val="tx1"/>
            </w14:solidFill>
          </w14:textFill>
        </w:rPr>
      </w:pPr>
    </w:p>
    <w:p w14:paraId="064185F5">
      <w:pPr>
        <w:rPr>
          <w:rFonts w:hint="eastAsia" w:ascii="宋体" w:hAnsi="宋体" w:eastAsia="宋体" w:cs="宋体"/>
          <w:b/>
          <w:color w:val="000000" w:themeColor="text1"/>
          <w:shd w:val="clear" w:color="auto" w:fill="auto"/>
          <w:lang w:eastAsia="zh-CN"/>
          <w14:textFill>
            <w14:solidFill>
              <w14:schemeClr w14:val="tx1"/>
            </w14:solidFill>
          </w14:textFill>
        </w:rPr>
      </w:pPr>
    </w:p>
    <w:p w14:paraId="5F30B3BD">
      <w:pPr>
        <w:rPr>
          <w:rFonts w:hint="eastAsia" w:ascii="宋体" w:hAnsi="宋体" w:eastAsia="宋体" w:cs="宋体"/>
          <w:b/>
          <w:color w:val="000000" w:themeColor="text1"/>
          <w:shd w:val="clear" w:color="auto" w:fill="auto"/>
          <w:lang w:eastAsia="zh-CN"/>
          <w14:textFill>
            <w14:solidFill>
              <w14:schemeClr w14:val="tx1"/>
            </w14:solidFill>
          </w14:textFill>
        </w:rPr>
      </w:pPr>
    </w:p>
    <w:p w14:paraId="2794DD4C">
      <w:pPr>
        <w:rPr>
          <w:rFonts w:hint="eastAsia" w:ascii="宋体" w:hAnsi="宋体" w:eastAsia="宋体" w:cs="宋体"/>
          <w:b/>
          <w:color w:val="000000" w:themeColor="text1"/>
          <w:shd w:val="clear" w:color="auto" w:fill="auto"/>
          <w:lang w:eastAsia="zh-CN"/>
          <w14:textFill>
            <w14:solidFill>
              <w14:schemeClr w14:val="tx1"/>
            </w14:solidFill>
          </w14:textFill>
        </w:rPr>
      </w:pPr>
    </w:p>
    <w:p w14:paraId="58D21E82">
      <w:pPr>
        <w:rPr>
          <w:rFonts w:hint="eastAsia" w:ascii="宋体" w:hAnsi="宋体" w:eastAsia="宋体" w:cs="宋体"/>
          <w:b/>
          <w:color w:val="000000" w:themeColor="text1"/>
          <w:shd w:val="clear" w:color="auto" w:fill="auto"/>
          <w:lang w:eastAsia="zh-CN"/>
          <w14:textFill>
            <w14:solidFill>
              <w14:schemeClr w14:val="tx1"/>
            </w14:solidFill>
          </w14:textFill>
        </w:rPr>
      </w:pPr>
    </w:p>
    <w:p w14:paraId="4E852679">
      <w:pPr>
        <w:rPr>
          <w:rFonts w:hint="eastAsia" w:ascii="宋体" w:hAnsi="宋体" w:eastAsia="宋体" w:cs="宋体"/>
          <w:b/>
          <w:color w:val="000000" w:themeColor="text1"/>
          <w:shd w:val="clear" w:color="auto" w:fill="auto"/>
          <w:lang w:eastAsia="zh-CN"/>
          <w14:textFill>
            <w14:solidFill>
              <w14:schemeClr w14:val="tx1"/>
            </w14:solidFill>
          </w14:textFill>
        </w:rPr>
      </w:pPr>
    </w:p>
    <w:p w14:paraId="7EB23F2F">
      <w:pPr>
        <w:rPr>
          <w:rFonts w:hint="eastAsia" w:ascii="宋体" w:hAnsi="宋体" w:eastAsia="宋体" w:cs="宋体"/>
          <w:b/>
          <w:color w:val="000000" w:themeColor="text1"/>
          <w:shd w:val="clear" w:color="auto" w:fill="auto"/>
          <w:lang w:eastAsia="zh-CN"/>
          <w14:textFill>
            <w14:solidFill>
              <w14:schemeClr w14:val="tx1"/>
            </w14:solidFill>
          </w14:textFill>
        </w:rPr>
      </w:pPr>
    </w:p>
    <w:p w14:paraId="1CACFC36">
      <w:pPr>
        <w:rPr>
          <w:rFonts w:hint="eastAsia" w:ascii="宋体" w:hAnsi="宋体" w:eastAsia="宋体" w:cs="宋体"/>
          <w:b/>
          <w:color w:val="000000" w:themeColor="text1"/>
          <w:shd w:val="clear" w:color="auto" w:fill="auto"/>
          <w:lang w:eastAsia="zh-CN"/>
          <w14:textFill>
            <w14:solidFill>
              <w14:schemeClr w14:val="tx1"/>
            </w14:solidFill>
          </w14:textFill>
        </w:rPr>
      </w:pPr>
    </w:p>
    <w:p w14:paraId="033C21E1">
      <w:pPr>
        <w:rPr>
          <w:rFonts w:hint="eastAsia" w:ascii="宋体" w:hAnsi="宋体" w:eastAsia="宋体" w:cs="宋体"/>
          <w:b/>
          <w:color w:val="000000" w:themeColor="text1"/>
          <w:shd w:val="clear" w:color="auto" w:fill="auto"/>
          <w:lang w:eastAsia="zh-CN"/>
          <w14:textFill>
            <w14:solidFill>
              <w14:schemeClr w14:val="tx1"/>
            </w14:solidFill>
          </w14:textFill>
        </w:rPr>
      </w:pPr>
    </w:p>
    <w:p w14:paraId="38D4753E">
      <w:pPr>
        <w:rPr>
          <w:rFonts w:hint="eastAsia" w:ascii="宋体" w:hAnsi="宋体" w:eastAsia="宋体" w:cs="宋体"/>
          <w:b/>
          <w:color w:val="000000" w:themeColor="text1"/>
          <w:shd w:val="clear" w:color="auto" w:fill="auto"/>
          <w:lang w:eastAsia="zh-CN"/>
          <w14:textFill>
            <w14:solidFill>
              <w14:schemeClr w14:val="tx1"/>
            </w14:solidFill>
          </w14:textFill>
        </w:rPr>
      </w:pPr>
    </w:p>
    <w:p w14:paraId="41C34B16">
      <w:pPr>
        <w:rPr>
          <w:rFonts w:hint="eastAsia" w:ascii="宋体" w:hAnsi="宋体" w:eastAsia="宋体" w:cs="宋体"/>
          <w:b/>
          <w:color w:val="000000" w:themeColor="text1"/>
          <w:shd w:val="clear" w:color="auto" w:fill="auto"/>
          <w:lang w:eastAsia="zh-CN"/>
          <w14:textFill>
            <w14:solidFill>
              <w14:schemeClr w14:val="tx1"/>
            </w14:solidFill>
          </w14:textFill>
        </w:rPr>
      </w:pPr>
    </w:p>
    <w:p w14:paraId="5C13DBBD">
      <w:pPr>
        <w:rPr>
          <w:rFonts w:hint="eastAsia" w:ascii="宋体" w:hAnsi="宋体" w:eastAsia="宋体" w:cs="宋体"/>
          <w:b/>
          <w:color w:val="000000" w:themeColor="text1"/>
          <w:shd w:val="clear" w:color="auto" w:fill="auto"/>
          <w:lang w:eastAsia="zh-CN"/>
          <w14:textFill>
            <w14:solidFill>
              <w14:schemeClr w14:val="tx1"/>
            </w14:solidFill>
          </w14:textFill>
        </w:rPr>
      </w:pPr>
    </w:p>
    <w:p w14:paraId="65CF7C38">
      <w:pPr>
        <w:rPr>
          <w:rFonts w:hint="eastAsia" w:ascii="宋体" w:hAnsi="宋体" w:eastAsia="宋体" w:cs="宋体"/>
          <w:b/>
          <w:color w:val="000000" w:themeColor="text1"/>
          <w:shd w:val="clear" w:color="auto" w:fill="auto"/>
          <w:lang w:eastAsia="zh-CN"/>
          <w14:textFill>
            <w14:solidFill>
              <w14:schemeClr w14:val="tx1"/>
            </w14:solidFill>
          </w14:textFill>
        </w:rPr>
      </w:pPr>
    </w:p>
    <w:p w14:paraId="4F4BEEF3">
      <w:pPr>
        <w:rPr>
          <w:rFonts w:hint="eastAsia" w:ascii="宋体" w:hAnsi="宋体" w:eastAsia="宋体" w:cs="宋体"/>
          <w:b/>
          <w:color w:val="000000" w:themeColor="text1"/>
          <w:shd w:val="clear" w:color="auto" w:fill="auto"/>
          <w:lang w:eastAsia="zh-CN"/>
          <w14:textFill>
            <w14:solidFill>
              <w14:schemeClr w14:val="tx1"/>
            </w14:solidFill>
          </w14:textFill>
        </w:rPr>
      </w:pPr>
    </w:p>
    <w:p w14:paraId="2B477F7F">
      <w:pPr>
        <w:rPr>
          <w:rFonts w:hint="eastAsia" w:ascii="宋体" w:hAnsi="宋体" w:eastAsia="宋体" w:cs="宋体"/>
          <w:b/>
          <w:color w:val="000000" w:themeColor="text1"/>
          <w:shd w:val="clear" w:color="auto" w:fill="auto"/>
          <w:lang w:eastAsia="zh-CN"/>
          <w14:textFill>
            <w14:solidFill>
              <w14:schemeClr w14:val="tx1"/>
            </w14:solidFill>
          </w14:textFill>
        </w:rPr>
      </w:pPr>
    </w:p>
    <w:p w14:paraId="493ED508">
      <w:pPr>
        <w:rPr>
          <w:rFonts w:hint="eastAsia" w:ascii="宋体" w:hAnsi="宋体" w:eastAsia="宋体" w:cs="宋体"/>
          <w:b/>
          <w:color w:val="000000" w:themeColor="text1"/>
          <w:shd w:val="clear" w:color="auto" w:fill="auto"/>
          <w:lang w:eastAsia="zh-CN"/>
          <w14:textFill>
            <w14:solidFill>
              <w14:schemeClr w14:val="tx1"/>
            </w14:solidFill>
          </w14:textFill>
        </w:rPr>
      </w:pPr>
    </w:p>
    <w:p w14:paraId="1E53D83B">
      <w:pPr>
        <w:rPr>
          <w:rFonts w:hint="eastAsia" w:ascii="宋体" w:hAnsi="宋体" w:eastAsia="宋体" w:cs="宋体"/>
          <w:b/>
          <w:color w:val="000000" w:themeColor="text1"/>
          <w:shd w:val="clear" w:color="auto" w:fill="auto"/>
          <w:lang w:eastAsia="zh-CN"/>
          <w14:textFill>
            <w14:solidFill>
              <w14:schemeClr w14:val="tx1"/>
            </w14:solidFill>
          </w14:textFill>
        </w:rPr>
      </w:pPr>
    </w:p>
    <w:p w14:paraId="7EC594A8">
      <w:pPr>
        <w:rPr>
          <w:rFonts w:hint="eastAsia" w:ascii="宋体" w:hAnsi="宋体" w:eastAsia="宋体" w:cs="宋体"/>
          <w:b/>
          <w:color w:val="000000" w:themeColor="text1"/>
          <w:shd w:val="clear" w:color="auto" w:fill="auto"/>
          <w:lang w:eastAsia="zh-CN"/>
          <w14:textFill>
            <w14:solidFill>
              <w14:schemeClr w14:val="tx1"/>
            </w14:solidFill>
          </w14:textFill>
        </w:rPr>
      </w:pPr>
    </w:p>
    <w:p w14:paraId="742E79E6">
      <w:pPr>
        <w:rPr>
          <w:rFonts w:hint="eastAsia" w:ascii="宋体" w:hAnsi="宋体" w:eastAsia="宋体" w:cs="宋体"/>
          <w:b/>
          <w:color w:val="000000" w:themeColor="text1"/>
          <w:shd w:val="clear" w:color="auto" w:fill="auto"/>
          <w:lang w:eastAsia="zh-CN"/>
          <w14:textFill>
            <w14:solidFill>
              <w14:schemeClr w14:val="tx1"/>
            </w14:solidFill>
          </w14:textFill>
        </w:rPr>
      </w:pPr>
    </w:p>
    <w:p w14:paraId="14698B39">
      <w:pPr>
        <w:rPr>
          <w:rFonts w:hint="eastAsia" w:ascii="宋体" w:hAnsi="宋体" w:eastAsia="宋体" w:cs="宋体"/>
          <w:b/>
          <w:color w:val="000000" w:themeColor="text1"/>
          <w:shd w:val="clear" w:color="auto" w:fill="auto"/>
          <w:lang w:eastAsia="zh-CN"/>
          <w14:textFill>
            <w14:solidFill>
              <w14:schemeClr w14:val="tx1"/>
            </w14:solidFill>
          </w14:textFill>
        </w:rPr>
      </w:pPr>
    </w:p>
    <w:p w14:paraId="683EC413">
      <w:pPr>
        <w:rPr>
          <w:rFonts w:hint="eastAsia" w:ascii="宋体" w:hAnsi="宋体" w:eastAsia="宋体" w:cs="宋体"/>
          <w:b/>
          <w:color w:val="000000" w:themeColor="text1"/>
          <w:shd w:val="clear" w:color="auto" w:fill="auto"/>
          <w:lang w:eastAsia="zh-CN"/>
          <w14:textFill>
            <w14:solidFill>
              <w14:schemeClr w14:val="tx1"/>
            </w14:solidFill>
          </w14:textFill>
        </w:rPr>
      </w:pPr>
    </w:p>
    <w:p w14:paraId="763D9F8B">
      <w:pPr>
        <w:rPr>
          <w:rFonts w:hint="eastAsia" w:ascii="宋体" w:hAnsi="宋体" w:eastAsia="宋体" w:cs="宋体"/>
          <w:b/>
          <w:color w:val="000000" w:themeColor="text1"/>
          <w:shd w:val="clear" w:color="auto" w:fill="auto"/>
          <w:lang w:eastAsia="zh-CN"/>
          <w14:textFill>
            <w14:solidFill>
              <w14:schemeClr w14:val="tx1"/>
            </w14:solidFill>
          </w14:textFill>
        </w:rPr>
      </w:pPr>
    </w:p>
    <w:p w14:paraId="5EF1D039">
      <w:pPr>
        <w:rPr>
          <w:rFonts w:hint="eastAsia" w:ascii="宋体" w:hAnsi="宋体" w:eastAsia="宋体" w:cs="宋体"/>
          <w:b/>
          <w:color w:val="000000" w:themeColor="text1"/>
          <w:shd w:val="clear" w:color="auto" w:fill="auto"/>
          <w:lang w:eastAsia="zh-CN"/>
          <w14:textFill>
            <w14:solidFill>
              <w14:schemeClr w14:val="tx1"/>
            </w14:solidFill>
          </w14:textFill>
        </w:rPr>
      </w:pPr>
    </w:p>
    <w:p w14:paraId="318B90F2">
      <w:pPr>
        <w:rPr>
          <w:rFonts w:hint="eastAsia" w:ascii="宋体" w:hAnsi="宋体" w:eastAsia="宋体" w:cs="宋体"/>
          <w:b/>
          <w:color w:val="000000" w:themeColor="text1"/>
          <w:shd w:val="clear" w:color="auto" w:fill="auto"/>
          <w:lang w:eastAsia="zh-CN"/>
          <w14:textFill>
            <w14:solidFill>
              <w14:schemeClr w14:val="tx1"/>
            </w14:solidFill>
          </w14:textFill>
        </w:rPr>
      </w:pPr>
    </w:p>
    <w:p w14:paraId="0E705F86">
      <w:pPr>
        <w:rPr>
          <w:rFonts w:hint="eastAsia" w:ascii="宋体" w:hAnsi="宋体" w:eastAsia="宋体" w:cs="宋体"/>
          <w:b/>
          <w:color w:val="000000" w:themeColor="text1"/>
          <w:shd w:val="clear" w:color="auto" w:fill="auto"/>
          <w:lang w:eastAsia="zh-CN"/>
          <w14:textFill>
            <w14:solidFill>
              <w14:schemeClr w14:val="tx1"/>
            </w14:solidFill>
          </w14:textFill>
        </w:rPr>
      </w:pPr>
    </w:p>
    <w:p w14:paraId="6A007E37">
      <w:pPr>
        <w:rPr>
          <w:rFonts w:hint="eastAsia" w:ascii="宋体" w:hAnsi="宋体" w:eastAsia="宋体" w:cs="宋体"/>
          <w:b/>
          <w:color w:val="000000" w:themeColor="text1"/>
          <w:shd w:val="clear" w:color="auto" w:fill="auto"/>
          <w:lang w:eastAsia="zh-CN"/>
          <w14:textFill>
            <w14:solidFill>
              <w14:schemeClr w14:val="tx1"/>
            </w14:solidFill>
          </w14:textFill>
        </w:rPr>
      </w:pPr>
    </w:p>
    <w:p w14:paraId="05B110B1">
      <w:pPr>
        <w:rPr>
          <w:rFonts w:hint="eastAsia" w:ascii="宋体" w:hAnsi="宋体" w:eastAsia="宋体" w:cs="宋体"/>
          <w:b/>
          <w:color w:val="000000" w:themeColor="text1"/>
          <w:shd w:val="clear" w:color="auto" w:fill="auto"/>
          <w:lang w:eastAsia="zh-CN"/>
          <w14:textFill>
            <w14:solidFill>
              <w14:schemeClr w14:val="tx1"/>
            </w14:solidFill>
          </w14:textFill>
        </w:rPr>
      </w:pPr>
    </w:p>
    <w:p w14:paraId="5227B9C6">
      <w:pPr>
        <w:rPr>
          <w:rFonts w:hint="eastAsia" w:ascii="宋体" w:hAnsi="宋体" w:eastAsia="宋体" w:cs="宋体"/>
          <w:b/>
          <w:color w:val="000000" w:themeColor="text1"/>
          <w:shd w:val="clear" w:color="auto" w:fill="auto"/>
          <w:lang w:eastAsia="zh-CN"/>
          <w14:textFill>
            <w14:solidFill>
              <w14:schemeClr w14:val="tx1"/>
            </w14:solidFill>
          </w14:textFill>
        </w:rPr>
      </w:pPr>
    </w:p>
    <w:p w14:paraId="39E11B09">
      <w:pPr>
        <w:rPr>
          <w:rFonts w:hint="eastAsia" w:ascii="宋体" w:hAnsi="宋体" w:eastAsia="宋体" w:cs="宋体"/>
          <w:b/>
          <w:color w:val="000000" w:themeColor="text1"/>
          <w:shd w:val="clear" w:color="auto" w:fill="auto"/>
          <w:lang w:eastAsia="zh-CN"/>
          <w14:textFill>
            <w14:solidFill>
              <w14:schemeClr w14:val="tx1"/>
            </w14:solidFill>
          </w14:textFill>
        </w:rPr>
      </w:pPr>
    </w:p>
    <w:p w14:paraId="7062C98E">
      <w:pPr>
        <w:rPr>
          <w:rFonts w:hint="eastAsia" w:ascii="宋体" w:hAnsi="宋体" w:eastAsia="宋体" w:cs="宋体"/>
          <w:b/>
          <w:color w:val="000000" w:themeColor="text1"/>
          <w:shd w:val="clear" w:color="auto" w:fill="auto"/>
          <w:lang w:eastAsia="zh-CN"/>
          <w14:textFill>
            <w14:solidFill>
              <w14:schemeClr w14:val="tx1"/>
            </w14:solidFill>
          </w14:textFill>
        </w:rPr>
      </w:pPr>
    </w:p>
    <w:p w14:paraId="330268A8">
      <w:pPr>
        <w:rPr>
          <w:rFonts w:hint="eastAsia" w:ascii="宋体" w:hAnsi="宋体" w:eastAsia="宋体" w:cs="宋体"/>
          <w:b/>
          <w:color w:val="000000" w:themeColor="text1"/>
          <w:shd w:val="clear" w:color="auto" w:fill="auto"/>
          <w:lang w:eastAsia="zh-CN"/>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480979020"/>
      <w:bookmarkStart w:id="151" w:name="_Toc485108798"/>
      <w:bookmarkStart w:id="15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0D316FDB">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366EA12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008359"/>
      <w:bookmarkStart w:id="155" w:name="_Toc313888363"/>
      <w:bookmarkStart w:id="156"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31463"/>
      <w:bookmarkStart w:id="160"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023841C3">
      <w:pPr>
        <w:rPr>
          <w:rFonts w:hint="eastAsia" w:ascii="宋体" w:hAnsi="宋体" w:eastAsia="宋体" w:cs="宋体"/>
          <w:color w:val="000000" w:themeColor="text1"/>
          <w:shd w:val="clear" w:color="auto" w:fill="auto"/>
          <w14:textFill>
            <w14:solidFill>
              <w14:schemeClr w14:val="tx1"/>
            </w14:solidFill>
          </w14:textFill>
        </w:rPr>
      </w:pPr>
    </w:p>
    <w:p w14:paraId="35774D42">
      <w:pPr>
        <w:rPr>
          <w:rFonts w:hint="eastAsia" w:ascii="宋体" w:hAnsi="宋体" w:eastAsia="宋体" w:cs="宋体"/>
          <w:color w:val="000000" w:themeColor="text1"/>
          <w:shd w:val="clear" w:color="auto" w:fill="auto"/>
          <w14:textFill>
            <w14:solidFill>
              <w14:schemeClr w14:val="tx1"/>
            </w14:solidFill>
          </w14:textFill>
        </w:rPr>
      </w:pPr>
    </w:p>
    <w:p w14:paraId="2159E3C9">
      <w:pPr>
        <w:rPr>
          <w:rFonts w:hint="eastAsia" w:ascii="宋体" w:hAnsi="宋体" w:eastAsia="宋体" w:cs="宋体"/>
          <w:color w:val="000000" w:themeColor="text1"/>
          <w:shd w:val="clear" w:color="auto" w:fill="auto"/>
          <w14:textFill>
            <w14:solidFill>
              <w14:schemeClr w14:val="tx1"/>
            </w14:solidFill>
          </w14:textFill>
        </w:rPr>
      </w:pPr>
    </w:p>
    <w:p w14:paraId="6CD7EB26">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421C862D-1201-4C4F-AC2A-B7539F13AF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4A714E"/>
    <w:rsid w:val="015A3746"/>
    <w:rsid w:val="021D673F"/>
    <w:rsid w:val="02962383"/>
    <w:rsid w:val="02D84414"/>
    <w:rsid w:val="02FE0C09"/>
    <w:rsid w:val="037759DB"/>
    <w:rsid w:val="03BB3ADF"/>
    <w:rsid w:val="03C2134C"/>
    <w:rsid w:val="04DA26C6"/>
    <w:rsid w:val="04F00597"/>
    <w:rsid w:val="051A354D"/>
    <w:rsid w:val="055B3100"/>
    <w:rsid w:val="05E64439"/>
    <w:rsid w:val="05E94CDF"/>
    <w:rsid w:val="060E092E"/>
    <w:rsid w:val="065A1406"/>
    <w:rsid w:val="067D7A0C"/>
    <w:rsid w:val="06A45EA9"/>
    <w:rsid w:val="06BC1BB0"/>
    <w:rsid w:val="06DD11C7"/>
    <w:rsid w:val="074B1659"/>
    <w:rsid w:val="07911761"/>
    <w:rsid w:val="07C5765D"/>
    <w:rsid w:val="07F26429"/>
    <w:rsid w:val="084C34CD"/>
    <w:rsid w:val="094176DB"/>
    <w:rsid w:val="09B90486"/>
    <w:rsid w:val="0ACE6451"/>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1014334F"/>
    <w:rsid w:val="10246EEB"/>
    <w:rsid w:val="10413B50"/>
    <w:rsid w:val="104D689B"/>
    <w:rsid w:val="109D57E0"/>
    <w:rsid w:val="10BF5E9B"/>
    <w:rsid w:val="10C009C2"/>
    <w:rsid w:val="111523FC"/>
    <w:rsid w:val="11782A26"/>
    <w:rsid w:val="13141499"/>
    <w:rsid w:val="131D034D"/>
    <w:rsid w:val="134E0964"/>
    <w:rsid w:val="13653AA2"/>
    <w:rsid w:val="13D52C1B"/>
    <w:rsid w:val="13F41DC8"/>
    <w:rsid w:val="144B1714"/>
    <w:rsid w:val="149B44BB"/>
    <w:rsid w:val="14B95EDB"/>
    <w:rsid w:val="14C6168E"/>
    <w:rsid w:val="14C6556D"/>
    <w:rsid w:val="151E30B3"/>
    <w:rsid w:val="1554725E"/>
    <w:rsid w:val="15604521"/>
    <w:rsid w:val="156125ED"/>
    <w:rsid w:val="158D32E0"/>
    <w:rsid w:val="16243DF1"/>
    <w:rsid w:val="177B7D38"/>
    <w:rsid w:val="17E52B34"/>
    <w:rsid w:val="18130842"/>
    <w:rsid w:val="18465822"/>
    <w:rsid w:val="18675712"/>
    <w:rsid w:val="188B43F5"/>
    <w:rsid w:val="18A936F6"/>
    <w:rsid w:val="18E50010"/>
    <w:rsid w:val="18F71640"/>
    <w:rsid w:val="19394057"/>
    <w:rsid w:val="199A1032"/>
    <w:rsid w:val="199C2358"/>
    <w:rsid w:val="19B7492C"/>
    <w:rsid w:val="19D34E8C"/>
    <w:rsid w:val="1A511E59"/>
    <w:rsid w:val="1A705757"/>
    <w:rsid w:val="1AF71484"/>
    <w:rsid w:val="1AFB59E1"/>
    <w:rsid w:val="1B1D5FE3"/>
    <w:rsid w:val="1B484046"/>
    <w:rsid w:val="1B4A5E5B"/>
    <w:rsid w:val="1B925650"/>
    <w:rsid w:val="1C0025BA"/>
    <w:rsid w:val="1C66752D"/>
    <w:rsid w:val="1C6945DA"/>
    <w:rsid w:val="1CA5518A"/>
    <w:rsid w:val="1CD22D64"/>
    <w:rsid w:val="1CED540D"/>
    <w:rsid w:val="1CF33ECD"/>
    <w:rsid w:val="1CF736B7"/>
    <w:rsid w:val="1CFC0128"/>
    <w:rsid w:val="1D632E00"/>
    <w:rsid w:val="1DD87EDC"/>
    <w:rsid w:val="1DDA4D59"/>
    <w:rsid w:val="1E2C0FC6"/>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186A2C"/>
    <w:rsid w:val="224F1BA5"/>
    <w:rsid w:val="226E25C3"/>
    <w:rsid w:val="22EF7055"/>
    <w:rsid w:val="231132FF"/>
    <w:rsid w:val="23743B1F"/>
    <w:rsid w:val="240C0392"/>
    <w:rsid w:val="241F1A4B"/>
    <w:rsid w:val="24514D5A"/>
    <w:rsid w:val="24AB13E3"/>
    <w:rsid w:val="254D6667"/>
    <w:rsid w:val="25B61F3B"/>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415C90"/>
    <w:rsid w:val="2C812A23"/>
    <w:rsid w:val="2CDF621C"/>
    <w:rsid w:val="2CF2794B"/>
    <w:rsid w:val="2D9073ED"/>
    <w:rsid w:val="2DCE45FA"/>
    <w:rsid w:val="2E4A05E4"/>
    <w:rsid w:val="2F1F1F02"/>
    <w:rsid w:val="2F2348BD"/>
    <w:rsid w:val="2F6F1AD9"/>
    <w:rsid w:val="2F831DB2"/>
    <w:rsid w:val="2F943FCB"/>
    <w:rsid w:val="2FD06C0B"/>
    <w:rsid w:val="302847BB"/>
    <w:rsid w:val="30381B81"/>
    <w:rsid w:val="30A21FAC"/>
    <w:rsid w:val="30A44277"/>
    <w:rsid w:val="30B15F03"/>
    <w:rsid w:val="30B30136"/>
    <w:rsid w:val="31CA4358"/>
    <w:rsid w:val="31FA7479"/>
    <w:rsid w:val="32050A97"/>
    <w:rsid w:val="32284BF5"/>
    <w:rsid w:val="32DA1DD4"/>
    <w:rsid w:val="331035D3"/>
    <w:rsid w:val="33323C73"/>
    <w:rsid w:val="3361798A"/>
    <w:rsid w:val="33861085"/>
    <w:rsid w:val="33CB5E52"/>
    <w:rsid w:val="34477E1A"/>
    <w:rsid w:val="34B44507"/>
    <w:rsid w:val="34FF7A95"/>
    <w:rsid w:val="35687566"/>
    <w:rsid w:val="35B15F88"/>
    <w:rsid w:val="35D501BC"/>
    <w:rsid w:val="35E87A5C"/>
    <w:rsid w:val="3608331B"/>
    <w:rsid w:val="36834056"/>
    <w:rsid w:val="369E4A52"/>
    <w:rsid w:val="36A73740"/>
    <w:rsid w:val="36C80A37"/>
    <w:rsid w:val="36EC0B56"/>
    <w:rsid w:val="37542B62"/>
    <w:rsid w:val="375A306E"/>
    <w:rsid w:val="37A64A1D"/>
    <w:rsid w:val="37D83F93"/>
    <w:rsid w:val="382D2437"/>
    <w:rsid w:val="38442273"/>
    <w:rsid w:val="385D0EF3"/>
    <w:rsid w:val="389536A9"/>
    <w:rsid w:val="38C010B0"/>
    <w:rsid w:val="38E86458"/>
    <w:rsid w:val="38EB2B69"/>
    <w:rsid w:val="391C67AE"/>
    <w:rsid w:val="39486CC3"/>
    <w:rsid w:val="39A3534F"/>
    <w:rsid w:val="39D65068"/>
    <w:rsid w:val="3A040959"/>
    <w:rsid w:val="3AA25DEC"/>
    <w:rsid w:val="3AC648F5"/>
    <w:rsid w:val="3B30241A"/>
    <w:rsid w:val="3B5B756F"/>
    <w:rsid w:val="3B870893"/>
    <w:rsid w:val="3BAE1209"/>
    <w:rsid w:val="3C4F6F1A"/>
    <w:rsid w:val="3D2F290C"/>
    <w:rsid w:val="3D4C1E7B"/>
    <w:rsid w:val="3DA212CB"/>
    <w:rsid w:val="3DC21444"/>
    <w:rsid w:val="3DD60FEB"/>
    <w:rsid w:val="3DD75419"/>
    <w:rsid w:val="3E263CAA"/>
    <w:rsid w:val="3E491747"/>
    <w:rsid w:val="3E6B192F"/>
    <w:rsid w:val="3EA55BAC"/>
    <w:rsid w:val="3EEF12C4"/>
    <w:rsid w:val="3F150346"/>
    <w:rsid w:val="3F4757B8"/>
    <w:rsid w:val="3F591E5E"/>
    <w:rsid w:val="3F5A6C6F"/>
    <w:rsid w:val="3F6E2185"/>
    <w:rsid w:val="3FC45529"/>
    <w:rsid w:val="3FE1690B"/>
    <w:rsid w:val="40113C23"/>
    <w:rsid w:val="40311450"/>
    <w:rsid w:val="403F2E01"/>
    <w:rsid w:val="404A2E64"/>
    <w:rsid w:val="40AB0EC9"/>
    <w:rsid w:val="40C2612C"/>
    <w:rsid w:val="40E52488"/>
    <w:rsid w:val="41007A8F"/>
    <w:rsid w:val="415869FC"/>
    <w:rsid w:val="41670862"/>
    <w:rsid w:val="418B72B6"/>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46682B"/>
    <w:rsid w:val="447A6AFE"/>
    <w:rsid w:val="45AC0F39"/>
    <w:rsid w:val="461B60BF"/>
    <w:rsid w:val="46C96141"/>
    <w:rsid w:val="46D06FAA"/>
    <w:rsid w:val="475461C4"/>
    <w:rsid w:val="477A0BC3"/>
    <w:rsid w:val="47D41743"/>
    <w:rsid w:val="47D63DB2"/>
    <w:rsid w:val="47F3755A"/>
    <w:rsid w:val="482B71EF"/>
    <w:rsid w:val="487D04F4"/>
    <w:rsid w:val="48A31EA1"/>
    <w:rsid w:val="48FA020D"/>
    <w:rsid w:val="49154B61"/>
    <w:rsid w:val="492C6FBB"/>
    <w:rsid w:val="499D1F70"/>
    <w:rsid w:val="4A1025A8"/>
    <w:rsid w:val="4A166376"/>
    <w:rsid w:val="4A7F2AAC"/>
    <w:rsid w:val="4A832C17"/>
    <w:rsid w:val="4A9100D0"/>
    <w:rsid w:val="4AC26B09"/>
    <w:rsid w:val="4AD41B9B"/>
    <w:rsid w:val="4AED1C9D"/>
    <w:rsid w:val="4B597B89"/>
    <w:rsid w:val="4B934057"/>
    <w:rsid w:val="4BE8259F"/>
    <w:rsid w:val="4C4E289A"/>
    <w:rsid w:val="4DBE5CAD"/>
    <w:rsid w:val="4DD75684"/>
    <w:rsid w:val="4E0D2518"/>
    <w:rsid w:val="4E231003"/>
    <w:rsid w:val="4E3873B7"/>
    <w:rsid w:val="4EF70D4B"/>
    <w:rsid w:val="4F2E0C11"/>
    <w:rsid w:val="4F79418A"/>
    <w:rsid w:val="4FEE4B1B"/>
    <w:rsid w:val="50895F2A"/>
    <w:rsid w:val="50A2078E"/>
    <w:rsid w:val="50B9275C"/>
    <w:rsid w:val="50F72CC9"/>
    <w:rsid w:val="50FE286B"/>
    <w:rsid w:val="514069D9"/>
    <w:rsid w:val="51932220"/>
    <w:rsid w:val="51D77CAA"/>
    <w:rsid w:val="52173BDE"/>
    <w:rsid w:val="5228244C"/>
    <w:rsid w:val="526D301C"/>
    <w:rsid w:val="529620AE"/>
    <w:rsid w:val="52EB291F"/>
    <w:rsid w:val="52ED493F"/>
    <w:rsid w:val="531F0FF7"/>
    <w:rsid w:val="539F2D44"/>
    <w:rsid w:val="53B56AAB"/>
    <w:rsid w:val="53D1198E"/>
    <w:rsid w:val="53E03D6D"/>
    <w:rsid w:val="53E144A4"/>
    <w:rsid w:val="54333CD5"/>
    <w:rsid w:val="546107D9"/>
    <w:rsid w:val="546E506B"/>
    <w:rsid w:val="549E2395"/>
    <w:rsid w:val="55144405"/>
    <w:rsid w:val="55297C80"/>
    <w:rsid w:val="5531155E"/>
    <w:rsid w:val="565C7750"/>
    <w:rsid w:val="56644F18"/>
    <w:rsid w:val="56A12956"/>
    <w:rsid w:val="56FF2E93"/>
    <w:rsid w:val="576D5122"/>
    <w:rsid w:val="58506377"/>
    <w:rsid w:val="586259DC"/>
    <w:rsid w:val="58625BCC"/>
    <w:rsid w:val="58627B7D"/>
    <w:rsid w:val="58B574EB"/>
    <w:rsid w:val="58D746F8"/>
    <w:rsid w:val="58FC1D80"/>
    <w:rsid w:val="593509FB"/>
    <w:rsid w:val="59893E96"/>
    <w:rsid w:val="599D432B"/>
    <w:rsid w:val="59C035F1"/>
    <w:rsid w:val="59E56370"/>
    <w:rsid w:val="5B1E275D"/>
    <w:rsid w:val="5B3E21DC"/>
    <w:rsid w:val="5B4A5024"/>
    <w:rsid w:val="5BBD57F6"/>
    <w:rsid w:val="5BC414F3"/>
    <w:rsid w:val="5BD85D21"/>
    <w:rsid w:val="5C953453"/>
    <w:rsid w:val="5CAE15E3"/>
    <w:rsid w:val="5CB84A88"/>
    <w:rsid w:val="5D290C69"/>
    <w:rsid w:val="5E254884"/>
    <w:rsid w:val="5E36741C"/>
    <w:rsid w:val="5E591B16"/>
    <w:rsid w:val="5E6374F3"/>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2D01C35"/>
    <w:rsid w:val="6352606D"/>
    <w:rsid w:val="639436E3"/>
    <w:rsid w:val="6445282D"/>
    <w:rsid w:val="645A13DB"/>
    <w:rsid w:val="648C045C"/>
    <w:rsid w:val="65064C10"/>
    <w:rsid w:val="656A40F1"/>
    <w:rsid w:val="658C5E23"/>
    <w:rsid w:val="65F9363E"/>
    <w:rsid w:val="66312280"/>
    <w:rsid w:val="667E25AF"/>
    <w:rsid w:val="66815672"/>
    <w:rsid w:val="66B54542"/>
    <w:rsid w:val="67130BF8"/>
    <w:rsid w:val="67152E14"/>
    <w:rsid w:val="67525528"/>
    <w:rsid w:val="67770DF7"/>
    <w:rsid w:val="679C27B9"/>
    <w:rsid w:val="67CB3049"/>
    <w:rsid w:val="67FF2A16"/>
    <w:rsid w:val="680256B8"/>
    <w:rsid w:val="682465CF"/>
    <w:rsid w:val="68EA74FF"/>
    <w:rsid w:val="6972525B"/>
    <w:rsid w:val="69C211FB"/>
    <w:rsid w:val="69FC5E8B"/>
    <w:rsid w:val="6A16113C"/>
    <w:rsid w:val="6A633E28"/>
    <w:rsid w:val="6AD14E1A"/>
    <w:rsid w:val="6AFE5801"/>
    <w:rsid w:val="6B056872"/>
    <w:rsid w:val="6B1765A5"/>
    <w:rsid w:val="6B217424"/>
    <w:rsid w:val="6B28360F"/>
    <w:rsid w:val="6B854C8C"/>
    <w:rsid w:val="6B9F4D55"/>
    <w:rsid w:val="6BAA3DD9"/>
    <w:rsid w:val="6C172D01"/>
    <w:rsid w:val="6C51328C"/>
    <w:rsid w:val="6CC2767B"/>
    <w:rsid w:val="6D342244"/>
    <w:rsid w:val="6DAB4CCB"/>
    <w:rsid w:val="6DC70D5C"/>
    <w:rsid w:val="6DDA24A1"/>
    <w:rsid w:val="6DFC3BBF"/>
    <w:rsid w:val="6E0E1C83"/>
    <w:rsid w:val="6E45126B"/>
    <w:rsid w:val="6EA047F7"/>
    <w:rsid w:val="6F062BB9"/>
    <w:rsid w:val="6F185329"/>
    <w:rsid w:val="6F213E8F"/>
    <w:rsid w:val="70E64A50"/>
    <w:rsid w:val="71231A63"/>
    <w:rsid w:val="714B6E37"/>
    <w:rsid w:val="71C72BEE"/>
    <w:rsid w:val="720E0702"/>
    <w:rsid w:val="72AA2579"/>
    <w:rsid w:val="73614D85"/>
    <w:rsid w:val="7363682B"/>
    <w:rsid w:val="739465A0"/>
    <w:rsid w:val="73A82490"/>
    <w:rsid w:val="73AA3664"/>
    <w:rsid w:val="73B34AD5"/>
    <w:rsid w:val="73D42B6E"/>
    <w:rsid w:val="743B3E3F"/>
    <w:rsid w:val="74E41D61"/>
    <w:rsid w:val="753D2C53"/>
    <w:rsid w:val="76047ABF"/>
    <w:rsid w:val="765A00C6"/>
    <w:rsid w:val="76995E63"/>
    <w:rsid w:val="772D6E8E"/>
    <w:rsid w:val="77452BA0"/>
    <w:rsid w:val="774923FD"/>
    <w:rsid w:val="777E28EC"/>
    <w:rsid w:val="77B52272"/>
    <w:rsid w:val="78120C80"/>
    <w:rsid w:val="783A1618"/>
    <w:rsid w:val="788222E3"/>
    <w:rsid w:val="7908485F"/>
    <w:rsid w:val="7936053E"/>
    <w:rsid w:val="793F0B2C"/>
    <w:rsid w:val="797D07AB"/>
    <w:rsid w:val="79AC25AE"/>
    <w:rsid w:val="79CF7887"/>
    <w:rsid w:val="7A9E6464"/>
    <w:rsid w:val="7AAC0A0E"/>
    <w:rsid w:val="7B237CCD"/>
    <w:rsid w:val="7B306E47"/>
    <w:rsid w:val="7B8C6B3B"/>
    <w:rsid w:val="7BD77DB7"/>
    <w:rsid w:val="7C3F595C"/>
    <w:rsid w:val="7C683BAE"/>
    <w:rsid w:val="7CBD0742"/>
    <w:rsid w:val="7D7D55A3"/>
    <w:rsid w:val="7DE81FDD"/>
    <w:rsid w:val="7E3C60AD"/>
    <w:rsid w:val="7EC565EC"/>
    <w:rsid w:val="7EEF5417"/>
    <w:rsid w:val="7F0D3AEF"/>
    <w:rsid w:val="7F3E18A8"/>
    <w:rsid w:val="7F435763"/>
    <w:rsid w:val="7F702E68"/>
    <w:rsid w:val="7F787175"/>
    <w:rsid w:val="7FC9305C"/>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6826</Words>
  <Characters>7011</Characters>
  <Lines>182</Lines>
  <Paragraphs>51</Paragraphs>
  <TotalTime>2</TotalTime>
  <ScaleCrop>false</ScaleCrop>
  <LinksUpToDate>false</LinksUpToDate>
  <CharactersWithSpaces>7098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2025-05-26T01:31:08Z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