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2025FW058</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新区分院建设项目资产评估服务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4"/>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11641050"/>
      <w:bookmarkStart w:id="2" w:name="_Toc6921"/>
      <w:bookmarkStart w:id="3" w:name="_Toc23588"/>
      <w:bookmarkStart w:id="4" w:name="_Toc25875"/>
      <w:bookmarkStart w:id="5" w:name="_Toc12789052"/>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新区分院建设项目资产评估服务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5"/>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28443"/>
      <w:bookmarkStart w:id="10" w:name="_Toc313893526"/>
      <w:bookmarkStart w:id="11"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新区分院建设项目资产评估服务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：自筹资金,项目预算：10万元。</w:t>
      </w:r>
    </w:p>
    <w:p w14:paraId="7AA96D60">
      <w:pPr>
        <w:pStyle w:val="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p>
    <w:p w14:paraId="196A9768">
      <w:pPr>
        <w:spacing w:line="48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 xml:space="preserve">.响应人需为具备有效资产评估资质的评估事务所，且须入围重庆市财政局购买专业服务供应商框架协议采购（资产评估机构）（CQS23C00712）框架协议。（需提供相应的证明材料） </w:t>
      </w:r>
    </w:p>
    <w:p w14:paraId="54F77A55">
      <w:pPr>
        <w:spacing w:line="48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.具有履行合同所必需的专业技术能力（本项目所派驻的资产评估师及其他人员，必须是投标人的在职工作人员）。 （需提供相应的社保证明材料）</w:t>
      </w:r>
    </w:p>
    <w:p w14:paraId="430BCC0B">
      <w:pPr>
        <w:spacing w:line="48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3.近三年内在经营活动中未受到刑事处罚、行政处罚和行业惩戒，若受到刑事处罚、行政处罚和行业惩戒的不得参加。（提供相应的证明材料）</w:t>
      </w:r>
    </w:p>
    <w:p w14:paraId="54D434CB">
      <w:pPr>
        <w:pStyle w:val="5"/>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5"/>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373860294"/>
      <w:bookmarkStart w:id="25" w:name="_Toc54171062"/>
    </w:p>
    <w:bookmarkEnd w:id="23"/>
    <w:bookmarkEnd w:id="24"/>
    <w:bookmarkEnd w:id="25"/>
    <w:p w14:paraId="1FD6A981">
      <w:pPr>
        <w:pStyle w:val="5"/>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5"/>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4"/>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5"/>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5"/>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5"/>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报价为包干价，包含但不限于</w:t>
      </w:r>
      <w:r>
        <w:rPr>
          <w:rFonts w:hint="eastAsia" w:ascii="宋体" w:hAnsi="宋体" w:eastAsia="宋体" w:cs="宋体"/>
          <w:color w:val="FF0000"/>
          <w:sz w:val="24"/>
          <w:szCs w:val="24"/>
          <w:shd w:val="clear" w:color="auto" w:fill="auto"/>
          <w:lang w:eastAsia="zh-CN"/>
        </w:rPr>
        <w:t>人工费</w:t>
      </w:r>
      <w:r>
        <w:rPr>
          <w:rFonts w:hint="eastAsia" w:ascii="宋体" w:hAnsi="宋体" w:eastAsia="宋体" w:cs="宋体"/>
          <w:color w:val="FF0000"/>
          <w:sz w:val="24"/>
          <w:szCs w:val="24"/>
          <w:shd w:val="clear" w:color="auto" w:fill="auto"/>
        </w:rPr>
        <w:t>、</w:t>
      </w:r>
      <w:r>
        <w:rPr>
          <w:rFonts w:hint="eastAsia" w:ascii="宋体" w:hAnsi="宋体" w:eastAsia="宋体" w:cs="宋体"/>
          <w:color w:val="FF0000"/>
          <w:sz w:val="24"/>
          <w:szCs w:val="24"/>
          <w:shd w:val="clear" w:color="auto" w:fill="auto"/>
          <w:lang w:eastAsia="zh-CN"/>
        </w:rPr>
        <w:t>手续费</w:t>
      </w:r>
      <w:r>
        <w:rPr>
          <w:rFonts w:hint="eastAsia" w:ascii="宋体" w:hAnsi="宋体" w:eastAsia="宋体" w:cs="宋体"/>
          <w:color w:val="FF0000"/>
          <w:sz w:val="24"/>
          <w:szCs w:val="24"/>
          <w:shd w:val="clear" w:color="auto" w:fill="auto"/>
        </w:rPr>
        <w:t>、</w:t>
      </w:r>
      <w:r>
        <w:rPr>
          <w:rFonts w:hint="eastAsia" w:ascii="宋体" w:hAnsi="宋体" w:eastAsia="宋体" w:cs="宋体"/>
          <w:color w:val="FF0000"/>
          <w:sz w:val="24"/>
          <w:szCs w:val="24"/>
          <w:shd w:val="clear" w:color="auto" w:fill="auto"/>
          <w:lang w:eastAsia="zh-CN"/>
        </w:rPr>
        <w:t>交通费</w:t>
      </w:r>
      <w:r>
        <w:rPr>
          <w:rFonts w:hint="eastAsia" w:ascii="宋体" w:hAnsi="宋体" w:eastAsia="宋体" w:cs="宋体"/>
          <w:color w:val="FF0000"/>
          <w:sz w:val="24"/>
          <w:szCs w:val="24"/>
          <w:shd w:val="clear" w:color="auto" w:fill="auto"/>
        </w:rPr>
        <w:t>等所有费用。</w:t>
      </w:r>
      <w:r>
        <w:rPr>
          <w:rFonts w:hint="eastAsia" w:ascii="宋体" w:hAnsi="宋体" w:eastAsia="宋体" w:cs="宋体"/>
          <w:color w:val="FF0000"/>
          <w:sz w:val="24"/>
          <w:szCs w:val="24"/>
          <w:shd w:val="clear" w:color="auto" w:fill="auto"/>
          <w:lang w:val="en-US" w:eastAsia="zh-CN"/>
        </w:rPr>
        <w:t>(报价表见第六章)</w:t>
      </w:r>
      <w:r>
        <w:rPr>
          <w:rFonts w:hint="eastAsia" w:ascii="宋体" w:hAnsi="宋体" w:eastAsia="宋体" w:cs="宋体"/>
          <w:color w:val="FF0000"/>
          <w:sz w:val="24"/>
          <w:szCs w:val="24"/>
          <w:shd w:val="clear" w:color="auto" w:fill="auto"/>
        </w:rPr>
        <w:t>。</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8"/>
      <w:bookmarkStart w:id="39"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8122"/>
      <w:bookmarkStart w:id="41" w:name="_Toc342913393"/>
      <w:bookmarkStart w:id="42" w:name="_Toc179714298"/>
      <w:bookmarkStart w:id="43" w:name="_Toc102227319"/>
      <w:bookmarkStart w:id="44" w:name="_Toc19143"/>
      <w:bookmarkStart w:id="45" w:name="_Toc403569780"/>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5"/>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5"/>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403569781"/>
      <w:bookmarkStart w:id="48" w:name="_Toc28776"/>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5"/>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29340"/>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5"/>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7135"/>
      <w:bookmarkStart w:id="55" w:name="_Toc403569783"/>
      <w:bookmarkStart w:id="56" w:name="_Toc3212"/>
      <w:bookmarkStart w:id="57" w:name="_Toc342913395"/>
      <w:bookmarkStart w:id="58"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5"/>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403569784"/>
      <w:bookmarkStart w:id="60" w:name="_Toc17413"/>
      <w:bookmarkStart w:id="61"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403569785"/>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5"/>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4"/>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5"/>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2832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32DEEB16">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资产评估范围：新区分院所有资产，包含但不限于流动资产、非流动资产（固定资产、在建工程）等，以重庆市发展和改革委员会印发《关于重庆医科大学附属永川医院新区分院建设工程项目核准的批复》渝发改社【2012】1605号文件以及工程项目产值为基准编制。</w:t>
      </w:r>
    </w:p>
    <w:p w14:paraId="7B56213C">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2.派驻足够专业人员，在2025年6月30日前完成服务工作，出具资产评估报告。</w:t>
      </w:r>
    </w:p>
    <w:p w14:paraId="4BE446E6">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 xml:space="preserve">3.服务方出具资产评估报告后，若采购方在使用过程中需要服务方解释、说明或参加相关讨论会时，提前通知服务方，服务方相关人员应予以积极配合。 </w:t>
      </w:r>
    </w:p>
    <w:p w14:paraId="7B6A0ED7">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除下列情况外，服务方应当对执行业务过程中知悉的采购方及资料提供方的信息（公开信息除外）予以保密：①法律法规允许披露并取得采购方的授权；②根据法律法规的要求，为法律诉讼、仲裁准备文件或提供证据，以及向监管机构报告发现的违法行为；③在法律法规允许的情况下，在法律诉讼、仲裁中维护自己的合法权益；④接受注册会计师协会的或者监管机构的执业质量检查，答复其询问和调查；⑤法律法规、执业准则和职业道德规范规定的其他情形。</w:t>
      </w:r>
    </w:p>
    <w:p w14:paraId="27213F43">
      <w:pPr>
        <w:snapToGrid w:val="0"/>
        <w:spacing w:line="400" w:lineRule="exact"/>
        <w:ind w:firstLine="540"/>
        <w:rPr>
          <w:rFonts w:hint="eastAsia" w:ascii="宋体" w:hAnsi="宋体" w:eastAsia="宋体" w:cs="宋体"/>
          <w:color w:val="FF0000"/>
          <w:sz w:val="24"/>
          <w:szCs w:val="24"/>
          <w:shd w:val="clear" w:color="auto" w:fill="auto"/>
          <w:lang w:val="en-US" w:eastAsia="zh-CN"/>
        </w:rPr>
      </w:pPr>
    </w:p>
    <w:p w14:paraId="261FE373">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C415B1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F0B40D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4F6259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931A9A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6C9C45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A16E33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2B9D9FD">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82E2DA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23EFFF9">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4" w:name="_Toc4364"/>
      <w:bookmarkStart w:id="75" w:name="_Toc1701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5"/>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03569795"/>
      <w:bookmarkStart w:id="81"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2EB8F75A">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1.付款方式：</w:t>
      </w:r>
      <w:r>
        <w:rPr>
          <w:rFonts w:hint="eastAsia" w:ascii="宋体" w:hAnsi="宋体" w:eastAsia="宋体" w:cs="宋体"/>
          <w:color w:val="FF0000"/>
          <w:sz w:val="24"/>
          <w:szCs w:val="24"/>
          <w:shd w:val="clear" w:color="auto" w:fill="auto"/>
        </w:rPr>
        <w:t>服务方按时编制完成资产评估报告，采购方向上级部门申请执业许可时，相应资料通过审核后，服务方开具合法发票，采购方自收到发票后60日内支付服务费。</w:t>
      </w:r>
    </w:p>
    <w:p w14:paraId="5235ADBD">
      <w:pPr>
        <w:pStyle w:val="5"/>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5"/>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4"/>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03569796"/>
      <w:bookmarkStart w:id="83" w:name="_Toc14840"/>
      <w:bookmarkStart w:id="84" w:name="_Toc485108794"/>
      <w:bookmarkStart w:id="85" w:name="_Toc15711"/>
      <w:bookmarkStart w:id="86" w:name="_Toc26989"/>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5"/>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5"/>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54718203"/>
      <w:bookmarkStart w:id="9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5"/>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4"/>
      <w:bookmarkStart w:id="10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5"/>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5"/>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5"/>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54718207"/>
      <w:bookmarkStart w:id="11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5"/>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5"/>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5"/>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4"/>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2789072"/>
      <w:bookmarkStart w:id="136" w:name="_Toc485108795"/>
      <w:bookmarkStart w:id="137" w:name="_Toc13696"/>
      <w:bookmarkStart w:id="138" w:name="_Toc29521"/>
      <w:bookmarkStart w:id="139"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5"/>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5"/>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5"/>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5"/>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5"/>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19884"/>
      <w:bookmarkStart w:id="148" w:name="_Toc21293"/>
      <w:bookmarkStart w:id="149" w:name="_Toc5685"/>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5108796"/>
      <w:bookmarkStart w:id="152" w:name="_Toc342913419"/>
      <w:bookmarkStart w:id="153" w:name="_Toc480979018"/>
      <w:bookmarkStart w:id="154" w:name="_Toc313008356"/>
      <w:bookmarkStart w:id="155" w:name="_Toc313888360"/>
      <w:bookmarkStart w:id="156" w:name="_Toc5565"/>
      <w:bookmarkStart w:id="157" w:name="_Toc12789073"/>
      <w:bookmarkStart w:id="158"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41839448">
      <w:pPr>
        <w:tabs>
          <w:tab w:val="left" w:pos="6300"/>
        </w:tabs>
        <w:snapToGrid w:val="0"/>
        <w:spacing w:line="360" w:lineRule="auto"/>
        <w:ind w:firstLine="560" w:firstLineChars="200"/>
        <w:jc w:val="center"/>
        <w:rPr>
          <w:rFonts w:hint="eastAsia" w:ascii="宋体" w:hAnsi="宋体" w:eastAsia="宋体" w:cs="宋体"/>
          <w:color w:val="000000" w:themeColor="text1"/>
          <w:sz w:val="28"/>
          <w:szCs w:val="28"/>
          <w:shd w:val="clear" w:color="auto" w:fill="auto"/>
          <w:lang w:eastAsia="zh-CN"/>
          <w14:textFill>
            <w14:solidFill>
              <w14:schemeClr w14:val="tx1"/>
            </w14:solidFill>
          </w14:textFill>
        </w:rPr>
      </w:pPr>
      <w:bookmarkStart w:id="159" w:name="_Toc485108797"/>
      <w:bookmarkStart w:id="160" w:name="_Toc313888361"/>
      <w:bookmarkStart w:id="161" w:name="_Toc480979019"/>
      <w:bookmarkStart w:id="162" w:name="_Toc342913420"/>
      <w:bookmarkStart w:id="163" w:name="_Toc313008357"/>
      <w:r>
        <w:rPr>
          <w:rFonts w:hint="eastAsia" w:ascii="宋体" w:hAnsi="宋体" w:eastAsia="宋体" w:cs="宋体"/>
          <w:color w:val="000000" w:themeColor="text1"/>
          <w:sz w:val="28"/>
          <w:szCs w:val="28"/>
          <w:shd w:val="clear" w:color="auto" w:fill="auto"/>
          <w:lang w:eastAsia="zh-CN"/>
          <w14:textFill>
            <w14:solidFill>
              <w14:schemeClr w14:val="tx1"/>
            </w14:solidFill>
          </w14:textFill>
        </w:rPr>
        <w:t>报价表</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7"/>
        <w:gridCol w:w="2407"/>
        <w:gridCol w:w="2407"/>
        <w:gridCol w:w="2407"/>
      </w:tblGrid>
      <w:tr w14:paraId="51FA2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407" w:type="dxa"/>
          </w:tcPr>
          <w:p w14:paraId="4A244F89">
            <w:pPr>
              <w:pStyle w:val="2"/>
              <w:jc w:val="center"/>
              <w:rPr>
                <w:rFonts w:hint="eastAsia" w:ascii="宋体" w:hAnsi="宋体" w:eastAsia="宋体" w:cs="宋体"/>
                <w:sz w:val="28"/>
                <w:szCs w:val="28"/>
                <w:vertAlign w:val="baseline"/>
                <w:lang w:eastAsia="zh-CN"/>
              </w:rPr>
            </w:pPr>
            <w:r>
              <w:rPr>
                <w:rFonts w:hint="eastAsia" w:ascii="宋体" w:hAnsi="宋体" w:eastAsia="宋体" w:cs="宋体"/>
                <w:sz w:val="28"/>
                <w:szCs w:val="28"/>
                <w:vertAlign w:val="baseline"/>
                <w:lang w:eastAsia="zh-CN"/>
              </w:rPr>
              <w:t>项目名称</w:t>
            </w:r>
          </w:p>
        </w:tc>
        <w:tc>
          <w:tcPr>
            <w:tcW w:w="2407" w:type="dxa"/>
          </w:tcPr>
          <w:p w14:paraId="2FA346B4">
            <w:pPr>
              <w:pStyle w:val="2"/>
              <w:jc w:val="center"/>
              <w:rPr>
                <w:rFonts w:hint="eastAsia" w:ascii="宋体" w:hAnsi="宋体" w:eastAsia="宋体" w:cs="宋体"/>
                <w:sz w:val="28"/>
                <w:szCs w:val="28"/>
                <w:vertAlign w:val="baseline"/>
                <w:lang w:eastAsia="zh-CN"/>
              </w:rPr>
            </w:pPr>
            <w:r>
              <w:rPr>
                <w:rFonts w:hint="eastAsia" w:ascii="宋体" w:hAnsi="宋体" w:eastAsia="宋体" w:cs="宋体"/>
                <w:sz w:val="28"/>
                <w:szCs w:val="28"/>
                <w:vertAlign w:val="baseline"/>
                <w:lang w:eastAsia="zh-CN"/>
              </w:rPr>
              <w:t>报价（元）</w:t>
            </w:r>
          </w:p>
        </w:tc>
        <w:tc>
          <w:tcPr>
            <w:tcW w:w="2407" w:type="dxa"/>
          </w:tcPr>
          <w:p w14:paraId="398436B7">
            <w:pPr>
              <w:pStyle w:val="2"/>
              <w:jc w:val="center"/>
              <w:rPr>
                <w:rFonts w:hint="eastAsia" w:ascii="宋体" w:hAnsi="宋体" w:eastAsia="宋体" w:cs="宋体"/>
                <w:sz w:val="28"/>
                <w:szCs w:val="28"/>
                <w:vertAlign w:val="baseline"/>
                <w:lang w:eastAsia="zh-CN"/>
              </w:rPr>
            </w:pPr>
            <w:r>
              <w:rPr>
                <w:rFonts w:hint="eastAsia" w:ascii="宋体" w:hAnsi="宋体" w:eastAsia="宋体" w:cs="宋体"/>
                <w:sz w:val="28"/>
                <w:szCs w:val="28"/>
                <w:vertAlign w:val="baseline"/>
                <w:lang w:eastAsia="zh-CN"/>
              </w:rPr>
              <w:t>工期</w:t>
            </w:r>
          </w:p>
        </w:tc>
        <w:tc>
          <w:tcPr>
            <w:tcW w:w="2407" w:type="dxa"/>
          </w:tcPr>
          <w:p w14:paraId="7C090B44">
            <w:pPr>
              <w:pStyle w:val="2"/>
              <w:jc w:val="center"/>
              <w:rPr>
                <w:rFonts w:hint="eastAsia" w:ascii="宋体" w:hAnsi="宋体" w:eastAsia="宋体" w:cs="宋体"/>
                <w:sz w:val="28"/>
                <w:szCs w:val="28"/>
                <w:vertAlign w:val="baseline"/>
                <w:lang w:eastAsia="zh-CN"/>
              </w:rPr>
            </w:pPr>
            <w:r>
              <w:rPr>
                <w:rFonts w:hint="eastAsia" w:ascii="宋体" w:hAnsi="宋体" w:eastAsia="宋体" w:cs="宋体"/>
                <w:sz w:val="28"/>
                <w:szCs w:val="28"/>
                <w:vertAlign w:val="baseline"/>
                <w:lang w:eastAsia="zh-CN"/>
              </w:rPr>
              <w:t>备注</w:t>
            </w:r>
          </w:p>
        </w:tc>
      </w:tr>
      <w:tr w14:paraId="6DADE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dxa"/>
          </w:tcPr>
          <w:p w14:paraId="3F7B21B6">
            <w:pPr>
              <w:pStyle w:val="2"/>
              <w:rPr>
                <w:rFonts w:hint="eastAsia" w:ascii="宋体" w:hAnsi="宋体" w:eastAsia="宋体" w:cs="宋体"/>
                <w:sz w:val="28"/>
                <w:szCs w:val="28"/>
                <w:vertAlign w:val="baseline"/>
                <w:lang w:eastAsia="zh-CN"/>
              </w:rPr>
            </w:pP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新区分院建设项目资产评估服务</w:t>
            </w:r>
          </w:p>
        </w:tc>
        <w:tc>
          <w:tcPr>
            <w:tcW w:w="2407" w:type="dxa"/>
          </w:tcPr>
          <w:p w14:paraId="6E187990">
            <w:pPr>
              <w:pStyle w:val="2"/>
              <w:rPr>
                <w:rFonts w:hint="eastAsia" w:ascii="宋体" w:hAnsi="宋体" w:eastAsia="宋体" w:cs="宋体"/>
                <w:sz w:val="28"/>
                <w:szCs w:val="28"/>
                <w:vertAlign w:val="baseline"/>
                <w:lang w:eastAsia="zh-CN"/>
              </w:rPr>
            </w:pPr>
          </w:p>
        </w:tc>
        <w:tc>
          <w:tcPr>
            <w:tcW w:w="2407" w:type="dxa"/>
          </w:tcPr>
          <w:p w14:paraId="5EC450BD">
            <w:pPr>
              <w:pStyle w:val="2"/>
              <w:rPr>
                <w:rFonts w:hint="eastAsia" w:ascii="宋体" w:hAnsi="宋体" w:eastAsia="宋体" w:cs="宋体"/>
                <w:sz w:val="28"/>
                <w:szCs w:val="28"/>
                <w:vertAlign w:val="baseline"/>
                <w:lang w:eastAsia="zh-CN"/>
              </w:rPr>
            </w:pPr>
          </w:p>
        </w:tc>
        <w:tc>
          <w:tcPr>
            <w:tcW w:w="2407" w:type="dxa"/>
          </w:tcPr>
          <w:p w14:paraId="7FAED428">
            <w:pPr>
              <w:pStyle w:val="2"/>
              <w:rPr>
                <w:rFonts w:hint="eastAsia" w:ascii="宋体" w:hAnsi="宋体" w:eastAsia="宋体" w:cs="宋体"/>
                <w:sz w:val="28"/>
                <w:szCs w:val="28"/>
                <w:vertAlign w:val="baseline"/>
                <w:lang w:eastAsia="zh-CN"/>
              </w:rPr>
            </w:pPr>
            <w:r>
              <w:rPr>
                <w:rFonts w:hint="eastAsia" w:ascii="宋体" w:hAnsi="宋体" w:eastAsia="宋体" w:cs="宋体"/>
                <w:color w:val="FF0000"/>
                <w:sz w:val="28"/>
                <w:szCs w:val="28"/>
              </w:rPr>
              <w:t>2025年6月30日前完成服务工作</w:t>
            </w:r>
          </w:p>
        </w:tc>
      </w:tr>
    </w:tbl>
    <w:p w14:paraId="0E88E42A">
      <w:pPr>
        <w:pStyle w:val="2"/>
        <w:rPr>
          <w:rFonts w:hint="eastAsia"/>
          <w:lang w:eastAsia="zh-CN"/>
        </w:rPr>
      </w:pPr>
    </w:p>
    <w:p w14:paraId="46420D7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r>
        <w:rPr>
          <w:rFonts w:hint="eastAsia" w:ascii="宋体" w:hAnsi="宋体" w:eastAsia="宋体" w:cs="宋体"/>
          <w:color w:val="FF0000"/>
          <w:sz w:val="24"/>
          <w:szCs w:val="24"/>
          <w:shd w:val="clear" w:color="auto" w:fill="auto"/>
        </w:rPr>
        <w:t>报价为包干价，包含但不限于</w:t>
      </w:r>
      <w:r>
        <w:rPr>
          <w:rFonts w:hint="eastAsia" w:ascii="宋体" w:hAnsi="宋体" w:eastAsia="宋体" w:cs="宋体"/>
          <w:color w:val="FF0000"/>
          <w:sz w:val="24"/>
          <w:szCs w:val="24"/>
          <w:shd w:val="clear" w:color="auto" w:fill="auto"/>
          <w:lang w:eastAsia="zh-CN"/>
        </w:rPr>
        <w:t>人工费</w:t>
      </w:r>
      <w:r>
        <w:rPr>
          <w:rFonts w:hint="eastAsia" w:ascii="宋体" w:hAnsi="宋体" w:eastAsia="宋体" w:cs="宋体"/>
          <w:color w:val="FF0000"/>
          <w:sz w:val="24"/>
          <w:szCs w:val="24"/>
          <w:shd w:val="clear" w:color="auto" w:fill="auto"/>
        </w:rPr>
        <w:t>、</w:t>
      </w:r>
      <w:r>
        <w:rPr>
          <w:rFonts w:hint="eastAsia" w:ascii="宋体" w:hAnsi="宋体" w:eastAsia="宋体" w:cs="宋体"/>
          <w:color w:val="FF0000"/>
          <w:sz w:val="24"/>
          <w:szCs w:val="24"/>
          <w:shd w:val="clear" w:color="auto" w:fill="auto"/>
          <w:lang w:eastAsia="zh-CN"/>
        </w:rPr>
        <w:t>手续费</w:t>
      </w:r>
      <w:r>
        <w:rPr>
          <w:rFonts w:hint="eastAsia" w:ascii="宋体" w:hAnsi="宋体" w:eastAsia="宋体" w:cs="宋体"/>
          <w:color w:val="FF0000"/>
          <w:sz w:val="24"/>
          <w:szCs w:val="24"/>
          <w:shd w:val="clear" w:color="auto" w:fill="auto"/>
        </w:rPr>
        <w:t>、</w:t>
      </w:r>
      <w:r>
        <w:rPr>
          <w:rFonts w:hint="eastAsia" w:ascii="宋体" w:hAnsi="宋体" w:eastAsia="宋体" w:cs="宋体"/>
          <w:color w:val="FF0000"/>
          <w:sz w:val="24"/>
          <w:szCs w:val="24"/>
          <w:shd w:val="clear" w:color="auto" w:fill="auto"/>
          <w:lang w:eastAsia="zh-CN"/>
        </w:rPr>
        <w:t>交通费</w:t>
      </w:r>
      <w:r>
        <w:rPr>
          <w:rFonts w:hint="eastAsia" w:ascii="宋体" w:hAnsi="宋体" w:eastAsia="宋体" w:cs="宋体"/>
          <w:color w:val="FF0000"/>
          <w:sz w:val="24"/>
          <w:szCs w:val="24"/>
          <w:shd w:val="clear" w:color="auto" w:fill="auto"/>
        </w:rPr>
        <w:t>等所有费用。</w:t>
      </w:r>
    </w:p>
    <w:p w14:paraId="6D6C9DAC">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603693E1">
      <w:pPr>
        <w:rPr>
          <w:rFonts w:hint="eastAsia" w:ascii="宋体" w:hAnsi="宋体" w:eastAsia="宋体" w:cs="宋体"/>
          <w:b/>
          <w:color w:val="000000" w:themeColor="text1"/>
          <w:shd w:val="clear" w:color="auto" w:fill="auto"/>
          <w14:textFill>
            <w14:solidFill>
              <w14:schemeClr w14:val="tx1"/>
            </w14:solidFill>
          </w14:textFill>
        </w:rPr>
      </w:pPr>
    </w:p>
    <w:p w14:paraId="09B0968C">
      <w:pPr>
        <w:rPr>
          <w:rFonts w:hint="eastAsia" w:ascii="宋体" w:hAnsi="宋体" w:eastAsia="宋体" w:cs="宋体"/>
          <w:b/>
          <w:color w:val="000000" w:themeColor="text1"/>
          <w:shd w:val="clear" w:color="auto" w:fill="auto"/>
          <w14:textFill>
            <w14:solidFill>
              <w14:schemeClr w14:val="tx1"/>
            </w14:solidFill>
          </w14:textFill>
        </w:rPr>
      </w:pPr>
    </w:p>
    <w:p w14:paraId="6021CE27">
      <w:pPr>
        <w:rPr>
          <w:rFonts w:hint="eastAsia" w:ascii="宋体" w:hAnsi="宋体" w:eastAsia="宋体" w:cs="宋体"/>
          <w:b/>
          <w:color w:val="000000" w:themeColor="text1"/>
          <w:shd w:val="clear" w:color="auto" w:fill="auto"/>
          <w14:textFill>
            <w14:solidFill>
              <w14:schemeClr w14:val="tx1"/>
            </w14:solidFill>
          </w14:textFill>
        </w:rPr>
      </w:pPr>
    </w:p>
    <w:p w14:paraId="6242388E">
      <w:pPr>
        <w:rPr>
          <w:rFonts w:hint="eastAsia" w:ascii="宋体" w:hAnsi="宋体" w:eastAsia="宋体" w:cs="宋体"/>
          <w:b/>
          <w:color w:val="000000" w:themeColor="text1"/>
          <w:shd w:val="clear" w:color="auto" w:fill="auto"/>
          <w14:textFill>
            <w14:solidFill>
              <w14:schemeClr w14:val="tx1"/>
            </w14:solidFill>
          </w14:textFill>
        </w:rPr>
      </w:pPr>
    </w:p>
    <w:p w14:paraId="61ACA79A">
      <w:pPr>
        <w:rPr>
          <w:rFonts w:hint="eastAsia" w:ascii="宋体" w:hAnsi="宋体" w:eastAsia="宋体" w:cs="宋体"/>
          <w:b/>
          <w:color w:val="000000" w:themeColor="text1"/>
          <w:shd w:val="clear" w:color="auto" w:fill="auto"/>
          <w14:textFill>
            <w14:solidFill>
              <w14:schemeClr w14:val="tx1"/>
            </w14:solidFill>
          </w14:textFill>
        </w:rPr>
      </w:pPr>
    </w:p>
    <w:p w14:paraId="61926871">
      <w:pPr>
        <w:rPr>
          <w:rFonts w:hint="eastAsia" w:ascii="宋体" w:hAnsi="宋体" w:eastAsia="宋体" w:cs="宋体"/>
          <w:b/>
          <w:color w:val="000000" w:themeColor="text1"/>
          <w:shd w:val="clear" w:color="auto" w:fill="auto"/>
          <w14:textFill>
            <w14:solidFill>
              <w14:schemeClr w14:val="tx1"/>
            </w14:solidFill>
          </w14:textFill>
        </w:rPr>
      </w:pPr>
    </w:p>
    <w:p w14:paraId="5EC782ED">
      <w:pPr>
        <w:rPr>
          <w:rFonts w:hint="eastAsia" w:ascii="宋体" w:hAnsi="宋体" w:eastAsia="宋体" w:cs="宋体"/>
          <w:b/>
          <w:color w:val="000000" w:themeColor="text1"/>
          <w:shd w:val="clear" w:color="auto" w:fill="auto"/>
          <w14:textFill>
            <w14:solidFill>
              <w14:schemeClr w14:val="tx1"/>
            </w14:solidFill>
          </w14:textFill>
        </w:rPr>
      </w:pPr>
    </w:p>
    <w:p w14:paraId="0D76BDE7">
      <w:pPr>
        <w:rPr>
          <w:rFonts w:hint="eastAsia" w:ascii="宋体" w:hAnsi="宋体" w:eastAsia="宋体" w:cs="宋体"/>
          <w:b/>
          <w:color w:val="000000" w:themeColor="text1"/>
          <w:shd w:val="clear" w:color="auto" w:fill="auto"/>
          <w14:textFill>
            <w14:solidFill>
              <w14:schemeClr w14:val="tx1"/>
            </w14:solidFill>
          </w14:textFill>
        </w:rPr>
      </w:pPr>
    </w:p>
    <w:p w14:paraId="14457BED">
      <w:pPr>
        <w:rPr>
          <w:rFonts w:hint="eastAsia" w:ascii="宋体" w:hAnsi="宋体" w:eastAsia="宋体" w:cs="宋体"/>
          <w:b/>
          <w:color w:val="000000" w:themeColor="text1"/>
          <w:shd w:val="clear" w:color="auto" w:fill="auto"/>
          <w14:textFill>
            <w14:solidFill>
              <w14:schemeClr w14:val="tx1"/>
            </w14:solidFill>
          </w14:textFill>
        </w:rPr>
      </w:pPr>
    </w:p>
    <w:p w14:paraId="59BE2C3C">
      <w:pPr>
        <w:rPr>
          <w:rFonts w:hint="eastAsia" w:ascii="宋体" w:hAnsi="宋体" w:eastAsia="宋体" w:cs="宋体"/>
          <w:b/>
          <w:color w:val="000000" w:themeColor="text1"/>
          <w:shd w:val="clear" w:color="auto" w:fill="auto"/>
          <w14:textFill>
            <w14:solidFill>
              <w14:schemeClr w14:val="tx1"/>
            </w14:solidFill>
          </w14:textFill>
        </w:rPr>
      </w:pPr>
    </w:p>
    <w:p w14:paraId="373179FD">
      <w:pPr>
        <w:rPr>
          <w:rFonts w:hint="eastAsia" w:ascii="宋体" w:hAnsi="宋体" w:eastAsia="宋体" w:cs="宋体"/>
          <w:b/>
          <w:color w:val="000000" w:themeColor="text1"/>
          <w:shd w:val="clear" w:color="auto" w:fill="auto"/>
          <w14:textFill>
            <w14:solidFill>
              <w14:schemeClr w14:val="tx1"/>
            </w14:solidFill>
          </w14:textFill>
        </w:rPr>
      </w:pPr>
    </w:p>
    <w:p w14:paraId="222E2322">
      <w:pPr>
        <w:rPr>
          <w:rFonts w:hint="eastAsia" w:ascii="宋体" w:hAnsi="宋体" w:eastAsia="宋体" w:cs="宋体"/>
          <w:b/>
          <w:color w:val="000000" w:themeColor="text1"/>
          <w:shd w:val="clear" w:color="auto" w:fill="auto"/>
          <w14:textFill>
            <w14:solidFill>
              <w14:schemeClr w14:val="tx1"/>
            </w14:solidFill>
          </w14:textFill>
        </w:rPr>
      </w:pPr>
    </w:p>
    <w:p w14:paraId="66CDEDB3">
      <w:pPr>
        <w:rPr>
          <w:rFonts w:hint="eastAsia" w:ascii="宋体" w:hAnsi="宋体" w:eastAsia="宋体" w:cs="宋体"/>
          <w:b/>
          <w:color w:val="000000" w:themeColor="text1"/>
          <w:shd w:val="clear" w:color="auto" w:fill="auto"/>
          <w14:textFill>
            <w14:solidFill>
              <w14:schemeClr w14:val="tx1"/>
            </w14:solidFill>
          </w14:textFill>
        </w:rPr>
      </w:pPr>
    </w:p>
    <w:p w14:paraId="6D8F57E1">
      <w:pPr>
        <w:rPr>
          <w:rFonts w:hint="eastAsia" w:ascii="宋体" w:hAnsi="宋体" w:eastAsia="宋体" w:cs="宋体"/>
          <w:b/>
          <w:color w:val="000000" w:themeColor="text1"/>
          <w:shd w:val="clear" w:color="auto" w:fill="auto"/>
          <w14:textFill>
            <w14:solidFill>
              <w14:schemeClr w14:val="tx1"/>
            </w14:solidFill>
          </w14:textFill>
        </w:rPr>
      </w:pPr>
    </w:p>
    <w:p w14:paraId="72150EAF">
      <w:pPr>
        <w:rPr>
          <w:rFonts w:hint="eastAsia" w:ascii="宋体" w:hAnsi="宋体" w:eastAsia="宋体" w:cs="宋体"/>
          <w:b/>
          <w:color w:val="000000" w:themeColor="text1"/>
          <w:shd w:val="clear" w:color="auto" w:fill="auto"/>
          <w14:textFill>
            <w14:solidFill>
              <w14:schemeClr w14:val="tx1"/>
            </w14:solidFill>
          </w14:textFill>
        </w:rPr>
      </w:pPr>
    </w:p>
    <w:p w14:paraId="00FDFD55">
      <w:pPr>
        <w:rPr>
          <w:rFonts w:hint="eastAsia" w:ascii="宋体" w:hAnsi="宋体" w:eastAsia="宋体" w:cs="宋体"/>
          <w:b/>
          <w:color w:val="000000" w:themeColor="text1"/>
          <w:shd w:val="clear" w:color="auto" w:fill="auto"/>
          <w14:textFill>
            <w14:solidFill>
              <w14:schemeClr w14:val="tx1"/>
            </w14:solidFill>
          </w14:textFill>
        </w:rPr>
      </w:pPr>
    </w:p>
    <w:p w14:paraId="287120F6">
      <w:pPr>
        <w:rPr>
          <w:rFonts w:hint="eastAsia" w:ascii="宋体" w:hAnsi="宋体" w:eastAsia="宋体" w:cs="宋体"/>
          <w:b/>
          <w:color w:val="000000" w:themeColor="text1"/>
          <w:shd w:val="clear" w:color="auto" w:fill="auto"/>
          <w14:textFill>
            <w14:solidFill>
              <w14:schemeClr w14:val="tx1"/>
            </w14:solidFill>
          </w14:textFill>
        </w:rPr>
      </w:pPr>
    </w:p>
    <w:p w14:paraId="0D36D996">
      <w:pPr>
        <w:rPr>
          <w:rFonts w:hint="eastAsia" w:ascii="宋体" w:hAnsi="宋体" w:eastAsia="宋体" w:cs="宋体"/>
          <w:b/>
          <w:color w:val="000000" w:themeColor="text1"/>
          <w:shd w:val="clear" w:color="auto" w:fill="auto"/>
          <w14:textFill>
            <w14:solidFill>
              <w14:schemeClr w14:val="tx1"/>
            </w14:solidFill>
          </w14:textFill>
        </w:rPr>
      </w:pPr>
    </w:p>
    <w:p w14:paraId="13A586AB">
      <w:pPr>
        <w:rPr>
          <w:rFonts w:hint="eastAsia" w:ascii="宋体" w:hAnsi="宋体" w:eastAsia="宋体" w:cs="宋体"/>
          <w:b/>
          <w:color w:val="000000" w:themeColor="text1"/>
          <w:shd w:val="clear" w:color="auto" w:fill="auto"/>
          <w14:textFill>
            <w14:solidFill>
              <w14:schemeClr w14:val="tx1"/>
            </w14:solidFill>
          </w14:textFill>
        </w:rPr>
      </w:pPr>
    </w:p>
    <w:p w14:paraId="6B86AC3A">
      <w:pPr>
        <w:rPr>
          <w:rFonts w:hint="eastAsia" w:ascii="宋体" w:hAnsi="宋体" w:eastAsia="宋体" w:cs="宋体"/>
          <w:b/>
          <w:color w:val="000000" w:themeColor="text1"/>
          <w:shd w:val="clear" w:color="auto" w:fill="auto"/>
          <w14:textFill>
            <w14:solidFill>
              <w14:schemeClr w14:val="tx1"/>
            </w14:solidFill>
          </w14:textFill>
        </w:rPr>
      </w:pPr>
    </w:p>
    <w:p w14:paraId="652500CB">
      <w:pPr>
        <w:rPr>
          <w:rFonts w:hint="eastAsia" w:ascii="宋体" w:hAnsi="宋体" w:eastAsia="宋体" w:cs="宋体"/>
          <w:b/>
          <w:color w:val="000000" w:themeColor="text1"/>
          <w:shd w:val="clear" w:color="auto" w:fill="auto"/>
          <w14:textFill>
            <w14:solidFill>
              <w14:schemeClr w14:val="tx1"/>
            </w14:solidFill>
          </w14:textFill>
        </w:rPr>
      </w:pPr>
    </w:p>
    <w:p w14:paraId="773FB95E">
      <w:pPr>
        <w:rPr>
          <w:rFonts w:hint="eastAsia" w:ascii="宋体" w:hAnsi="宋体" w:eastAsia="宋体" w:cs="宋体"/>
          <w:b/>
          <w:color w:val="000000" w:themeColor="text1"/>
          <w:shd w:val="clear" w:color="auto" w:fill="auto"/>
          <w14:textFill>
            <w14:solidFill>
              <w14:schemeClr w14:val="tx1"/>
            </w14:solidFill>
          </w14:textFill>
        </w:rPr>
      </w:pPr>
    </w:p>
    <w:p w14:paraId="25A52B06">
      <w:pPr>
        <w:pStyle w:val="2"/>
        <w:rPr>
          <w:rFonts w:hint="eastAsia" w:ascii="宋体" w:hAnsi="宋体" w:eastAsia="宋体" w:cs="宋体"/>
          <w:b/>
          <w:color w:val="000000" w:themeColor="text1"/>
          <w:shd w:val="clear" w:color="auto" w:fill="auto"/>
          <w14:textFill>
            <w14:solidFill>
              <w14:schemeClr w14:val="tx1"/>
            </w14:solidFill>
          </w14:textFill>
        </w:rPr>
      </w:pPr>
    </w:p>
    <w:p w14:paraId="35DFB46A">
      <w:pPr>
        <w:pStyle w:val="3"/>
        <w:rPr>
          <w:rFonts w:hint="eastAsia" w:ascii="宋体" w:hAnsi="宋体" w:eastAsia="宋体" w:cs="宋体"/>
          <w:b/>
          <w:color w:val="000000" w:themeColor="text1"/>
          <w:shd w:val="clear" w:color="auto" w:fill="auto"/>
          <w14:textFill>
            <w14:solidFill>
              <w14:schemeClr w14:val="tx1"/>
            </w14:solidFill>
          </w14:textFill>
        </w:rPr>
      </w:pPr>
    </w:p>
    <w:p w14:paraId="1579272D">
      <w:pPr>
        <w:rPr>
          <w:rFonts w:hint="eastAsia" w:ascii="宋体" w:hAnsi="宋体" w:eastAsia="宋体" w:cs="宋体"/>
          <w:b/>
          <w:color w:val="000000" w:themeColor="text1"/>
          <w:shd w:val="clear" w:color="auto" w:fill="auto"/>
          <w14:textFill>
            <w14:solidFill>
              <w14:schemeClr w14:val="tx1"/>
            </w14:solidFill>
          </w14:textFill>
        </w:rPr>
      </w:pPr>
    </w:p>
    <w:p w14:paraId="3EF5F2C9">
      <w:pPr>
        <w:pStyle w:val="2"/>
        <w:rPr>
          <w:rFonts w:hint="eastAsia" w:ascii="宋体" w:hAnsi="宋体" w:eastAsia="宋体" w:cs="宋体"/>
          <w:b/>
          <w:color w:val="000000" w:themeColor="text1"/>
          <w:shd w:val="clear" w:color="auto" w:fill="auto"/>
          <w14:textFill>
            <w14:solidFill>
              <w14:schemeClr w14:val="tx1"/>
            </w14:solidFill>
          </w14:textFill>
        </w:rPr>
      </w:pPr>
    </w:p>
    <w:p w14:paraId="310BC575">
      <w:pPr>
        <w:pStyle w:val="3"/>
        <w:rPr>
          <w:rFonts w:hint="eastAsia" w:ascii="宋体" w:hAnsi="宋体" w:eastAsia="宋体" w:cs="宋体"/>
          <w:b/>
          <w:color w:val="000000" w:themeColor="text1"/>
          <w:shd w:val="clear" w:color="auto" w:fill="auto"/>
          <w14:textFill>
            <w14:solidFill>
              <w14:schemeClr w14:val="tx1"/>
            </w14:solidFill>
          </w14:textFill>
        </w:rPr>
      </w:pPr>
    </w:p>
    <w:p w14:paraId="6912624B">
      <w:pPr>
        <w:rPr>
          <w:rFonts w:hint="eastAsia" w:ascii="宋体" w:hAnsi="宋体" w:eastAsia="宋体" w:cs="宋体"/>
          <w:b/>
          <w:color w:val="000000" w:themeColor="text1"/>
          <w:shd w:val="clear" w:color="auto" w:fill="auto"/>
          <w14:textFill>
            <w14:solidFill>
              <w14:schemeClr w14:val="tx1"/>
            </w14:solidFill>
          </w14:textFill>
        </w:rPr>
      </w:pPr>
    </w:p>
    <w:p w14:paraId="5F9AB064">
      <w:pPr>
        <w:pStyle w:val="2"/>
        <w:rPr>
          <w:rFonts w:hint="eastAsia"/>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313888362"/>
      <w:bookmarkStart w:id="167" w:name="_Toc342913421"/>
      <w:bookmarkStart w:id="168" w:name="_Toc313008358"/>
      <w:bookmarkStart w:id="169" w:name="_Toc485108798"/>
      <w:bookmarkStart w:id="170" w:name="_Toc480979020"/>
      <w:bookmarkStart w:id="171" w:name="_Toc13844"/>
      <w:bookmarkStart w:id="172"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42913422"/>
      <w:bookmarkStart w:id="180" w:name="_Toc313008359"/>
      <w:bookmarkStart w:id="181"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75649788-4985-41AD-8A5C-129F3E2E83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3"/>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5"/>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D52C1B"/>
    <w:rsid w:val="13F41DC8"/>
    <w:rsid w:val="14035142"/>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81416D"/>
    <w:rsid w:val="1B925650"/>
    <w:rsid w:val="1C0025BA"/>
    <w:rsid w:val="1C66752D"/>
    <w:rsid w:val="1C6945DA"/>
    <w:rsid w:val="1CD22D64"/>
    <w:rsid w:val="1CED540D"/>
    <w:rsid w:val="1CF33ECD"/>
    <w:rsid w:val="1CF736B7"/>
    <w:rsid w:val="1D632E00"/>
    <w:rsid w:val="1DD87EDC"/>
    <w:rsid w:val="1DDA4D59"/>
    <w:rsid w:val="1E8652AA"/>
    <w:rsid w:val="1E9D4968"/>
    <w:rsid w:val="1EB13D33"/>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812A23"/>
    <w:rsid w:val="2CDF621C"/>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1CA4358"/>
    <w:rsid w:val="31FA7479"/>
    <w:rsid w:val="32050A97"/>
    <w:rsid w:val="32284BF5"/>
    <w:rsid w:val="32DA1DD4"/>
    <w:rsid w:val="33323C73"/>
    <w:rsid w:val="3361798A"/>
    <w:rsid w:val="33861085"/>
    <w:rsid w:val="34311909"/>
    <w:rsid w:val="34477E1A"/>
    <w:rsid w:val="34B44507"/>
    <w:rsid w:val="35687566"/>
    <w:rsid w:val="35B15F88"/>
    <w:rsid w:val="35D501BC"/>
    <w:rsid w:val="35E87A5C"/>
    <w:rsid w:val="3608331B"/>
    <w:rsid w:val="36382C0F"/>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D77CAA"/>
    <w:rsid w:val="52173BDE"/>
    <w:rsid w:val="5228244C"/>
    <w:rsid w:val="529620AE"/>
    <w:rsid w:val="52EB291F"/>
    <w:rsid w:val="52ED493F"/>
    <w:rsid w:val="52F55822"/>
    <w:rsid w:val="531F0FF7"/>
    <w:rsid w:val="53B56AAB"/>
    <w:rsid w:val="53E03D6D"/>
    <w:rsid w:val="53E144A4"/>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525101C"/>
    <w:rsid w:val="656A40F1"/>
    <w:rsid w:val="658C5E23"/>
    <w:rsid w:val="65F9363E"/>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9465A0"/>
    <w:rsid w:val="73A82490"/>
    <w:rsid w:val="73AA3664"/>
    <w:rsid w:val="73B34AD5"/>
    <w:rsid w:val="73D42B6E"/>
    <w:rsid w:val="743B3E3F"/>
    <w:rsid w:val="74E41D61"/>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3C60AD"/>
    <w:rsid w:val="7EC565EC"/>
    <w:rsid w:val="7ED27718"/>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5">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6">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7">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8">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9">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10">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11">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2">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124"/>
    <w:autoRedefine/>
    <w:qFormat/>
    <w:uiPriority w:val="0"/>
    <w:rPr>
      <w:rFonts w:ascii="仿宋_GB2312" w:hAnsi="Times New Roman" w:eastAsia="仿宋_GB2312" w:cs="Times New Roman"/>
      <w:sz w:val="32"/>
      <w:szCs w:val="20"/>
    </w:rPr>
  </w:style>
  <w:style w:type="paragraph" w:styleId="3">
    <w:name w:val="Quote"/>
    <w:basedOn w:val="1"/>
    <w:next w:val="1"/>
    <w:qFormat/>
    <w:uiPriority w:val="29"/>
    <w:pPr>
      <w:spacing w:beforeLines="50" w:afterLines="50" w:line="360" w:lineRule="auto"/>
    </w:pPr>
    <w:rPr>
      <w:i/>
      <w:iCs/>
      <w:color w:val="000000"/>
      <w:szCs w:val="24"/>
      <w:lang w:val="zh-CN"/>
    </w:rPr>
  </w:style>
  <w:style w:type="paragraph" w:styleId="13">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4">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5">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6">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7">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8">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9">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20">
    <w:name w:val="toa heading"/>
    <w:basedOn w:val="1"/>
    <w:next w:val="1"/>
    <w:autoRedefine/>
    <w:qFormat/>
    <w:uiPriority w:val="0"/>
    <w:pPr>
      <w:spacing w:before="120"/>
    </w:pPr>
    <w:rPr>
      <w:rFonts w:ascii="Arial" w:hAnsi="Arial" w:eastAsia="宋体" w:cs="Times New Roman"/>
      <w:sz w:val="24"/>
      <w:szCs w:val="20"/>
    </w:rPr>
  </w:style>
  <w:style w:type="paragraph" w:styleId="21">
    <w:name w:val="annotation text"/>
    <w:basedOn w:val="1"/>
    <w:link w:val="131"/>
    <w:autoRedefine/>
    <w:unhideWhenUsed/>
    <w:qFormat/>
    <w:uiPriority w:val="0"/>
    <w:pPr>
      <w:jc w:val="left"/>
    </w:pPr>
  </w:style>
  <w:style w:type="paragraph" w:styleId="22">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3">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21"/>
    <w:next w:val="21"/>
    <w:link w:val="80"/>
    <w:autoRedefine/>
    <w:qFormat/>
    <w:uiPriority w:val="0"/>
    <w:rPr>
      <w:sz w:val="24"/>
    </w:rPr>
  </w:style>
  <w:style w:type="paragraph" w:styleId="57">
    <w:name w:val="Body Text First Indent"/>
    <w:basedOn w:val="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4"/>
    <w:autoRedefine/>
    <w:qFormat/>
    <w:uiPriority w:val="0"/>
    <w:rPr>
      <w:rFonts w:ascii="宋体" w:hAnsi="Times New Roman" w:eastAsia="宋体" w:cs="Times New Roman"/>
      <w:sz w:val="28"/>
      <w:szCs w:val="20"/>
    </w:rPr>
  </w:style>
  <w:style w:type="character" w:customStyle="1" w:styleId="70">
    <w:name w:val="标题 2 Char"/>
    <w:basedOn w:val="61"/>
    <w:link w:val="5"/>
    <w:autoRedefine/>
    <w:qFormat/>
    <w:uiPriority w:val="0"/>
    <w:rPr>
      <w:rFonts w:ascii="Arial" w:hAnsi="Arial" w:eastAsia="黑体" w:cs="Times New Roman"/>
      <w:b/>
      <w:sz w:val="32"/>
      <w:szCs w:val="20"/>
    </w:rPr>
  </w:style>
  <w:style w:type="character" w:customStyle="1" w:styleId="71">
    <w:name w:val="标题 3 Char"/>
    <w:basedOn w:val="61"/>
    <w:link w:val="6"/>
    <w:autoRedefine/>
    <w:qFormat/>
    <w:uiPriority w:val="0"/>
    <w:rPr>
      <w:rFonts w:ascii="Times New Roman" w:hAnsi="Times New Roman" w:eastAsia="宋体" w:cs="Times New Roman"/>
      <w:b/>
      <w:sz w:val="32"/>
      <w:szCs w:val="20"/>
    </w:rPr>
  </w:style>
  <w:style w:type="character" w:customStyle="1" w:styleId="72">
    <w:name w:val="标题 4 Char"/>
    <w:basedOn w:val="61"/>
    <w:link w:val="7"/>
    <w:autoRedefine/>
    <w:qFormat/>
    <w:uiPriority w:val="0"/>
    <w:rPr>
      <w:rFonts w:ascii="Arial" w:hAnsi="Arial" w:eastAsia="黑体" w:cs="Times New Roman"/>
      <w:b/>
      <w:sz w:val="28"/>
      <w:szCs w:val="20"/>
    </w:rPr>
  </w:style>
  <w:style w:type="character" w:customStyle="1" w:styleId="73">
    <w:name w:val="标题 5 Char"/>
    <w:basedOn w:val="61"/>
    <w:link w:val="8"/>
    <w:autoRedefine/>
    <w:qFormat/>
    <w:uiPriority w:val="0"/>
    <w:rPr>
      <w:rFonts w:ascii="Times New Roman" w:hAnsi="Times New Roman" w:eastAsia="宋体" w:cs="Times New Roman"/>
      <w:b/>
      <w:sz w:val="28"/>
      <w:szCs w:val="20"/>
    </w:rPr>
  </w:style>
  <w:style w:type="character" w:customStyle="1" w:styleId="74">
    <w:name w:val="标题 6 Char"/>
    <w:basedOn w:val="61"/>
    <w:link w:val="9"/>
    <w:autoRedefine/>
    <w:qFormat/>
    <w:uiPriority w:val="0"/>
    <w:rPr>
      <w:rFonts w:ascii="Arial" w:hAnsi="Arial" w:eastAsia="黑体" w:cs="Times New Roman"/>
      <w:b/>
      <w:sz w:val="24"/>
      <w:szCs w:val="20"/>
    </w:rPr>
  </w:style>
  <w:style w:type="character" w:customStyle="1" w:styleId="75">
    <w:name w:val="标题 7 Char"/>
    <w:basedOn w:val="61"/>
    <w:link w:val="10"/>
    <w:autoRedefine/>
    <w:qFormat/>
    <w:uiPriority w:val="0"/>
    <w:rPr>
      <w:rFonts w:ascii="Arial" w:hAnsi="Arial" w:eastAsia="黑体" w:cs="Times New Roman"/>
      <w:b/>
      <w:sz w:val="24"/>
      <w:szCs w:val="20"/>
    </w:rPr>
  </w:style>
  <w:style w:type="character" w:customStyle="1" w:styleId="76">
    <w:name w:val="标题 8 Char"/>
    <w:basedOn w:val="61"/>
    <w:link w:val="11"/>
    <w:autoRedefine/>
    <w:qFormat/>
    <w:uiPriority w:val="0"/>
    <w:rPr>
      <w:rFonts w:ascii="Arial" w:hAnsi="Arial" w:eastAsia="黑体" w:cs="Times New Roman"/>
      <w:b/>
      <w:sz w:val="24"/>
      <w:szCs w:val="20"/>
    </w:rPr>
  </w:style>
  <w:style w:type="character" w:customStyle="1" w:styleId="77">
    <w:name w:val="标题 9 Char"/>
    <w:basedOn w:val="61"/>
    <w:link w:val="12"/>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9"/>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2"/>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21"/>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5"/>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7"/>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6"/>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4"/>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9"/>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7"/>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9"/>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4"/>
    <w:next w:val="4"/>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5"/>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7"/>
    <w:autoRedefine/>
    <w:qFormat/>
    <w:uiPriority w:val="0"/>
    <w:pPr>
      <w:ind w:firstLine="480" w:firstLineChars="200"/>
    </w:pPr>
  </w:style>
  <w:style w:type="paragraph" w:customStyle="1" w:styleId="238">
    <w:name w:val="可研正文"/>
    <w:basedOn w:val="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6"/>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7"/>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4"/>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9"/>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7"/>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9868</Words>
  <Characters>10019</Characters>
  <Lines>182</Lines>
  <Paragraphs>51</Paragraphs>
  <TotalTime>0</TotalTime>
  <ScaleCrop>false</ScaleCrop>
  <LinksUpToDate>false</LinksUpToDate>
  <CharactersWithSpaces>10102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2025-05-30T09:23:43Z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