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低空物流运输服务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25875"/>
      <w:bookmarkStart w:id="3" w:name="_Toc23588"/>
      <w:bookmarkStart w:id="4" w:name="_Toc12789052"/>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低空物流运输服务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低空物流运输服务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3年，合同一年一签</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：医疗机构疫情防控能力提升专项经费,建设费用6.21万元，日间运输费用60元/次，夜间运输费用120元/次。</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F77A55">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.民用无人驾驶航空器运营合格证</w:t>
      </w:r>
      <w:r>
        <w:rPr>
          <w:rFonts w:hint="eastAsia" w:ascii="宋体" w:hAnsi="宋体" w:eastAsia="宋体" w:cs="宋体"/>
          <w:color w:val="FF0000"/>
          <w:sz w:val="24"/>
          <w:szCs w:val="24"/>
          <w:shd w:val="clear" w:color="auto" w:fill="auto"/>
          <w:lang w:eastAsia="zh-CN"/>
        </w:rPr>
        <w:t>。提供复印件加盖公章。</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bookmarkStart w:id="191" w:name="_GoBack"/>
      <w:bookmarkEnd w:id="19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1.投标报价，包含但不限于设施设备费、服务费、保险、税费等各项费用。(报价表见第六章)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F2815B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基本要求：服务方使用采购方已开通萱花院区-大安院区航线以及现有的枢纽站、起降台等设施设备，无人机载重≥4KG，运输箱容积≥9L。</w:t>
      </w:r>
    </w:p>
    <w:p w14:paraId="157D008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低空物流运输时间段：</w:t>
      </w:r>
      <w:r>
        <w:rPr>
          <w:rFonts w:hint="eastAsia" w:ascii="宋体" w:hAnsi="宋体" w:eastAsia="宋体" w:cs="宋体"/>
          <w:color w:val="FF0000"/>
          <w:sz w:val="24"/>
          <w:szCs w:val="24"/>
          <w:shd w:val="clear" w:color="auto" w:fill="auto"/>
          <w:lang w:val="en-US" w:eastAsia="zh-CN"/>
        </w:rPr>
        <w:t>24小时</w:t>
      </w:r>
      <w:r>
        <w:rPr>
          <w:rFonts w:hint="eastAsia" w:ascii="宋体" w:hAnsi="宋体" w:eastAsia="宋体" w:cs="宋体"/>
          <w:color w:val="FF0000"/>
          <w:sz w:val="24"/>
          <w:szCs w:val="24"/>
          <w:shd w:val="clear" w:color="auto" w:fill="auto"/>
        </w:rPr>
        <w:t>。飞行运输服务提供远程运行调度支持和现场设备维护。</w:t>
      </w:r>
    </w:p>
    <w:p w14:paraId="27942CA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服务方负责设施设备的安装部署，航线空域审批、公安报备等。</w:t>
      </w:r>
    </w:p>
    <w:p w14:paraId="1F10734A">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服务方须严格遵守国家的相关法律法规，在服务过程中应采取有效的安全措施，保证工作人员和其他人员的人身安全，并承担因安全事故导致的一切经济和法律责任。如有损坏财产须照价赔偿。</w:t>
      </w:r>
    </w:p>
    <w:p w14:paraId="039B904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服务方在施工前需由采购方相关部门提交院内施工安全许可审批，取得施工许可后方可施工。</w:t>
      </w:r>
    </w:p>
    <w:p w14:paraId="3155BE13">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服务方需按采购方要求，准时、安全完成配送。如在运输途中区间出现了损坏，服务方应赔偿全部损失并承担所有责任。</w:t>
      </w:r>
    </w:p>
    <w:p w14:paraId="6A3E52EB">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服务期内，服务方负责设施设备的维修维护，保障正常使用。</w:t>
      </w:r>
    </w:p>
    <w:p w14:paraId="5DAA7AD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5970523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EB8F75A">
      <w:pPr>
        <w:spacing w:line="39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服务周期：3年，合同一年一签</w:t>
      </w:r>
      <w:r>
        <w:rPr>
          <w:rFonts w:hint="eastAsia" w:ascii="宋体" w:hAnsi="宋体" w:eastAsia="宋体" w:cs="宋体"/>
          <w:color w:val="FF0000"/>
          <w:sz w:val="24"/>
          <w:szCs w:val="24"/>
          <w:shd w:val="clear" w:color="auto" w:fill="auto"/>
          <w:lang w:eastAsia="zh-CN"/>
        </w:rPr>
        <w:t>。</w:t>
      </w:r>
    </w:p>
    <w:p w14:paraId="7C8A2843">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工期要求：兴龙湖院区站点开通、设备安装及运输开始的具体时间以采购方通知为准，服务方须在接到通知后7天内完成。</w:t>
      </w:r>
    </w:p>
    <w:p w14:paraId="0A79C9E7">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验收方式：设施安装调试完成后，双方组织共同验收，服务方需移交检验报告或产品合格证等材料，验收完成后双方人员签字确认。</w:t>
      </w:r>
    </w:p>
    <w:p w14:paraId="0F493202">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付款方式：设备验收合格并完成固定资产入库后向服务方支付设备费用；航线运输服务费每季度据实结算一次，采购方自收到合法发票审核无误后60日内付款。</w:t>
      </w:r>
    </w:p>
    <w:p w14:paraId="7EE1E22E">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售后服务：服务方接到采购方通知后应立即响应，电话咨询不能解决的应在2小时内安排技术人员到达现场处理，直至解除故障，质保期内免费维修、更换，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5685"/>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1839448">
      <w:pPr>
        <w:tabs>
          <w:tab w:val="left" w:pos="6300"/>
        </w:tabs>
        <w:snapToGrid w:val="0"/>
        <w:spacing w:line="360" w:lineRule="auto"/>
        <w:ind w:firstLine="560" w:firstLineChars="200"/>
        <w:jc w:val="center"/>
        <w:rPr>
          <w:rFonts w:hint="eastAsia" w:ascii="宋体" w:hAnsi="宋体" w:eastAsia="宋体" w:cs="宋体"/>
          <w:color w:val="000000" w:themeColor="text1"/>
          <w:sz w:val="28"/>
          <w:szCs w:val="28"/>
          <w:shd w:val="clear" w:color="auto" w:fill="auto"/>
          <w:lang w:eastAsia="zh-CN"/>
          <w14:textFill>
            <w14:solidFill>
              <w14:schemeClr w14:val="tx1"/>
            </w14:solidFill>
          </w14:textFill>
        </w:rPr>
      </w:pPr>
      <w:bookmarkStart w:id="159" w:name="_Toc480979019"/>
      <w:bookmarkStart w:id="160" w:name="_Toc313888361"/>
      <w:bookmarkStart w:id="161" w:name="_Toc342913420"/>
      <w:bookmarkStart w:id="162" w:name="_Toc313008357"/>
      <w:bookmarkStart w:id="163" w:name="_Toc485108797"/>
      <w:r>
        <w:rPr>
          <w:rFonts w:hint="eastAsia" w:ascii="宋体" w:hAnsi="宋体" w:eastAsia="宋体" w:cs="宋体"/>
          <w:color w:val="000000" w:themeColor="text1"/>
          <w:sz w:val="28"/>
          <w:szCs w:val="28"/>
          <w:shd w:val="clear" w:color="auto" w:fill="auto"/>
          <w:lang w:eastAsia="zh-CN"/>
          <w14:textFill>
            <w14:solidFill>
              <w14:schemeClr w14:val="tx1"/>
            </w14:solidFill>
          </w14:textFill>
        </w:rPr>
        <w:t>报价表</w:t>
      </w:r>
    </w:p>
    <w:tbl>
      <w:tblPr>
        <w:tblStyle w:val="60"/>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97"/>
        <w:gridCol w:w="2281"/>
        <w:gridCol w:w="840"/>
        <w:gridCol w:w="700"/>
        <w:gridCol w:w="1259"/>
        <w:gridCol w:w="1120"/>
        <w:gridCol w:w="1120"/>
      </w:tblGrid>
      <w:tr w14:paraId="1254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08" w:type="dxa"/>
            <w:vAlign w:val="center"/>
          </w:tcPr>
          <w:p w14:paraId="444D7285">
            <w:pPr>
              <w:jc w:val="center"/>
              <w:rPr>
                <w:rFonts w:ascii="Times New Roman" w:hAnsi="Times New Roman" w:eastAsia="方正仿宋_GBK" w:cs="Times New Roman"/>
              </w:rPr>
            </w:pPr>
            <w:r>
              <w:rPr>
                <w:rFonts w:ascii="Times New Roman" w:hAnsi="Times New Roman" w:eastAsia="方正仿宋_GBK" w:cs="Times New Roman"/>
              </w:rPr>
              <w:t>序号</w:t>
            </w:r>
          </w:p>
        </w:tc>
        <w:tc>
          <w:tcPr>
            <w:tcW w:w="1597" w:type="dxa"/>
            <w:vAlign w:val="center"/>
          </w:tcPr>
          <w:p w14:paraId="7242F286">
            <w:pPr>
              <w:jc w:val="center"/>
              <w:rPr>
                <w:rFonts w:ascii="Times New Roman" w:hAnsi="Times New Roman" w:eastAsia="方正仿宋_GBK" w:cs="Times New Roman"/>
              </w:rPr>
            </w:pPr>
            <w:r>
              <w:rPr>
                <w:rFonts w:ascii="Times New Roman" w:hAnsi="Times New Roman" w:eastAsia="方正仿宋_GBK" w:cs="Times New Roman"/>
              </w:rPr>
              <w:t>项目</w:t>
            </w:r>
          </w:p>
        </w:tc>
        <w:tc>
          <w:tcPr>
            <w:tcW w:w="2281" w:type="dxa"/>
            <w:vAlign w:val="center"/>
          </w:tcPr>
          <w:p w14:paraId="17D788C9">
            <w:pPr>
              <w:jc w:val="center"/>
              <w:rPr>
                <w:rFonts w:ascii="Times New Roman" w:hAnsi="Times New Roman" w:eastAsia="方正仿宋_GBK" w:cs="Times New Roman"/>
              </w:rPr>
            </w:pPr>
            <w:r>
              <w:rPr>
                <w:rFonts w:ascii="Times New Roman" w:hAnsi="Times New Roman" w:eastAsia="方正仿宋_GBK" w:cs="Times New Roman"/>
              </w:rPr>
              <w:t>内容</w:t>
            </w:r>
          </w:p>
        </w:tc>
        <w:tc>
          <w:tcPr>
            <w:tcW w:w="840" w:type="dxa"/>
            <w:vAlign w:val="center"/>
          </w:tcPr>
          <w:p w14:paraId="5EBE0140">
            <w:pPr>
              <w:jc w:val="center"/>
              <w:rPr>
                <w:rFonts w:ascii="Times New Roman" w:hAnsi="Times New Roman" w:eastAsia="方正仿宋_GBK" w:cs="Times New Roman"/>
              </w:rPr>
            </w:pPr>
            <w:r>
              <w:rPr>
                <w:rFonts w:ascii="Times New Roman" w:hAnsi="Times New Roman" w:eastAsia="方正仿宋_GBK" w:cs="Times New Roman"/>
              </w:rPr>
              <w:t>单位</w:t>
            </w:r>
          </w:p>
        </w:tc>
        <w:tc>
          <w:tcPr>
            <w:tcW w:w="700" w:type="dxa"/>
            <w:vAlign w:val="center"/>
          </w:tcPr>
          <w:p w14:paraId="51CB1DA1">
            <w:pPr>
              <w:jc w:val="center"/>
              <w:rPr>
                <w:rFonts w:ascii="Times New Roman" w:hAnsi="Times New Roman" w:eastAsia="方正仿宋_GBK" w:cs="Times New Roman"/>
              </w:rPr>
            </w:pPr>
            <w:r>
              <w:rPr>
                <w:rFonts w:ascii="Times New Roman" w:hAnsi="Times New Roman" w:eastAsia="方正仿宋_GBK" w:cs="Times New Roman"/>
              </w:rPr>
              <w:t>数量</w:t>
            </w:r>
          </w:p>
        </w:tc>
        <w:tc>
          <w:tcPr>
            <w:tcW w:w="1259" w:type="dxa"/>
            <w:vAlign w:val="center"/>
          </w:tcPr>
          <w:p w14:paraId="7D98E987">
            <w:pPr>
              <w:jc w:val="center"/>
              <w:rPr>
                <w:rFonts w:ascii="Times New Roman" w:hAnsi="Times New Roman" w:eastAsia="方正仿宋_GBK" w:cs="Times New Roman"/>
              </w:rPr>
            </w:pPr>
            <w:r>
              <w:rPr>
                <w:rFonts w:ascii="Times New Roman" w:hAnsi="Times New Roman" w:eastAsia="方正仿宋_GBK" w:cs="Times New Roman"/>
              </w:rPr>
              <w:t>限价</w:t>
            </w:r>
          </w:p>
        </w:tc>
        <w:tc>
          <w:tcPr>
            <w:tcW w:w="1120" w:type="dxa"/>
            <w:vAlign w:val="center"/>
          </w:tcPr>
          <w:p w14:paraId="1BB91969">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t>参选供应商报价</w:t>
            </w:r>
          </w:p>
        </w:tc>
        <w:tc>
          <w:tcPr>
            <w:tcW w:w="1120" w:type="dxa"/>
            <w:vAlign w:val="center"/>
          </w:tcPr>
          <w:p w14:paraId="13CF26DF">
            <w:pPr>
              <w:jc w:val="center"/>
              <w:rPr>
                <w:rFonts w:ascii="Times New Roman" w:hAnsi="Times New Roman" w:eastAsia="方正仿宋_GBK" w:cs="Times New Roman"/>
              </w:rPr>
            </w:pPr>
            <w:r>
              <w:rPr>
                <w:rFonts w:ascii="Times New Roman" w:hAnsi="Times New Roman" w:eastAsia="方正仿宋_GBK" w:cs="Times New Roman"/>
              </w:rPr>
              <w:t>备注</w:t>
            </w:r>
          </w:p>
        </w:tc>
      </w:tr>
      <w:tr w14:paraId="0CC1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08" w:type="dxa"/>
            <w:vAlign w:val="center"/>
          </w:tcPr>
          <w:p w14:paraId="0C633E3E">
            <w:pPr>
              <w:jc w:val="center"/>
              <w:rPr>
                <w:rFonts w:ascii="Times New Roman" w:hAnsi="Times New Roman" w:eastAsia="方正仿宋_GBK" w:cs="Times New Roman"/>
              </w:rPr>
            </w:pPr>
            <w:r>
              <w:rPr>
                <w:rFonts w:ascii="Times New Roman" w:hAnsi="Times New Roman" w:eastAsia="方正仿宋_GBK" w:cs="Times New Roman"/>
              </w:rPr>
              <w:t>1</w:t>
            </w:r>
          </w:p>
        </w:tc>
        <w:tc>
          <w:tcPr>
            <w:tcW w:w="1597" w:type="dxa"/>
            <w:vAlign w:val="center"/>
          </w:tcPr>
          <w:p w14:paraId="628D7713">
            <w:pPr>
              <w:rPr>
                <w:rFonts w:ascii="Times New Roman" w:hAnsi="Times New Roman" w:eastAsia="方正仿宋_GBK" w:cs="Times New Roman"/>
              </w:rPr>
            </w:pPr>
            <w:r>
              <w:rPr>
                <w:rFonts w:ascii="Times New Roman" w:hAnsi="Times New Roman" w:eastAsia="方正仿宋_GBK" w:cs="Times New Roman"/>
              </w:rPr>
              <w:t>航线开发费</w:t>
            </w:r>
          </w:p>
        </w:tc>
        <w:tc>
          <w:tcPr>
            <w:tcW w:w="2281" w:type="dxa"/>
            <w:vAlign w:val="center"/>
          </w:tcPr>
          <w:p w14:paraId="34EF7F87">
            <w:pPr>
              <w:rPr>
                <w:rFonts w:ascii="Times New Roman" w:hAnsi="Times New Roman" w:eastAsia="方正仿宋_GBK" w:cs="Times New Roman"/>
              </w:rPr>
            </w:pPr>
            <w:r>
              <w:rPr>
                <w:rFonts w:ascii="Times New Roman" w:hAnsi="Times New Roman" w:eastAsia="方正仿宋_GBK" w:cs="Times New Roman"/>
              </w:rPr>
              <w:t>1、兴龙湖院区</w:t>
            </w:r>
            <w:r>
              <w:rPr>
                <w:rFonts w:hint="eastAsia" w:ascii="Times New Roman" w:hAnsi="Times New Roman" w:eastAsia="方正仿宋_GBK" w:cs="Times New Roman"/>
              </w:rPr>
              <w:t>-大安院区，兴龙湖院区-萱花院区</w:t>
            </w:r>
            <w:r>
              <w:rPr>
                <w:rFonts w:ascii="Times New Roman" w:hAnsi="Times New Roman" w:eastAsia="方正仿宋_GBK" w:cs="Times New Roman"/>
              </w:rPr>
              <w:t>。</w:t>
            </w:r>
          </w:p>
          <w:p w14:paraId="59A6DF1F">
            <w:pPr>
              <w:rPr>
                <w:rFonts w:ascii="Times New Roman" w:hAnsi="Times New Roman" w:eastAsia="方正仿宋_GBK" w:cs="Times New Roman"/>
              </w:rPr>
            </w:pPr>
            <w:r>
              <w:rPr>
                <w:rFonts w:ascii="Times New Roman" w:hAnsi="Times New Roman" w:eastAsia="方正仿宋_GBK" w:cs="Times New Roman"/>
              </w:rPr>
              <w:t>2、现场勘查。</w:t>
            </w:r>
          </w:p>
          <w:p w14:paraId="1E7D8B58">
            <w:pPr>
              <w:rPr>
                <w:rFonts w:ascii="Times New Roman" w:hAnsi="Times New Roman" w:eastAsia="方正仿宋_GBK" w:cs="Times New Roman"/>
              </w:rPr>
            </w:pPr>
            <w:r>
              <w:rPr>
                <w:rFonts w:ascii="Times New Roman" w:hAnsi="Times New Roman" w:eastAsia="方正仿宋_GBK" w:cs="Times New Roman"/>
              </w:rPr>
              <w:t>3、应急备降点部署。</w:t>
            </w:r>
          </w:p>
          <w:p w14:paraId="4350AD4E">
            <w:pPr>
              <w:rPr>
                <w:rFonts w:ascii="Times New Roman" w:hAnsi="Times New Roman" w:eastAsia="方正仿宋_GBK" w:cs="Times New Roman"/>
              </w:rPr>
            </w:pPr>
            <w:r>
              <w:rPr>
                <w:rFonts w:ascii="Times New Roman" w:hAnsi="Times New Roman" w:eastAsia="方正仿宋_GBK" w:cs="Times New Roman"/>
              </w:rPr>
              <w:t>4、校验飞行。</w:t>
            </w:r>
          </w:p>
          <w:p w14:paraId="2D4527F0">
            <w:pPr>
              <w:rPr>
                <w:rFonts w:ascii="Times New Roman" w:hAnsi="Times New Roman" w:eastAsia="方正仿宋_GBK" w:cs="Times New Roman"/>
              </w:rPr>
            </w:pPr>
            <w:r>
              <w:rPr>
                <w:rFonts w:ascii="Times New Roman" w:hAnsi="Times New Roman" w:eastAsia="方正仿宋_GBK" w:cs="Times New Roman"/>
              </w:rPr>
              <w:t>5、空域申请及公安报备。</w:t>
            </w:r>
          </w:p>
          <w:p w14:paraId="5A96258A">
            <w:pPr>
              <w:rPr>
                <w:rFonts w:ascii="Times New Roman" w:hAnsi="Times New Roman" w:eastAsia="方正仿宋_GBK" w:cs="Times New Roman"/>
              </w:rPr>
            </w:pPr>
            <w:r>
              <w:rPr>
                <w:rFonts w:ascii="Times New Roman" w:hAnsi="Times New Roman" w:eastAsia="方正仿宋_GBK" w:cs="Times New Roman"/>
              </w:rPr>
              <w:t>6、操作人员培训。</w:t>
            </w:r>
          </w:p>
        </w:tc>
        <w:tc>
          <w:tcPr>
            <w:tcW w:w="840" w:type="dxa"/>
            <w:vAlign w:val="center"/>
          </w:tcPr>
          <w:p w14:paraId="33253A4F">
            <w:pPr>
              <w:jc w:val="center"/>
              <w:rPr>
                <w:rFonts w:ascii="Times New Roman" w:hAnsi="Times New Roman" w:eastAsia="方正仿宋_GBK" w:cs="Times New Roman"/>
              </w:rPr>
            </w:pPr>
            <w:r>
              <w:rPr>
                <w:rFonts w:ascii="Times New Roman" w:hAnsi="Times New Roman" w:eastAsia="方正仿宋_GBK" w:cs="Times New Roman"/>
              </w:rPr>
              <w:t>站点</w:t>
            </w:r>
          </w:p>
        </w:tc>
        <w:tc>
          <w:tcPr>
            <w:tcW w:w="700" w:type="dxa"/>
            <w:vAlign w:val="center"/>
          </w:tcPr>
          <w:p w14:paraId="2CBD3308">
            <w:pPr>
              <w:jc w:val="center"/>
              <w:rPr>
                <w:rFonts w:ascii="Times New Roman" w:hAnsi="Times New Roman" w:eastAsia="方正仿宋_GBK" w:cs="Times New Roman"/>
              </w:rPr>
            </w:pPr>
            <w:r>
              <w:rPr>
                <w:rFonts w:ascii="Times New Roman" w:hAnsi="Times New Roman" w:eastAsia="方正仿宋_GBK" w:cs="Times New Roman"/>
              </w:rPr>
              <w:t>1</w:t>
            </w:r>
          </w:p>
        </w:tc>
        <w:tc>
          <w:tcPr>
            <w:tcW w:w="1259" w:type="dxa"/>
            <w:vAlign w:val="center"/>
          </w:tcPr>
          <w:p w14:paraId="61605A21">
            <w:pPr>
              <w:jc w:val="center"/>
              <w:rPr>
                <w:rFonts w:ascii="Times New Roman" w:hAnsi="Times New Roman" w:eastAsia="方正仿宋_GBK" w:cs="Times New Roman"/>
              </w:rPr>
            </w:pPr>
            <w:r>
              <w:rPr>
                <w:rFonts w:ascii="Times New Roman" w:hAnsi="Times New Roman" w:eastAsia="方正仿宋_GBK" w:cs="Times New Roman"/>
              </w:rPr>
              <w:t>1.60万元</w:t>
            </w:r>
          </w:p>
        </w:tc>
        <w:tc>
          <w:tcPr>
            <w:tcW w:w="1120" w:type="dxa"/>
            <w:vAlign w:val="center"/>
          </w:tcPr>
          <w:p w14:paraId="334829DE">
            <w:pPr>
              <w:jc w:val="both"/>
              <w:rPr>
                <w:rFonts w:ascii="Times New Roman" w:hAnsi="Times New Roman" w:eastAsia="方正仿宋_GBK" w:cs="Times New Roman"/>
              </w:rPr>
            </w:pPr>
          </w:p>
        </w:tc>
        <w:tc>
          <w:tcPr>
            <w:tcW w:w="1120" w:type="dxa"/>
            <w:vAlign w:val="center"/>
          </w:tcPr>
          <w:p w14:paraId="32A15157">
            <w:pPr>
              <w:jc w:val="both"/>
              <w:rPr>
                <w:rFonts w:ascii="Times New Roman" w:hAnsi="Times New Roman" w:eastAsia="方正仿宋_GBK" w:cs="Times New Roman"/>
              </w:rPr>
            </w:pPr>
          </w:p>
        </w:tc>
      </w:tr>
      <w:tr w14:paraId="4604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708" w:type="dxa"/>
            <w:vAlign w:val="center"/>
          </w:tcPr>
          <w:p w14:paraId="07E5301B">
            <w:pPr>
              <w:jc w:val="center"/>
              <w:rPr>
                <w:rFonts w:ascii="Times New Roman" w:hAnsi="Times New Roman" w:eastAsia="方正仿宋_GBK" w:cs="Times New Roman"/>
              </w:rPr>
            </w:pPr>
            <w:r>
              <w:rPr>
                <w:rFonts w:ascii="Times New Roman" w:hAnsi="Times New Roman" w:eastAsia="方正仿宋_GBK" w:cs="Times New Roman"/>
              </w:rPr>
              <w:t>2</w:t>
            </w:r>
          </w:p>
        </w:tc>
        <w:tc>
          <w:tcPr>
            <w:tcW w:w="1597" w:type="dxa"/>
            <w:vAlign w:val="center"/>
          </w:tcPr>
          <w:p w14:paraId="1A4BF921">
            <w:pPr>
              <w:rPr>
                <w:rFonts w:ascii="Times New Roman" w:hAnsi="Times New Roman" w:eastAsia="方正仿宋_GBK" w:cs="Times New Roman"/>
              </w:rPr>
            </w:pPr>
            <w:r>
              <w:rPr>
                <w:rFonts w:ascii="Times New Roman" w:hAnsi="Times New Roman" w:eastAsia="方正仿宋_GBK" w:cs="Times New Roman"/>
              </w:rPr>
              <w:t>无人机物流枢纽站</w:t>
            </w:r>
          </w:p>
        </w:tc>
        <w:tc>
          <w:tcPr>
            <w:tcW w:w="2281" w:type="dxa"/>
            <w:vAlign w:val="center"/>
          </w:tcPr>
          <w:p w14:paraId="2BC09B1F">
            <w:pPr>
              <w:rPr>
                <w:rFonts w:ascii="Times New Roman" w:hAnsi="Times New Roman" w:eastAsia="方正仿宋_GBK" w:cs="Times New Roman"/>
              </w:rPr>
            </w:pPr>
            <w:r>
              <w:rPr>
                <w:rFonts w:ascii="Times New Roman" w:hAnsi="Times New Roman" w:eastAsia="方正仿宋_GBK" w:cs="Times New Roman"/>
              </w:rPr>
              <w:t xml:space="preserve">1、1个停机位。 </w:t>
            </w:r>
          </w:p>
          <w:p w14:paraId="5CC6C7FA">
            <w:pPr>
              <w:rPr>
                <w:rFonts w:ascii="Times New Roman" w:hAnsi="Times New Roman" w:eastAsia="方正仿宋_GBK" w:cs="Times New Roman"/>
              </w:rPr>
            </w:pPr>
            <w:r>
              <w:rPr>
                <w:rFonts w:ascii="Times New Roman" w:hAnsi="Times New Roman" w:eastAsia="方正仿宋_GBK" w:cs="Times New Roman"/>
              </w:rPr>
              <w:t>2、1个单机存机位。</w:t>
            </w:r>
          </w:p>
          <w:p w14:paraId="07CE042B">
            <w:pPr>
              <w:rPr>
                <w:rFonts w:ascii="Times New Roman" w:hAnsi="Times New Roman" w:eastAsia="方正仿宋_GBK" w:cs="Times New Roman"/>
              </w:rPr>
            </w:pPr>
            <w:r>
              <w:rPr>
                <w:rFonts w:ascii="Times New Roman" w:hAnsi="Times New Roman" w:eastAsia="方正仿宋_GBK" w:cs="Times New Roman"/>
              </w:rPr>
              <w:t>3、1个电池柜。</w:t>
            </w:r>
          </w:p>
          <w:p w14:paraId="3F1EC6B0">
            <w:pPr>
              <w:rPr>
                <w:rFonts w:ascii="Times New Roman" w:hAnsi="Times New Roman" w:eastAsia="方正仿宋_GBK" w:cs="Times New Roman"/>
              </w:rPr>
            </w:pPr>
            <w:r>
              <w:rPr>
                <w:rFonts w:ascii="Times New Roman" w:hAnsi="Times New Roman" w:eastAsia="方正仿宋_GBK" w:cs="Times New Roman"/>
              </w:rPr>
              <w:t>4、支持夜间起降。</w:t>
            </w:r>
          </w:p>
        </w:tc>
        <w:tc>
          <w:tcPr>
            <w:tcW w:w="840" w:type="dxa"/>
            <w:vAlign w:val="center"/>
          </w:tcPr>
          <w:p w14:paraId="418FED75">
            <w:pPr>
              <w:jc w:val="center"/>
              <w:rPr>
                <w:rFonts w:ascii="Times New Roman" w:hAnsi="Times New Roman" w:eastAsia="方正仿宋_GBK" w:cs="Times New Roman"/>
              </w:rPr>
            </w:pPr>
            <w:r>
              <w:rPr>
                <w:rFonts w:ascii="Times New Roman" w:hAnsi="Times New Roman" w:eastAsia="方正仿宋_GBK" w:cs="Times New Roman"/>
              </w:rPr>
              <w:t>套</w:t>
            </w:r>
          </w:p>
        </w:tc>
        <w:tc>
          <w:tcPr>
            <w:tcW w:w="700" w:type="dxa"/>
            <w:vAlign w:val="center"/>
          </w:tcPr>
          <w:p w14:paraId="51E65DAD">
            <w:pPr>
              <w:jc w:val="center"/>
              <w:rPr>
                <w:rFonts w:ascii="Times New Roman" w:hAnsi="Times New Roman" w:eastAsia="方正仿宋_GBK" w:cs="Times New Roman"/>
              </w:rPr>
            </w:pPr>
            <w:r>
              <w:rPr>
                <w:rFonts w:ascii="Times New Roman" w:hAnsi="Times New Roman" w:eastAsia="方正仿宋_GBK" w:cs="Times New Roman"/>
              </w:rPr>
              <w:t>1</w:t>
            </w:r>
          </w:p>
        </w:tc>
        <w:tc>
          <w:tcPr>
            <w:tcW w:w="1259" w:type="dxa"/>
            <w:vAlign w:val="center"/>
          </w:tcPr>
          <w:p w14:paraId="204D2480">
            <w:pPr>
              <w:jc w:val="center"/>
              <w:rPr>
                <w:rFonts w:ascii="Times New Roman" w:hAnsi="Times New Roman" w:eastAsia="方正仿宋_GBK" w:cs="Times New Roman"/>
              </w:rPr>
            </w:pPr>
            <w:r>
              <w:rPr>
                <w:rFonts w:ascii="Times New Roman" w:hAnsi="Times New Roman" w:eastAsia="方正仿宋_GBK" w:cs="Times New Roman"/>
              </w:rPr>
              <w:t>4.28万元</w:t>
            </w:r>
          </w:p>
        </w:tc>
        <w:tc>
          <w:tcPr>
            <w:tcW w:w="1120" w:type="dxa"/>
            <w:vAlign w:val="center"/>
          </w:tcPr>
          <w:p w14:paraId="42D1FC1F">
            <w:pPr>
              <w:jc w:val="both"/>
              <w:rPr>
                <w:rFonts w:ascii="Times New Roman" w:hAnsi="Times New Roman" w:eastAsia="方正仿宋_GBK" w:cs="Times New Roman"/>
              </w:rPr>
            </w:pPr>
          </w:p>
        </w:tc>
        <w:tc>
          <w:tcPr>
            <w:tcW w:w="1120" w:type="dxa"/>
            <w:vAlign w:val="center"/>
          </w:tcPr>
          <w:p w14:paraId="7598DD32">
            <w:pPr>
              <w:jc w:val="both"/>
              <w:rPr>
                <w:rFonts w:ascii="Times New Roman" w:hAnsi="Times New Roman" w:eastAsia="方正仿宋_GBK" w:cs="Times New Roman"/>
              </w:rPr>
            </w:pPr>
          </w:p>
        </w:tc>
      </w:tr>
      <w:tr w14:paraId="3B44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8" w:type="dxa"/>
            <w:vAlign w:val="center"/>
          </w:tcPr>
          <w:p w14:paraId="74B107EC">
            <w:pPr>
              <w:jc w:val="center"/>
              <w:rPr>
                <w:rFonts w:ascii="Times New Roman" w:hAnsi="Times New Roman" w:eastAsia="方正仿宋_GBK" w:cs="Times New Roman"/>
              </w:rPr>
            </w:pPr>
            <w:r>
              <w:rPr>
                <w:rFonts w:ascii="Times New Roman" w:hAnsi="Times New Roman" w:eastAsia="方正仿宋_GBK" w:cs="Times New Roman"/>
              </w:rPr>
              <w:t>3</w:t>
            </w:r>
          </w:p>
        </w:tc>
        <w:tc>
          <w:tcPr>
            <w:tcW w:w="1597" w:type="dxa"/>
            <w:vAlign w:val="center"/>
          </w:tcPr>
          <w:p w14:paraId="21C07EC6">
            <w:pP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应急起降台</w:t>
            </w:r>
          </w:p>
        </w:tc>
        <w:tc>
          <w:tcPr>
            <w:tcW w:w="2281" w:type="dxa"/>
            <w:vAlign w:val="center"/>
          </w:tcPr>
          <w:p w14:paraId="51A8BFD1">
            <w:pP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1、支持无人机起降。</w:t>
            </w:r>
          </w:p>
          <w:p w14:paraId="788A0C9D">
            <w:pP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2、具备防雨、可折叠。</w:t>
            </w:r>
          </w:p>
        </w:tc>
        <w:tc>
          <w:tcPr>
            <w:tcW w:w="840" w:type="dxa"/>
            <w:vAlign w:val="center"/>
          </w:tcPr>
          <w:p w14:paraId="049A4BEE">
            <w:pPr>
              <w:jc w:val="cente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套</w:t>
            </w:r>
          </w:p>
        </w:tc>
        <w:tc>
          <w:tcPr>
            <w:tcW w:w="700" w:type="dxa"/>
            <w:vAlign w:val="center"/>
          </w:tcPr>
          <w:p w14:paraId="7BF0912B">
            <w:pPr>
              <w:jc w:val="cente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1</w:t>
            </w:r>
          </w:p>
        </w:tc>
        <w:tc>
          <w:tcPr>
            <w:tcW w:w="1259" w:type="dxa"/>
            <w:vAlign w:val="center"/>
          </w:tcPr>
          <w:p w14:paraId="38962DF2">
            <w:pPr>
              <w:jc w:val="center"/>
              <w:rPr>
                <w:rFonts w:ascii="Times New Roman" w:hAnsi="Times New Roman" w:eastAsia="方正仿宋_GBK" w:cs="Times New Roman"/>
                <w:color w:val="000000" w:themeColor="text1"/>
                <w14:textFill>
                  <w14:solidFill>
                    <w14:schemeClr w14:val="tx1"/>
                  </w14:solidFill>
                </w14:textFill>
              </w:rPr>
            </w:pPr>
            <w:r>
              <w:rPr>
                <w:rFonts w:ascii="Times New Roman" w:hAnsi="Times New Roman" w:eastAsia="方正仿宋_GBK" w:cs="Times New Roman"/>
                <w:color w:val="000000" w:themeColor="text1"/>
                <w14:textFill>
                  <w14:solidFill>
                    <w14:schemeClr w14:val="tx1"/>
                  </w14:solidFill>
                </w14:textFill>
              </w:rPr>
              <w:t>0.18</w:t>
            </w:r>
            <w:r>
              <w:rPr>
                <w:rFonts w:ascii="Times New Roman" w:hAnsi="Times New Roman" w:eastAsia="方正仿宋_GBK" w:cs="Times New Roman"/>
              </w:rPr>
              <w:t>万元</w:t>
            </w:r>
          </w:p>
        </w:tc>
        <w:tc>
          <w:tcPr>
            <w:tcW w:w="1120" w:type="dxa"/>
            <w:vAlign w:val="center"/>
          </w:tcPr>
          <w:p w14:paraId="03623A9E">
            <w:pPr>
              <w:jc w:val="both"/>
              <w:rPr>
                <w:rFonts w:ascii="Times New Roman" w:hAnsi="Times New Roman" w:eastAsia="方正仿宋_GBK" w:cs="Times New Roman"/>
                <w:color w:val="000000" w:themeColor="text1"/>
                <w14:textFill>
                  <w14:solidFill>
                    <w14:schemeClr w14:val="tx1"/>
                  </w14:solidFill>
                </w14:textFill>
              </w:rPr>
            </w:pPr>
          </w:p>
        </w:tc>
        <w:tc>
          <w:tcPr>
            <w:tcW w:w="1120" w:type="dxa"/>
            <w:vAlign w:val="center"/>
          </w:tcPr>
          <w:p w14:paraId="22CBDC59">
            <w:pPr>
              <w:jc w:val="both"/>
              <w:rPr>
                <w:rFonts w:ascii="Times New Roman" w:hAnsi="Times New Roman" w:eastAsia="方正仿宋_GBK" w:cs="Times New Roman"/>
              </w:rPr>
            </w:pPr>
          </w:p>
        </w:tc>
      </w:tr>
      <w:tr w14:paraId="381B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08" w:type="dxa"/>
            <w:vAlign w:val="center"/>
          </w:tcPr>
          <w:p w14:paraId="7BCB8D56">
            <w:pPr>
              <w:jc w:val="center"/>
              <w:rPr>
                <w:rFonts w:ascii="Times New Roman" w:hAnsi="Times New Roman" w:eastAsia="方正仿宋_GBK" w:cs="Times New Roman"/>
              </w:rPr>
            </w:pPr>
            <w:r>
              <w:rPr>
                <w:rFonts w:ascii="Times New Roman" w:hAnsi="Times New Roman" w:eastAsia="方正仿宋_GBK" w:cs="Times New Roman"/>
              </w:rPr>
              <w:t>4</w:t>
            </w:r>
          </w:p>
        </w:tc>
        <w:tc>
          <w:tcPr>
            <w:tcW w:w="1597" w:type="dxa"/>
            <w:vAlign w:val="center"/>
          </w:tcPr>
          <w:p w14:paraId="77DFA573">
            <w:pPr>
              <w:rPr>
                <w:rFonts w:ascii="Times New Roman" w:hAnsi="Times New Roman" w:eastAsia="方正仿宋_GBK" w:cs="Times New Roman"/>
              </w:rPr>
            </w:pPr>
            <w:r>
              <w:rPr>
                <w:rFonts w:ascii="Times New Roman" w:hAnsi="Times New Roman" w:eastAsia="方正仿宋_GBK" w:cs="Times New Roman"/>
              </w:rPr>
              <w:t>设备运输物流</w:t>
            </w:r>
          </w:p>
        </w:tc>
        <w:tc>
          <w:tcPr>
            <w:tcW w:w="2281" w:type="dxa"/>
            <w:vAlign w:val="center"/>
          </w:tcPr>
          <w:p w14:paraId="76DCEF97">
            <w:pPr>
              <w:rPr>
                <w:rFonts w:ascii="Times New Roman" w:hAnsi="Times New Roman" w:eastAsia="方正仿宋_GBK" w:cs="Times New Roman"/>
              </w:rPr>
            </w:pPr>
            <w:r>
              <w:rPr>
                <w:rFonts w:ascii="Times New Roman" w:hAnsi="Times New Roman" w:eastAsia="方正仿宋_GBK" w:cs="Times New Roman"/>
              </w:rPr>
              <w:t>1、包含</w:t>
            </w:r>
            <w:r>
              <w:rPr>
                <w:rFonts w:hint="eastAsia" w:ascii="Times New Roman" w:hAnsi="Times New Roman" w:eastAsia="方正仿宋_GBK" w:cs="Times New Roman"/>
              </w:rPr>
              <w:t>全套</w:t>
            </w:r>
            <w:r>
              <w:rPr>
                <w:rFonts w:ascii="Times New Roman" w:hAnsi="Times New Roman" w:eastAsia="方正仿宋_GBK" w:cs="Times New Roman"/>
              </w:rPr>
              <w:t>设备物流费用。</w:t>
            </w:r>
          </w:p>
          <w:p w14:paraId="6177EBBC">
            <w:pPr>
              <w:rPr>
                <w:rFonts w:ascii="Times New Roman" w:hAnsi="Times New Roman" w:eastAsia="方正仿宋_GBK" w:cs="Times New Roman"/>
              </w:rPr>
            </w:pPr>
            <w:r>
              <w:rPr>
                <w:rFonts w:ascii="Times New Roman" w:hAnsi="Times New Roman" w:eastAsia="方正仿宋_GBK" w:cs="Times New Roman"/>
              </w:rPr>
              <w:t>2、设备整备费用。</w:t>
            </w:r>
          </w:p>
        </w:tc>
        <w:tc>
          <w:tcPr>
            <w:tcW w:w="840" w:type="dxa"/>
            <w:vAlign w:val="center"/>
          </w:tcPr>
          <w:p w14:paraId="7790255C">
            <w:pPr>
              <w:jc w:val="center"/>
              <w:rPr>
                <w:rFonts w:ascii="Times New Roman" w:hAnsi="Times New Roman" w:eastAsia="方正仿宋_GBK" w:cs="Times New Roman"/>
              </w:rPr>
            </w:pPr>
            <w:r>
              <w:rPr>
                <w:rFonts w:ascii="Times New Roman" w:hAnsi="Times New Roman" w:eastAsia="方正仿宋_GBK" w:cs="Times New Roman"/>
              </w:rPr>
              <w:t>套/次</w:t>
            </w:r>
          </w:p>
        </w:tc>
        <w:tc>
          <w:tcPr>
            <w:tcW w:w="700" w:type="dxa"/>
            <w:vAlign w:val="center"/>
          </w:tcPr>
          <w:p w14:paraId="33A5E33D">
            <w:pPr>
              <w:jc w:val="center"/>
              <w:rPr>
                <w:rFonts w:ascii="Times New Roman" w:hAnsi="Times New Roman" w:eastAsia="方正仿宋_GBK" w:cs="Times New Roman"/>
              </w:rPr>
            </w:pPr>
            <w:r>
              <w:rPr>
                <w:rFonts w:ascii="Times New Roman" w:hAnsi="Times New Roman" w:eastAsia="方正仿宋_GBK" w:cs="Times New Roman"/>
              </w:rPr>
              <w:t>1</w:t>
            </w:r>
          </w:p>
        </w:tc>
        <w:tc>
          <w:tcPr>
            <w:tcW w:w="1259" w:type="dxa"/>
            <w:vAlign w:val="center"/>
          </w:tcPr>
          <w:p w14:paraId="236D76B4">
            <w:pPr>
              <w:jc w:val="center"/>
              <w:rPr>
                <w:rFonts w:ascii="Times New Roman" w:hAnsi="Times New Roman" w:eastAsia="方正仿宋_GBK" w:cs="Times New Roman"/>
              </w:rPr>
            </w:pPr>
            <w:r>
              <w:rPr>
                <w:rFonts w:ascii="Times New Roman" w:hAnsi="Times New Roman" w:eastAsia="方正仿宋_GBK" w:cs="Times New Roman"/>
              </w:rPr>
              <w:t>0.15万元</w:t>
            </w:r>
          </w:p>
        </w:tc>
        <w:tc>
          <w:tcPr>
            <w:tcW w:w="1120" w:type="dxa"/>
            <w:vAlign w:val="center"/>
          </w:tcPr>
          <w:p w14:paraId="17157230">
            <w:pPr>
              <w:jc w:val="both"/>
              <w:rPr>
                <w:rFonts w:ascii="Times New Roman" w:hAnsi="Times New Roman" w:eastAsia="方正仿宋_GBK" w:cs="Times New Roman"/>
              </w:rPr>
            </w:pPr>
          </w:p>
        </w:tc>
        <w:tc>
          <w:tcPr>
            <w:tcW w:w="1120" w:type="dxa"/>
            <w:vAlign w:val="center"/>
          </w:tcPr>
          <w:p w14:paraId="7FAC11EB">
            <w:pPr>
              <w:jc w:val="both"/>
              <w:rPr>
                <w:rFonts w:ascii="Times New Roman" w:hAnsi="Times New Roman" w:eastAsia="方正仿宋_GBK" w:cs="Times New Roman"/>
              </w:rPr>
            </w:pPr>
          </w:p>
        </w:tc>
      </w:tr>
      <w:tr w14:paraId="2C13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08" w:type="dxa"/>
            <w:vAlign w:val="center"/>
          </w:tcPr>
          <w:p w14:paraId="434BDAD5">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val="en-US" w:eastAsia="zh-CN"/>
              </w:rPr>
              <w:t>5</w:t>
            </w:r>
          </w:p>
        </w:tc>
        <w:tc>
          <w:tcPr>
            <w:tcW w:w="1597" w:type="dxa"/>
            <w:vAlign w:val="center"/>
          </w:tcPr>
          <w:p w14:paraId="74C4D110">
            <w:pPr>
              <w:rPr>
                <w:rFonts w:hint="eastAsia" w:ascii="Times New Roman" w:hAnsi="Times New Roman" w:eastAsia="方正仿宋_GBK" w:cs="Times New Roman"/>
                <w:lang w:eastAsia="zh-CN"/>
              </w:rPr>
            </w:pPr>
            <w:bookmarkStart w:id="164" w:name="OLE_LINK1"/>
            <w:bookmarkStart w:id="165" w:name="OLE_LINK2"/>
            <w:r>
              <w:rPr>
                <w:rFonts w:ascii="Times New Roman" w:hAnsi="Times New Roman" w:eastAsia="方正仿宋_GBK" w:cs="Times New Roman"/>
              </w:rPr>
              <w:t>航线日间运输</w:t>
            </w:r>
            <w:bookmarkEnd w:id="164"/>
            <w:bookmarkEnd w:id="165"/>
          </w:p>
        </w:tc>
        <w:tc>
          <w:tcPr>
            <w:tcW w:w="2281" w:type="dxa"/>
            <w:vAlign w:val="center"/>
          </w:tcPr>
          <w:p w14:paraId="5DF8212F">
            <w:pPr>
              <w:rPr>
                <w:rFonts w:ascii="Times New Roman" w:hAnsi="Times New Roman" w:eastAsia="方正仿宋_GBK" w:cs="Times New Roman"/>
              </w:rPr>
            </w:pPr>
            <w:r>
              <w:rPr>
                <w:rFonts w:ascii="Times New Roman" w:hAnsi="Times New Roman" w:eastAsia="方正仿宋_GBK" w:cs="Times New Roman"/>
              </w:rPr>
              <w:t>1、提供远程运行调度支持和现场设备维护。</w:t>
            </w:r>
          </w:p>
          <w:p w14:paraId="42CA64F2">
            <w:pPr>
              <w:rPr>
                <w:rFonts w:ascii="Times New Roman" w:hAnsi="Times New Roman" w:eastAsia="方正仿宋_GBK" w:cs="Times New Roman"/>
              </w:rPr>
            </w:pPr>
            <w:r>
              <w:rPr>
                <w:rFonts w:ascii="Times New Roman" w:hAnsi="Times New Roman" w:eastAsia="方正仿宋_GBK" w:cs="Times New Roman"/>
              </w:rPr>
              <w:t>2、</w:t>
            </w:r>
            <w:r>
              <w:rPr>
                <w:rFonts w:hint="eastAsia" w:ascii="Times New Roman" w:hAnsi="Times New Roman" w:eastAsia="方正仿宋_GBK" w:cs="Times New Roman"/>
                <w:lang w:eastAsia="zh-CN"/>
              </w:rPr>
              <w:t>第一年</w:t>
            </w:r>
            <w:r>
              <w:rPr>
                <w:rFonts w:ascii="Times New Roman" w:hAnsi="Times New Roman" w:eastAsia="方正仿宋_GBK" w:cs="Times New Roman"/>
              </w:rPr>
              <w:t>每月约2*30=60单。</w:t>
            </w:r>
          </w:p>
          <w:p w14:paraId="4702F579">
            <w:pPr>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3、第二年、第三年每月约为6*30=180单</w:t>
            </w:r>
          </w:p>
        </w:tc>
        <w:tc>
          <w:tcPr>
            <w:tcW w:w="840" w:type="dxa"/>
            <w:vAlign w:val="center"/>
          </w:tcPr>
          <w:p w14:paraId="03EE4DE0">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t>次</w:t>
            </w:r>
          </w:p>
        </w:tc>
        <w:tc>
          <w:tcPr>
            <w:tcW w:w="700" w:type="dxa"/>
            <w:vAlign w:val="center"/>
          </w:tcPr>
          <w:p w14:paraId="226DF7FB">
            <w:pPr>
              <w:jc w:val="center"/>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1</w:t>
            </w:r>
          </w:p>
        </w:tc>
        <w:tc>
          <w:tcPr>
            <w:tcW w:w="1259" w:type="dxa"/>
            <w:vAlign w:val="center"/>
          </w:tcPr>
          <w:p w14:paraId="4136152F">
            <w:pPr>
              <w:jc w:val="center"/>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60元</w:t>
            </w:r>
          </w:p>
        </w:tc>
        <w:tc>
          <w:tcPr>
            <w:tcW w:w="1120" w:type="dxa"/>
            <w:vAlign w:val="center"/>
          </w:tcPr>
          <w:p w14:paraId="04F9DA7A">
            <w:pPr>
              <w:jc w:val="both"/>
              <w:rPr>
                <w:rFonts w:ascii="Times New Roman" w:hAnsi="Times New Roman" w:eastAsia="方正仿宋_GBK" w:cs="Times New Roman"/>
              </w:rPr>
            </w:pPr>
          </w:p>
        </w:tc>
        <w:tc>
          <w:tcPr>
            <w:tcW w:w="1120" w:type="dxa"/>
            <w:vAlign w:val="center"/>
          </w:tcPr>
          <w:p w14:paraId="7C987FA9">
            <w:pPr>
              <w:jc w:val="both"/>
              <w:rPr>
                <w:rFonts w:ascii="Times New Roman" w:hAnsi="Times New Roman" w:eastAsia="方正仿宋_GBK" w:cs="Times New Roman"/>
              </w:rPr>
            </w:pPr>
          </w:p>
        </w:tc>
      </w:tr>
      <w:tr w14:paraId="373F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08" w:type="dxa"/>
            <w:vAlign w:val="center"/>
          </w:tcPr>
          <w:p w14:paraId="3DDF7AE7">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val="en-US" w:eastAsia="zh-CN"/>
              </w:rPr>
              <w:t>6</w:t>
            </w:r>
          </w:p>
        </w:tc>
        <w:tc>
          <w:tcPr>
            <w:tcW w:w="1597" w:type="dxa"/>
            <w:vAlign w:val="center"/>
          </w:tcPr>
          <w:p w14:paraId="7B038AF2">
            <w:pPr>
              <w:rPr>
                <w:rFonts w:ascii="Times New Roman" w:hAnsi="Times New Roman" w:eastAsia="方正仿宋_GBK" w:cs="Times New Roman"/>
              </w:rPr>
            </w:pPr>
            <w:r>
              <w:rPr>
                <w:rFonts w:ascii="Times New Roman" w:hAnsi="Times New Roman" w:eastAsia="方正仿宋_GBK" w:cs="Times New Roman"/>
              </w:rPr>
              <w:t>航线夜间运输</w:t>
            </w:r>
          </w:p>
        </w:tc>
        <w:tc>
          <w:tcPr>
            <w:tcW w:w="2281" w:type="dxa"/>
            <w:vAlign w:val="center"/>
          </w:tcPr>
          <w:p w14:paraId="440E0411">
            <w:pPr>
              <w:rPr>
                <w:rFonts w:ascii="Times New Roman" w:hAnsi="Times New Roman" w:eastAsia="方正仿宋_GBK" w:cs="Times New Roman"/>
              </w:rPr>
            </w:pPr>
            <w:r>
              <w:rPr>
                <w:rFonts w:ascii="Times New Roman" w:hAnsi="Times New Roman" w:eastAsia="方正仿宋_GBK" w:cs="Times New Roman"/>
              </w:rPr>
              <w:t>1、提供远程运行调度支持和现场设备维护。</w:t>
            </w:r>
          </w:p>
          <w:p w14:paraId="77440CDF">
            <w:pPr>
              <w:rPr>
                <w:rFonts w:ascii="Times New Roman" w:hAnsi="Times New Roman" w:eastAsia="方正仿宋_GBK" w:cs="Times New Roman"/>
              </w:rPr>
            </w:pPr>
            <w:r>
              <w:rPr>
                <w:rFonts w:ascii="Times New Roman" w:hAnsi="Times New Roman" w:eastAsia="方正仿宋_GBK" w:cs="Times New Roman"/>
              </w:rPr>
              <w:t>2、每月约1*30=30单。</w:t>
            </w:r>
          </w:p>
        </w:tc>
        <w:tc>
          <w:tcPr>
            <w:tcW w:w="840" w:type="dxa"/>
            <w:vAlign w:val="center"/>
          </w:tcPr>
          <w:p w14:paraId="6BA2F907">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t>次</w:t>
            </w:r>
          </w:p>
        </w:tc>
        <w:tc>
          <w:tcPr>
            <w:tcW w:w="700" w:type="dxa"/>
            <w:vAlign w:val="center"/>
          </w:tcPr>
          <w:p w14:paraId="4ADB2FC2">
            <w:pPr>
              <w:jc w:val="center"/>
              <w:rPr>
                <w:rFonts w:hint="eastAsia" w:ascii="Times New Roman" w:hAnsi="Times New Roman" w:eastAsia="方正仿宋_GBK" w:cs="Times New Roman"/>
                <w:lang w:eastAsia="zh-CN"/>
              </w:rPr>
            </w:pPr>
            <w:r>
              <w:rPr>
                <w:rFonts w:hint="eastAsia" w:ascii="Times New Roman" w:hAnsi="Times New Roman" w:eastAsia="方正仿宋_GBK" w:cs="Times New Roman"/>
                <w:lang w:val="en-US" w:eastAsia="zh-CN"/>
              </w:rPr>
              <w:t>1</w:t>
            </w:r>
          </w:p>
        </w:tc>
        <w:tc>
          <w:tcPr>
            <w:tcW w:w="1259" w:type="dxa"/>
            <w:vAlign w:val="center"/>
          </w:tcPr>
          <w:p w14:paraId="47A806C8">
            <w:pPr>
              <w:jc w:val="center"/>
              <w:rPr>
                <w:rFonts w:ascii="Times New Roman" w:hAnsi="Times New Roman" w:eastAsia="方正仿宋_GBK" w:cs="Times New Roman"/>
              </w:rPr>
            </w:pPr>
            <w:r>
              <w:rPr>
                <w:rFonts w:hint="eastAsia" w:ascii="Times New Roman" w:hAnsi="Times New Roman" w:eastAsia="方正仿宋_GBK" w:cs="Times New Roman"/>
                <w:lang w:val="en-US" w:eastAsia="zh-CN"/>
              </w:rPr>
              <w:t>120</w:t>
            </w:r>
            <w:r>
              <w:rPr>
                <w:rFonts w:hint="eastAsia" w:ascii="Times New Roman" w:hAnsi="Times New Roman" w:eastAsia="方正仿宋_GBK" w:cs="Times New Roman"/>
                <w:lang w:eastAsia="zh-CN"/>
              </w:rPr>
              <w:t>元</w:t>
            </w:r>
          </w:p>
        </w:tc>
        <w:tc>
          <w:tcPr>
            <w:tcW w:w="1120" w:type="dxa"/>
            <w:vAlign w:val="center"/>
          </w:tcPr>
          <w:p w14:paraId="4FD24C6D">
            <w:pPr>
              <w:jc w:val="both"/>
              <w:rPr>
                <w:rFonts w:ascii="Times New Roman" w:hAnsi="Times New Roman" w:eastAsia="方正仿宋_GBK" w:cs="Times New Roman"/>
              </w:rPr>
            </w:pPr>
          </w:p>
        </w:tc>
        <w:tc>
          <w:tcPr>
            <w:tcW w:w="1120" w:type="dxa"/>
            <w:vAlign w:val="center"/>
          </w:tcPr>
          <w:p w14:paraId="73EF183F">
            <w:pPr>
              <w:jc w:val="both"/>
              <w:rPr>
                <w:rFonts w:ascii="Times New Roman" w:hAnsi="Times New Roman" w:eastAsia="方正仿宋_GBK" w:cs="Times New Roman"/>
              </w:rPr>
            </w:pPr>
          </w:p>
        </w:tc>
      </w:tr>
    </w:tbl>
    <w:p w14:paraId="46420D74">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1-4项为包干价</w:t>
      </w:r>
      <w:r>
        <w:rPr>
          <w:rFonts w:hint="eastAsia" w:ascii="宋体" w:hAnsi="宋体" w:eastAsia="宋体" w:cs="宋体"/>
          <w:color w:val="FF0000"/>
          <w:sz w:val="24"/>
          <w:szCs w:val="24"/>
          <w:shd w:val="clear" w:color="auto" w:fill="auto"/>
        </w:rPr>
        <w:t>，包含但不限于设施设备费、服务费、保险、税费等各项费用。</w:t>
      </w:r>
    </w:p>
    <w:p w14:paraId="56911D28">
      <w:pPr>
        <w:tabs>
          <w:tab w:val="left" w:pos="6300"/>
        </w:tabs>
        <w:snapToGrid w:val="0"/>
        <w:spacing w:line="360" w:lineRule="auto"/>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2.5-6项，据实结算相关费用。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D6536D32-8D57-4E85-8A0B-D4A6D4113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4039</Words>
  <Characters>4142</Characters>
  <Lines>182</Lines>
  <Paragraphs>51</Paragraphs>
  <TotalTime>0</TotalTime>
  <ScaleCrop>false</ScaleCrop>
  <LinksUpToDate>false</LinksUpToDate>
  <CharactersWithSpaces>4204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2025-05-30T09:26:07Z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