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2025FW058</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负荷开关及直流屏电池更换服务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0"/>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五月</w:t>
      </w:r>
    </w:p>
    <w:p w14:paraId="54FB0A7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3AF45A">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目   录</w:t>
      </w:r>
    </w:p>
    <w:p w14:paraId="75515588">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TOC \o "1-3" \h \z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_Toc25875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_Toc25875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550B1DD">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_Toc28443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_Toc28443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A4EDE0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_Toc6609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val="en-US" w:eastAsia="zh-CN"/>
          <w14:textFill>
            <w14:solidFill>
              <w14:schemeClr w14:val="tx1"/>
            </w14:solidFill>
          </w14:textFill>
        </w:rPr>
        <w:t>二、资金来源</w:t>
      </w:r>
      <w:r>
        <w:rPr>
          <w:rFonts w:hint="eastAsia" w:ascii="宋体" w:hAnsi="宋体" w:cs="宋体"/>
          <w:color w:val="000000" w:themeColor="text1"/>
          <w:szCs w:val="24"/>
          <w:shd w:val="clear" w:color="auto" w:fill="auto"/>
          <w:lang w:val="en-US" w:eastAsia="zh-CN"/>
          <w14:textFill>
            <w14:solidFill>
              <w14:schemeClr w14:val="tx1"/>
            </w14:solidFill>
          </w14:textFill>
        </w:rPr>
        <w:t>与项目预算</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_Toc6609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1DCE9B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_Toc23857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三、供应商资格要求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_Toc23857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B0D8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_Toc11958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四、比选有关说明</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_Toc11958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A09181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_Toc29866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五、本项目无需购买比选文件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_Toc29866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43A65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_Toc2806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六、其它有关规定</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_Toc2806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CDE6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_Toc9130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七</w:t>
      </w:r>
      <w:r>
        <w:rPr>
          <w:rFonts w:hint="eastAsia" w:ascii="宋体" w:hAnsi="宋体" w:eastAsia="宋体" w:cs="宋体"/>
          <w:color w:val="000000" w:themeColor="text1"/>
          <w:szCs w:val="24"/>
          <w:shd w:val="clear" w:color="auto" w:fill="auto"/>
          <w14:textFill>
            <w14:solidFill>
              <w14:schemeClr w14:val="tx1"/>
            </w14:solidFill>
          </w14:textFill>
        </w:rPr>
        <w:t>、联系方式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_Toc9130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51ECB57">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_Toc22321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_Toc22321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D11820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_Toc11386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一、比选费用</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_Toc11386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D70E41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_Toc8430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_Toc8430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45AB1F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_Toc23254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三、比选要求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_Toc23254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993C3E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_Toc19143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四、比选程序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_Toc19143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335000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_Toc14247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五、评审依据</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_Toc14247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6C5212F">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六、成交原则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DF3A43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_Toc7135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七、成交通知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_Toc7135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11</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4C52E46">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_Toc12880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八、关于质疑和投诉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_Toc12880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12</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4D57AC1">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_Toc5728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九、签订合同</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_Toc5728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EA2412">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十、其他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CFFE3B">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_Toc11770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_Toc11770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917EE0">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项目概况</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50ABF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_Toc18590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w:t>
      </w:r>
      <w:r>
        <w:rPr>
          <w:rFonts w:hint="eastAsia" w:ascii="宋体" w:hAnsi="宋体" w:eastAsia="宋体" w:cs="宋体"/>
          <w:color w:val="000000" w:themeColor="text1"/>
          <w:szCs w:val="24"/>
          <w:shd w:val="clear" w:color="auto" w:fill="auto"/>
          <w:lang w:eastAsia="zh-CN"/>
          <w14:textFill>
            <w14:solidFill>
              <w14:schemeClr w14:val="tx1"/>
            </w14:solidFill>
          </w14:textFill>
        </w:rPr>
        <w:t>需</w:t>
      </w:r>
      <w:r>
        <w:rPr>
          <w:rFonts w:hint="eastAsia" w:ascii="宋体" w:hAnsi="宋体" w:eastAsia="宋体" w:cs="宋体"/>
          <w:color w:val="000000" w:themeColor="text1"/>
          <w:szCs w:val="24"/>
          <w:shd w:val="clear" w:color="auto" w:fill="auto"/>
          <w14:textFill>
            <w14:solidFill>
              <w14:schemeClr w14:val="tx1"/>
            </w14:solidFill>
          </w14:textFill>
        </w:rPr>
        <w:t>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_Toc18590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6D2F55">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_Toc28327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_Toc28327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35E20D8">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_Toc2302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_Toc2302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7330D7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_Toc26361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二</w:t>
      </w:r>
      <w:r>
        <w:rPr>
          <w:rFonts w:hint="eastAsia" w:ascii="宋体" w:hAnsi="宋体" w:eastAsia="宋体" w:cs="宋体"/>
          <w:color w:val="000000" w:themeColor="text1"/>
          <w:szCs w:val="24"/>
          <w:shd w:val="clear" w:color="auto" w:fill="auto"/>
          <w14:textFill>
            <w14:solidFill>
              <w14:schemeClr w14:val="tx1"/>
            </w14:solidFill>
          </w14:textFill>
        </w:rPr>
        <w:t>、</w:t>
      </w:r>
      <w:r>
        <w:rPr>
          <w:rFonts w:hint="eastAsia" w:ascii="宋体" w:hAnsi="宋体" w:eastAsia="宋体" w:cs="宋体"/>
          <w:color w:val="000000" w:themeColor="text1"/>
          <w:szCs w:val="24"/>
          <w:shd w:val="clear" w:color="auto" w:fill="auto"/>
          <w:lang w:eastAsia="zh-CN"/>
          <w14:textFill>
            <w14:solidFill>
              <w14:schemeClr w14:val="tx1"/>
            </w14:solidFill>
          </w14:textFill>
        </w:rPr>
        <w:t>知识产权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_Toc26361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127ABF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_Toc7358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三</w:t>
      </w:r>
      <w:r>
        <w:rPr>
          <w:rFonts w:hint="eastAsia" w:ascii="宋体" w:hAnsi="宋体" w:eastAsia="宋体" w:cs="宋体"/>
          <w:color w:val="000000" w:themeColor="text1"/>
          <w:szCs w:val="24"/>
          <w:shd w:val="clear" w:color="auto" w:fill="auto"/>
          <w14:textFill>
            <w14:solidFill>
              <w14:schemeClr w14:val="tx1"/>
            </w14:solidFill>
          </w14:textFill>
        </w:rPr>
        <w:t>、其他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_Toc7358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7FE2E0">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_Toc14840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_Toc14840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2D119B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_Toc30815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一、定义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_Toc30815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44C3C3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_Toc17879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w:t>
      </w:r>
      <w:r>
        <w:rPr>
          <w:rFonts w:hint="eastAsia" w:ascii="宋体" w:hAnsi="宋体" w:eastAsia="宋体" w:cs="宋体"/>
          <w:color w:val="000000" w:themeColor="text1"/>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Cs w:val="24"/>
          <w:shd w:val="clear" w:color="auto" w:fill="auto"/>
          <w14:textFill>
            <w14:solidFill>
              <w14:schemeClr w14:val="tx1"/>
            </w14:solidFill>
          </w14:textFill>
        </w:rPr>
        <w:t>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_Toc17879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05BEB5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_Toc8853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三、合同价格</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_Toc8853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15E0DD">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_Toc24410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四、转包或分包</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_Toc24410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E1E0B90">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_Toc2241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五、质量保证及售后服务</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_Toc2241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185E2D1">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_Toc9053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六、付款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_Toc9053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F845E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_Toc11586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七</w:t>
      </w:r>
      <w:r>
        <w:rPr>
          <w:rFonts w:hint="eastAsia" w:ascii="宋体" w:hAnsi="宋体" w:eastAsia="宋体" w:cs="宋体"/>
          <w:color w:val="000000" w:themeColor="text1"/>
          <w:szCs w:val="24"/>
          <w:shd w:val="clear" w:color="auto" w:fill="auto"/>
          <w14:textFill>
            <w14:solidFill>
              <w14:schemeClr w14:val="tx1"/>
            </w14:solidFill>
          </w14:textFill>
        </w:rPr>
        <w:t>、合同争议的解决</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_Toc11586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3C630B">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_Toc26580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八</w:t>
      </w:r>
      <w:r>
        <w:rPr>
          <w:rFonts w:hint="eastAsia" w:ascii="宋体" w:hAnsi="宋体" w:eastAsia="宋体" w:cs="宋体"/>
          <w:color w:val="000000" w:themeColor="text1"/>
          <w:szCs w:val="24"/>
          <w:shd w:val="clear" w:color="auto" w:fill="auto"/>
          <w14:textFill>
            <w14:solidFill>
              <w14:schemeClr w14:val="tx1"/>
            </w14:solidFill>
          </w14:textFill>
        </w:rPr>
        <w:t>、违约责任</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_Toc26580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F2B0032">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_Toc16142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九</w:t>
      </w:r>
      <w:r>
        <w:rPr>
          <w:rFonts w:hint="eastAsia" w:ascii="宋体" w:hAnsi="宋体" w:eastAsia="宋体" w:cs="宋体"/>
          <w:color w:val="000000" w:themeColor="text1"/>
          <w:szCs w:val="24"/>
          <w:shd w:val="clear" w:color="auto" w:fill="auto"/>
          <w14:textFill>
            <w14:solidFill>
              <w14:schemeClr w14:val="tx1"/>
            </w14:solidFill>
          </w14:textFill>
        </w:rPr>
        <w:t>、合同生效及其它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_Toc16142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2D0DED4">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_Toc13696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_Toc13696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AEA010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_Toc27382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一、经济部分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_Toc27382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B98A428">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_Toc6305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_Toc6305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5EDB1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_Toc7207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三、商务部分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_Toc7207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1E117BF">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_Toc18417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四、资格条件及其他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_Toc18417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3CF481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_Toc19884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五、其他应提供的资料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_Toc19884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20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85A0322">
      <w:pPr>
        <w:jc w:val="both"/>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_Toc23716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19BBA0A7">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_Toc23716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3F492CA">
      <w:pPr>
        <w:tabs>
          <w:tab w:val="right" w:leader="dot" w:pos="9402"/>
        </w:tabs>
        <w:spacing w:line="480" w:lineRule="exact"/>
        <w:ind w:left="420" w:leftChars="200"/>
        <w:rPr>
          <w:rFonts w:hint="eastAsia" w:ascii="宋体" w:hAnsi="宋体" w:eastAsia="宋体" w:cs="宋体"/>
          <w:color w:val="000000" w:themeColor="text1"/>
          <w:sz w:val="18"/>
          <w:shd w:val="clear" w:color="auto" w:fill="auto"/>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25875"/>
      <w:bookmarkStart w:id="1" w:name="_Toc12789052"/>
      <w:bookmarkStart w:id="2" w:name="_Toc485108766"/>
      <w:bookmarkStart w:id="3" w:name="_Toc11641050"/>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4" w:name="_Toc317775178"/>
      <w:bookmarkStart w:id="5"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负荷开关及直流屏电池更换服务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3893526"/>
      <w:bookmarkStart w:id="7" w:name="_Toc317775175"/>
      <w:bookmarkStart w:id="8" w:name="_Toc485108767"/>
      <w:bookmarkStart w:id="9" w:name="_Toc28443"/>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6"/>
      <w:bookmarkEnd w:id="7"/>
      <w:bookmarkEnd w:id="8"/>
      <w:bookmarkEnd w:id="9"/>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负荷开关及直流屏电池更换服务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0" w:name="_Toc6609"/>
      <w:bookmarkStart w:id="11"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0"/>
      <w:bookmarkEnd w:id="1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：自筹资金,项目预算：30000元。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 w:name="_Toc485108769"/>
      <w:bookmarkStart w:id="13"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2"/>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3"/>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4"/>
      <w:bookmarkEnd w:id="5"/>
      <w:bookmarkStart w:id="14" w:name="_Toc6"/>
      <w:bookmarkStart w:id="15" w:name="_Toc11958"/>
      <w:bookmarkStart w:id="16" w:name="_Toc485108774"/>
      <w:bookmarkStart w:id="17" w:name="_Toc102227313"/>
    </w:p>
    <w:p w14:paraId="2C5F7142">
      <w:pPr>
        <w:spacing w:line="48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有效的三证合一营业执照、建筑业企业资质证书（电力工程施工总承包叁级及以上）、安全生产许可证、承装（修、试）电力设施许可证。</w:t>
      </w:r>
    </w:p>
    <w:p w14:paraId="54D434CB">
      <w:pPr>
        <w:pStyle w:val="3"/>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4"/>
      <w:bookmarkEnd w:id="1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bookmarkStart w:id="161" w:name="_GoBack"/>
      <w:bookmarkEnd w:id="161"/>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8"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18"/>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9"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19"/>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0"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0"/>
      <w:bookmarkStart w:id="21" w:name="_Toc54718176"/>
      <w:bookmarkStart w:id="22" w:name="_Toc373860294"/>
      <w:bookmarkStart w:id="23" w:name="_Toc54171062"/>
    </w:p>
    <w:bookmarkEnd w:id="21"/>
    <w:bookmarkEnd w:id="22"/>
    <w:bookmarkEnd w:id="23"/>
    <w:p w14:paraId="1FD6A981">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24" w:name="_Toc2806"/>
      <w:bookmarkStart w:id="25"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4"/>
      <w:bookmarkEnd w:id="25"/>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9130"/>
      <w:bookmarkStart w:id="27"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6"/>
      <w:bookmarkEnd w:id="27"/>
    </w:p>
    <w:bookmarkEnd w:id="16"/>
    <w:bookmarkEnd w:id="17"/>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bookmarkEnd w:id="28"/>
    </w:p>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pStyle w:val="2"/>
        <w:bidi w:val="0"/>
        <w:jc w:val="center"/>
        <w:rPr>
          <w:rFonts w:hint="eastAsia" w:ascii="宋体" w:hAnsi="宋体" w:eastAsia="宋体" w:cs="宋体"/>
          <w:b/>
          <w:bCs/>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29"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29"/>
    </w:p>
    <w:p w14:paraId="7768EA36">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0"/>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rPr>
          <w:rFonts w:hint="eastAsia" w:ascii="宋体" w:hAnsi="宋体" w:eastAsia="宋体" w:cs="宋体"/>
          <w:color w:val="000000" w:themeColor="text1"/>
          <w:shd w:val="clear" w:color="auto" w:fill="auto"/>
          <w14:textFill>
            <w14:solidFill>
              <w14:schemeClr w14:val="tx1"/>
            </w14:solidFill>
          </w14:textFill>
        </w:rPr>
      </w:pPr>
      <w:bookmarkStart w:id="31"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1"/>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32"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2"/>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4A731115">
      <w:pPr>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报价为包干价，包含但不限于拆旧费、改造费、货款、安装费、调试费、人工费、税金等所有费用。</w:t>
      </w:r>
      <w:r>
        <w:rPr>
          <w:rFonts w:hint="eastAsia" w:ascii="宋体" w:hAnsi="宋体" w:eastAsia="宋体" w:cs="宋体"/>
          <w:color w:val="FF0000"/>
          <w:sz w:val="24"/>
          <w:szCs w:val="24"/>
          <w:shd w:val="clear" w:color="auto" w:fill="auto"/>
          <w:lang w:val="en-US" w:eastAsia="zh-CN"/>
        </w:rPr>
        <w:t>(报价表见第六章)</w:t>
      </w:r>
      <w:r>
        <w:rPr>
          <w:rFonts w:hint="eastAsia" w:ascii="宋体" w:hAnsi="宋体" w:eastAsia="宋体" w:cs="宋体"/>
          <w:color w:val="FF0000"/>
          <w:sz w:val="24"/>
          <w:szCs w:val="24"/>
          <w:shd w:val="clear" w:color="auto" w:fill="auto"/>
        </w:rPr>
        <w:t>。</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3" w:name="OLE_LINK9"/>
      <w:bookmarkStart w:id="34" w:name="OLE_LINK8"/>
      <w:bookmarkStart w:id="35" w:name="OLE_LINK3"/>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3"/>
    <w:bookmarkEnd w:id="34"/>
    <w:bookmarkEnd w:id="35"/>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18122"/>
      <w:bookmarkStart w:id="37" w:name="_Toc342913393"/>
      <w:bookmarkStart w:id="38" w:name="_Toc179714298"/>
      <w:bookmarkStart w:id="39" w:name="_Toc102227319"/>
      <w:bookmarkStart w:id="40" w:name="_Toc19143"/>
      <w:bookmarkStart w:id="41" w:name="_Toc403569780"/>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36"/>
      <w:bookmarkEnd w:id="37"/>
      <w:bookmarkEnd w:id="38"/>
      <w:bookmarkEnd w:id="39"/>
      <w:bookmarkEnd w:id="40"/>
      <w:bookmarkEnd w:id="41"/>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Align w:val="center"/>
          </w:tcPr>
          <w:p w14:paraId="2651D616">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或202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3</w:t>
            </w:r>
            <w:r>
              <w:rPr>
                <w:rFonts w:hint="eastAsia" w:ascii="宋体" w:hAnsi="宋体" w:eastAsia="宋体" w:cs="宋体"/>
                <w:color w:val="000000" w:themeColor="text1"/>
                <w:szCs w:val="21"/>
                <w:shd w:val="clear" w:color="auto" w:fill="auto"/>
                <w14:textFill>
                  <w14:solidFill>
                    <w14:schemeClr w14:val="tx1"/>
                  </w14:solidFill>
                </w14:textFill>
              </w:rPr>
              <w:t>年度财务状况报告（表）或其基本开户银行出具的资信证明（提供复印件）。</w:t>
            </w:r>
          </w:p>
          <w:p w14:paraId="53355760">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2.本年度新成立或成立不满一年的组织和自然人无法提供财务状况报告（表）的，可提供银行出具的资信证明（提供复印件）。</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供应商提供书面声明或相关证明材料（见格式文件）。</w:t>
            </w: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Align w:val="center"/>
          </w:tcPr>
          <w:p w14:paraId="1BA58B19">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1.税务登记证（副本）（提供复印件）。</w:t>
            </w:r>
          </w:p>
          <w:p w14:paraId="6E7EB7A1">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2.缴纳社会保障金的证明材料（提供复印件）【缴纳社会保障金的证明材料指：社会保险登记证或缴纳社会保险的凭据（专用收据或社会保险缴纳清单）】。</w:t>
            </w:r>
          </w:p>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3.依法免税或不需要缴纳社会保障资金的供应商，应提供相应文件证明其依法免税或不需要缴纳社会保障资金（提供复印件）。</w:t>
            </w: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Align w:val="center"/>
          </w:tcPr>
          <w:p w14:paraId="0794CB7C">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1.供应商提供书面声明（见格式文件）</w:t>
            </w:r>
          </w:p>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r>
              <w:rPr>
                <w:rFonts w:hint="eastAsia" w:ascii="宋体" w:hAnsi="宋体" w:eastAsia="宋体" w:cs="宋体"/>
                <w:b/>
                <w:color w:val="000000" w:themeColor="text1"/>
                <w:szCs w:val="21"/>
                <w:shd w:val="clear" w:color="auto" w:fill="auto"/>
                <w14:textFill>
                  <w14:solidFill>
                    <w14:schemeClr w14:val="tx1"/>
                  </w14:solidFill>
                </w14:textFill>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2" w:name="_Toc14247"/>
      <w:bookmarkStart w:id="43" w:name="_Toc403569781"/>
      <w:bookmarkStart w:id="44" w:name="_Toc28776"/>
      <w:bookmarkStart w:id="45" w:name="_Toc102227320"/>
      <w:bookmarkStart w:id="46"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2"/>
      <w:bookmarkEnd w:id="43"/>
      <w:bookmarkEnd w:id="44"/>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7" w:name="_Toc403569782"/>
      <w:bookmarkStart w:id="48" w:name="_Toc14816"/>
      <w:bookmarkStart w:id="49"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5"/>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46"/>
      <w:bookmarkEnd w:id="47"/>
      <w:bookmarkEnd w:id="48"/>
      <w:bookmarkEnd w:id="49"/>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0" w:name="_Toc7135"/>
      <w:bookmarkStart w:id="51" w:name="_Toc403569783"/>
      <w:bookmarkStart w:id="52" w:name="_Toc3212"/>
      <w:bookmarkStart w:id="53" w:name="_Toc342913395"/>
      <w:bookmarkStart w:id="54" w:name="_Toc102227321"/>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0"/>
      <w:bookmarkEnd w:id="51"/>
      <w:bookmarkEnd w:id="52"/>
      <w:bookmarkEnd w:id="53"/>
      <w:bookmarkEnd w:id="54"/>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5" w:name="_Toc403569784"/>
      <w:bookmarkStart w:id="56" w:name="_Toc17413"/>
      <w:bookmarkStart w:id="57" w:name="_Toc12880"/>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5"/>
      <w:bookmarkEnd w:id="56"/>
      <w:bookmarkEnd w:id="57"/>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58" w:name="_Toc102227322"/>
      <w:bookmarkStart w:id="59" w:name="_Toc342913396"/>
      <w:bookmarkStart w:id="60" w:name="_Toc403569785"/>
      <w:bookmarkStart w:id="61"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58"/>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59"/>
      <w:bookmarkEnd w:id="60"/>
      <w:bookmarkEnd w:id="61"/>
      <w:bookmarkEnd w:id="62"/>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7C9A12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3F1D6D2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B4430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A5B576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EC3EF2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634E9D2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pStyle w:val="2"/>
        <w:jc w:val="both"/>
        <w:rPr>
          <w:rFonts w:hint="eastAsia" w:ascii="宋体" w:hAnsi="宋体" w:eastAsia="宋体" w:cs="宋体"/>
          <w:b/>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3" w:name="_Toc11770"/>
      <w:bookmarkStart w:id="64"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3"/>
      <w:bookmarkEnd w:id="64"/>
    </w:p>
    <w:p w14:paraId="53EC4B1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5" w:name="_Toc485108787"/>
      <w:bookmarkStart w:id="66" w:name="_Toc28327"/>
      <w:bookmarkStart w:id="67" w:name="_Toc12789058"/>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1051AED4">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1.项目内容：更换老教学部负荷开关、兴龙湖院区全科楼配电室直流屏电池。</w:t>
      </w:r>
    </w:p>
    <w:p w14:paraId="24A35E4E">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rPr>
        <w:t>.服务方需根据采购方要求完成所有更换工作，并完成调试，保证正常运行；拆除后的旧设施由服务方自行处理。</w:t>
      </w:r>
    </w:p>
    <w:p w14:paraId="3D268145">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rPr>
        <w:t>.服务方编制改造的方案应具有科学性和可操作性，且符合医院运行需求，严格按照电力操作流程实施改造。服务方负责与供电部门联系办理高压停送电事项。</w:t>
      </w:r>
    </w:p>
    <w:p w14:paraId="6D2124C5">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rPr>
        <w:t>.施工人员须具备相应的从业资质，开展各项工作须符合国家及行业的相关标准、规程及要求。</w:t>
      </w:r>
    </w:p>
    <w:p w14:paraId="14835B49">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5</w:t>
      </w:r>
      <w:r>
        <w:rPr>
          <w:rFonts w:hint="eastAsia" w:ascii="宋体" w:hAnsi="宋体" w:eastAsia="宋体" w:cs="宋体"/>
          <w:color w:val="FF0000"/>
          <w:sz w:val="24"/>
          <w:szCs w:val="24"/>
          <w:shd w:val="clear" w:color="auto" w:fill="auto"/>
        </w:rPr>
        <w:t>.在施工过程中，服务方应采取有效的安全措施，佩戴相应安全防护用品，保证施工人员和其他人员的人身安全，并承担因安全事故导致的一切经济和法律责任。如有损坏财产须照价赔偿。</w:t>
      </w:r>
    </w:p>
    <w:p w14:paraId="521F6F60">
      <w:pPr>
        <w:snapToGrid w:val="0"/>
        <w:spacing w:line="400" w:lineRule="exact"/>
        <w:ind w:firstLine="540"/>
        <w:rPr>
          <w:rFonts w:hint="eastAsia" w:ascii="宋体" w:hAnsi="宋体" w:eastAsia="宋体" w:cs="宋体"/>
          <w:color w:val="FF0000"/>
          <w:sz w:val="24"/>
          <w:szCs w:val="24"/>
          <w:shd w:val="clear" w:color="auto" w:fill="auto"/>
          <w:lang w:val="en-US" w:eastAsia="zh-CN"/>
        </w:rPr>
      </w:pPr>
    </w:p>
    <w:p w14:paraId="261FE373">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0196F2E">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70D7B5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C751D4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0F3BE6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DD9DF3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3C415B1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EBC5D8B">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F0B40D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64F6259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1931A9A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26C9C45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A16E33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2B9D9FD">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82E2DA2">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553DA0F">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C58BC36">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23EFFF9">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65"/>
      <w:bookmarkEnd w:id="66"/>
      <w:bookmarkEnd w:id="67"/>
      <w:bookmarkStart w:id="68" w:name="_Toc11641055"/>
      <w:bookmarkStart w:id="69" w:name="_Toc12789059"/>
    </w:p>
    <w:p w14:paraId="5642FEE9">
      <w:pPr>
        <w:pStyle w:val="3"/>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0" w:name="_Toc11645"/>
      <w:bookmarkStart w:id="71" w:name="_Toc7358"/>
      <w:bookmarkStart w:id="72" w:name="_Toc403569795"/>
      <w:bookmarkStart w:id="73" w:name="_Toc485108793"/>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59247508">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.现场勘查：服务方统一进行现场勘查，联系人：杨老师，电话：13594380905。</w:t>
      </w:r>
    </w:p>
    <w:p w14:paraId="0DEC3510">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rPr>
        <w:t>.工期要求：合同签订后3日内完成，具体时间以采购方电话通知为准。</w:t>
      </w:r>
    </w:p>
    <w:p w14:paraId="5D18A807">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rPr>
        <w:t xml:space="preserve">.产品质量：采购的产品为正规厂家生产的全新合格产品，产品质量须符合国家相关的产品质量标准及要求，提供产品检验报告或合格证明。 </w:t>
      </w:r>
    </w:p>
    <w:p w14:paraId="0E69EEC1">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rPr>
        <w:t>.质保期限：3年及以上。</w:t>
      </w:r>
    </w:p>
    <w:p w14:paraId="383AF425">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5</w:t>
      </w:r>
      <w:r>
        <w:rPr>
          <w:rFonts w:hint="eastAsia" w:ascii="宋体" w:hAnsi="宋体" w:eastAsia="宋体" w:cs="宋体"/>
          <w:color w:val="FF0000"/>
          <w:sz w:val="24"/>
          <w:szCs w:val="24"/>
          <w:shd w:val="clear" w:color="auto" w:fill="auto"/>
        </w:rPr>
        <w:t>.验收方式：设施安装调试完成后，双方组织共同验收，服务方需移交检验报告或产品合格证等材料，以及所用材料清单，验收完成后双方人员签字确认。</w:t>
      </w:r>
    </w:p>
    <w:p w14:paraId="755C4426">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6</w:t>
      </w:r>
      <w:r>
        <w:rPr>
          <w:rFonts w:hint="eastAsia" w:ascii="宋体" w:hAnsi="宋体" w:eastAsia="宋体" w:cs="宋体"/>
          <w:color w:val="FF0000"/>
          <w:sz w:val="24"/>
          <w:szCs w:val="24"/>
          <w:shd w:val="clear" w:color="auto" w:fill="auto"/>
        </w:rPr>
        <w:t>.付款方式：合同签订后服务方向采购方转账支付合同金额的8%作为履约保证金。采购方凭验收资料和合法发票后60日内转账支付合同价款，履约保证金在质保期满后60日内无息支付。</w:t>
      </w:r>
    </w:p>
    <w:p w14:paraId="3DC80111">
      <w:pPr>
        <w:snapToGrid w:val="0"/>
        <w:spacing w:line="400" w:lineRule="exact"/>
        <w:ind w:firstLine="480" w:firstLineChars="200"/>
        <w:jc w:val="left"/>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7</w:t>
      </w:r>
      <w:r>
        <w:rPr>
          <w:rFonts w:hint="eastAsia" w:ascii="宋体" w:hAnsi="宋体" w:eastAsia="宋体" w:cs="宋体"/>
          <w:color w:val="FF0000"/>
          <w:sz w:val="24"/>
          <w:szCs w:val="24"/>
          <w:shd w:val="clear" w:color="auto" w:fill="auto"/>
        </w:rPr>
        <w:t>.售后服务：服务方接到采购方通知后应立即响应，电话咨询不能解决的应在1小时内安排技术人员到达现场处理，直至解除设备故障。质保期内免费维修、更换，质保期外提供售后维修服务只收取配件费。服务方提供有效的维修联系人和电话，如有变更，应及时通知采购方。</w:t>
      </w:r>
    </w:p>
    <w:p w14:paraId="5235ADB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0"/>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1"/>
      <w:bookmarkEnd w:id="72"/>
      <w:bookmarkEnd w:id="73"/>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68"/>
      <w:bookmarkEnd w:id="69"/>
      <w:bookmarkStart w:id="74" w:name="_Toc403569796"/>
      <w:bookmarkStart w:id="75" w:name="_Toc14840"/>
      <w:bookmarkStart w:id="76" w:name="_Toc485108794"/>
      <w:bookmarkStart w:id="77" w:name="_Toc303945820"/>
      <w:bookmarkStart w:id="7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74"/>
      <w:bookmarkEnd w:id="75"/>
      <w:bookmarkEnd w:id="76"/>
    </w:p>
    <w:p w14:paraId="5E46A35E">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79" w:name="_Toc30815"/>
      <w:bookmarkStart w:id="8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79"/>
      <w:bookmarkEnd w:id="8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8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8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8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8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85"/>
    </w:p>
    <w:p w14:paraId="484E102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6" w:name="_Toc54718203"/>
      <w:bookmarkStart w:id="87"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86"/>
      <w:bookmarkEnd w:id="8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8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54718204"/>
      <w:bookmarkStart w:id="90"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89"/>
      <w:bookmarkEnd w:id="9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25177"/>
      <w:bookmarkStart w:id="9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9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93"/>
    </w:p>
    <w:p w14:paraId="16BE7E9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92"/>
      <w:bookmarkEnd w:id="9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9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9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97"/>
    </w:p>
    <w:p w14:paraId="0E692A8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241"/>
      <w:bookmarkStart w:id="99"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98"/>
      <w:bookmarkEnd w:id="9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00" w:name="_Toc12985"/>
      <w:bookmarkStart w:id="10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0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01"/>
    </w:p>
    <w:p w14:paraId="318F8000">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2" w:name="_Toc54718207"/>
      <w:bookmarkStart w:id="103"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02"/>
      <w:bookmarkEnd w:id="10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0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0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06"/>
    </w:p>
    <w:p w14:paraId="0105B42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586"/>
      <w:bookmarkStart w:id="108"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07"/>
      <w:bookmarkEnd w:id="10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0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1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1"/>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11" w:name="_Toc54718210"/>
      <w:bookmarkStart w:id="112" w:name="_Toc31719"/>
      <w:bookmarkStart w:id="113" w:name="_Toc26580"/>
      <w:bookmarkStart w:id="11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11"/>
      <w:bookmarkEnd w:id="11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1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16"/>
    </w:p>
    <w:p w14:paraId="7F490E8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13"/>
      <w:bookmarkEnd w:id="11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17"/>
      <w:bookmarkEnd w:id="11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1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2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2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2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23"/>
    </w:p>
    <w:bookmarkEnd w:id="77"/>
    <w:bookmarkEnd w:id="7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24" w:name="_Hlt41879464"/>
      <w:bookmarkEnd w:id="124"/>
      <w:bookmarkStart w:id="125" w:name="_Toc12789072"/>
      <w:bookmarkStart w:id="126" w:name="_Toc485108795"/>
      <w:bookmarkStart w:id="127" w:name="_Toc13696"/>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25"/>
      <w:bookmarkEnd w:id="126"/>
      <w:bookmarkEnd w:id="127"/>
    </w:p>
    <w:p w14:paraId="3475141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28"/>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29"/>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30"/>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38358147"/>
      <w:bookmarkStart w:id="132" w:name="OLE_LINK11"/>
      <w:bookmarkStart w:id="133"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31"/>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34"/>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74F8954D">
      <w:pPr>
        <w:snapToGrid w:val="0"/>
        <w:spacing w:line="400" w:lineRule="exact"/>
        <w:ind w:firstLine="480" w:firstLineChars="200"/>
        <w:rPr>
          <w:rFonts w:hint="eastAsia" w:ascii="宋体" w:hAnsi="宋体" w:eastAsia="宋体" w:cs="宋体"/>
          <w:color w:val="000000" w:themeColor="text1"/>
          <w:sz w:val="24"/>
          <w:szCs w:val="24"/>
          <w:highlight w:val="yellow"/>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78AB033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（六）书面声明（格式）</w:t>
      </w:r>
    </w:p>
    <w:p w14:paraId="787ABABD">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（七）税务登记证（副本）复印件</w:t>
      </w:r>
    </w:p>
    <w:p w14:paraId="212D4CC9">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35"/>
    </w:p>
    <w:p w14:paraId="4D84AFC8">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p>
    <w:bookmarkEnd w:id="132"/>
    <w:bookmarkEnd w:id="133"/>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firstLineChars="0"/>
        <w:rPr>
          <w:rFonts w:hint="eastAsia" w:ascii="宋体" w:hAnsi="宋体" w:eastAsia="宋体" w:cs="宋体"/>
          <w:b/>
          <w:color w:val="000000" w:themeColor="text1"/>
          <w:shd w:val="clear" w:color="auto" w:fill="auto"/>
          <w14:textFill>
            <w14:solidFill>
              <w14:schemeClr w14:val="tx1"/>
            </w14:solidFill>
          </w14:textFill>
        </w:rPr>
      </w:pPr>
      <w:bookmarkStart w:id="136" w:name="_Toc485108796"/>
      <w:bookmarkStart w:id="137" w:name="_Toc342913419"/>
      <w:bookmarkStart w:id="138" w:name="_Toc480979018"/>
      <w:bookmarkStart w:id="139" w:name="_Toc313008356"/>
      <w:bookmarkStart w:id="140" w:name="_Toc313888360"/>
      <w:bookmarkStart w:id="141" w:name="_Toc12789073"/>
      <w:bookmarkStart w:id="142"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36"/>
      <w:bookmarkEnd w:id="137"/>
      <w:bookmarkEnd w:id="138"/>
      <w:bookmarkEnd w:id="139"/>
      <w:bookmarkEnd w:id="140"/>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41"/>
    <w:bookmarkEnd w:id="142"/>
    <w:p w14:paraId="6B701359">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0"/>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4336C80E">
      <w:pPr>
        <w:pStyle w:val="52"/>
        <w:spacing w:before="0" w:beforeAutospacing="0" w:after="0" w:afterAutospacing="0" w:line="560" w:lineRule="exact"/>
        <w:jc w:val="center"/>
        <w:rPr>
          <w:rFonts w:ascii="方正仿宋_GBK" w:hAnsi="方正仿宋_GBK" w:eastAsia="方正仿宋_GBK" w:cs="方正仿宋_GBK"/>
          <w:sz w:val="32"/>
          <w:szCs w:val="32"/>
        </w:rPr>
      </w:pPr>
      <w:bookmarkStart w:id="143" w:name="_Toc485108797"/>
      <w:bookmarkStart w:id="144" w:name="_Toc313888361"/>
      <w:bookmarkStart w:id="145" w:name="_Toc480979019"/>
      <w:bookmarkStart w:id="146" w:name="_Toc342913420"/>
      <w:bookmarkStart w:id="147" w:name="_Toc313008357"/>
      <w:r>
        <w:rPr>
          <w:rFonts w:hint="eastAsia" w:ascii="方正仿宋_GBK" w:hAnsi="方正仿宋_GBK" w:eastAsia="方正仿宋_GBK" w:cs="方正仿宋_GBK"/>
          <w:sz w:val="32"/>
          <w:szCs w:val="32"/>
        </w:rPr>
        <w:t>报价表</w:t>
      </w:r>
    </w:p>
    <w:tbl>
      <w:tblPr>
        <w:tblStyle w:val="59"/>
        <w:tblW w:w="11192" w:type="dxa"/>
        <w:jc w:val="center"/>
        <w:tblLayout w:type="fixed"/>
        <w:tblCellMar>
          <w:top w:w="0" w:type="dxa"/>
          <w:left w:w="108" w:type="dxa"/>
          <w:bottom w:w="0" w:type="dxa"/>
          <w:right w:w="108" w:type="dxa"/>
        </w:tblCellMar>
      </w:tblPr>
      <w:tblGrid>
        <w:gridCol w:w="663"/>
        <w:gridCol w:w="1480"/>
        <w:gridCol w:w="760"/>
        <w:gridCol w:w="760"/>
        <w:gridCol w:w="758"/>
        <w:gridCol w:w="760"/>
        <w:gridCol w:w="760"/>
        <w:gridCol w:w="760"/>
        <w:gridCol w:w="760"/>
        <w:gridCol w:w="1152"/>
        <w:gridCol w:w="1244"/>
        <w:gridCol w:w="1335"/>
      </w:tblGrid>
      <w:tr w14:paraId="63BA2C02">
        <w:tblPrEx>
          <w:tblCellMar>
            <w:top w:w="0" w:type="dxa"/>
            <w:left w:w="108" w:type="dxa"/>
            <w:bottom w:w="0" w:type="dxa"/>
            <w:right w:w="108" w:type="dxa"/>
          </w:tblCellMar>
        </w:tblPrEx>
        <w:trPr>
          <w:trHeight w:val="567" w:hRule="atLeast"/>
          <w:jc w:val="center"/>
        </w:trPr>
        <w:tc>
          <w:tcPr>
            <w:tcW w:w="6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CDFAAA">
            <w:pPr>
              <w:widowControl/>
              <w:jc w:val="center"/>
              <w:rPr>
                <w:rFonts w:eastAsia="方正仿宋_GBK"/>
                <w:kern w:val="0"/>
                <w:sz w:val="24"/>
              </w:rPr>
            </w:pPr>
            <w:r>
              <w:rPr>
                <w:rFonts w:eastAsia="方正仿宋_GBK"/>
                <w:kern w:val="0"/>
                <w:sz w:val="24"/>
              </w:rPr>
              <w:t>序号</w:t>
            </w:r>
          </w:p>
        </w:tc>
        <w:tc>
          <w:tcPr>
            <w:tcW w:w="1480" w:type="dxa"/>
            <w:tcBorders>
              <w:top w:val="single" w:color="auto" w:sz="4" w:space="0"/>
              <w:left w:val="nil"/>
              <w:bottom w:val="single" w:color="auto" w:sz="4" w:space="0"/>
              <w:right w:val="single" w:color="auto" w:sz="4" w:space="0"/>
            </w:tcBorders>
            <w:shd w:val="clear" w:color="auto" w:fill="auto"/>
            <w:noWrap/>
            <w:vAlign w:val="center"/>
          </w:tcPr>
          <w:p w14:paraId="15C0CA80">
            <w:pPr>
              <w:widowControl/>
              <w:jc w:val="center"/>
              <w:rPr>
                <w:rFonts w:eastAsia="方正仿宋_GBK"/>
                <w:kern w:val="0"/>
                <w:sz w:val="24"/>
              </w:rPr>
            </w:pPr>
            <w:r>
              <w:rPr>
                <w:rFonts w:eastAsia="方正仿宋_GBK"/>
                <w:kern w:val="0"/>
                <w:sz w:val="24"/>
              </w:rPr>
              <w:t>名称</w:t>
            </w:r>
          </w:p>
        </w:tc>
        <w:tc>
          <w:tcPr>
            <w:tcW w:w="2278" w:type="dxa"/>
            <w:gridSpan w:val="3"/>
            <w:tcBorders>
              <w:top w:val="single" w:color="auto" w:sz="4" w:space="0"/>
              <w:left w:val="nil"/>
              <w:bottom w:val="single" w:color="auto" w:sz="4" w:space="0"/>
              <w:right w:val="single" w:color="auto" w:sz="4" w:space="0"/>
            </w:tcBorders>
            <w:shd w:val="clear" w:color="auto" w:fill="auto"/>
            <w:noWrap/>
            <w:vAlign w:val="center"/>
          </w:tcPr>
          <w:p w14:paraId="1E16514A">
            <w:pPr>
              <w:widowControl/>
              <w:jc w:val="center"/>
              <w:rPr>
                <w:rFonts w:eastAsia="方正仿宋_GBK"/>
                <w:kern w:val="0"/>
                <w:sz w:val="24"/>
              </w:rPr>
            </w:pPr>
            <w:r>
              <w:rPr>
                <w:rFonts w:eastAsia="方正仿宋_GBK"/>
                <w:kern w:val="0"/>
                <w:sz w:val="24"/>
              </w:rPr>
              <w:t>规格及型号</w:t>
            </w:r>
          </w:p>
        </w:tc>
        <w:tc>
          <w:tcPr>
            <w:tcW w:w="760" w:type="dxa"/>
            <w:tcBorders>
              <w:top w:val="single" w:color="auto" w:sz="4" w:space="0"/>
              <w:left w:val="nil"/>
              <w:bottom w:val="single" w:color="auto" w:sz="4" w:space="0"/>
              <w:right w:val="single" w:color="auto" w:sz="4" w:space="0"/>
            </w:tcBorders>
            <w:vAlign w:val="center"/>
          </w:tcPr>
          <w:p w14:paraId="44A9C7BB">
            <w:pPr>
              <w:widowControl/>
              <w:jc w:val="center"/>
              <w:rPr>
                <w:rFonts w:eastAsia="方正仿宋_GBK"/>
                <w:kern w:val="0"/>
                <w:sz w:val="24"/>
              </w:rPr>
            </w:pPr>
            <w:r>
              <w:rPr>
                <w:rFonts w:eastAsia="方正仿宋_GBK"/>
                <w:kern w:val="0"/>
                <w:sz w:val="24"/>
              </w:rPr>
              <w:t>品牌</w:t>
            </w:r>
          </w:p>
        </w:tc>
        <w:tc>
          <w:tcPr>
            <w:tcW w:w="760" w:type="dxa"/>
            <w:tcBorders>
              <w:top w:val="single" w:color="auto" w:sz="4" w:space="0"/>
              <w:left w:val="single" w:color="auto" w:sz="4" w:space="0"/>
              <w:bottom w:val="single" w:color="auto" w:sz="4" w:space="0"/>
              <w:right w:val="single" w:color="auto" w:sz="4" w:space="0"/>
            </w:tcBorders>
            <w:vAlign w:val="center"/>
          </w:tcPr>
          <w:p w14:paraId="12AADE10">
            <w:pPr>
              <w:widowControl/>
              <w:jc w:val="center"/>
              <w:rPr>
                <w:rFonts w:eastAsia="方正仿宋_GBK"/>
                <w:kern w:val="0"/>
                <w:sz w:val="24"/>
              </w:rPr>
            </w:pPr>
            <w:r>
              <w:rPr>
                <w:rFonts w:eastAsia="方正仿宋_GBK"/>
                <w:kern w:val="0"/>
                <w:sz w:val="24"/>
              </w:rPr>
              <w:t>厂家</w:t>
            </w:r>
          </w:p>
        </w:tc>
        <w:tc>
          <w:tcPr>
            <w:tcW w:w="7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903B57">
            <w:pPr>
              <w:widowControl/>
              <w:jc w:val="center"/>
              <w:rPr>
                <w:rFonts w:eastAsia="方正仿宋_GBK"/>
                <w:kern w:val="0"/>
                <w:sz w:val="24"/>
              </w:rPr>
            </w:pPr>
            <w:r>
              <w:rPr>
                <w:rFonts w:eastAsia="方正仿宋_GBK"/>
                <w:kern w:val="0"/>
                <w:sz w:val="24"/>
              </w:rPr>
              <w:t>单位</w:t>
            </w:r>
          </w:p>
        </w:tc>
        <w:tc>
          <w:tcPr>
            <w:tcW w:w="760" w:type="dxa"/>
            <w:tcBorders>
              <w:top w:val="single" w:color="auto" w:sz="4" w:space="0"/>
              <w:left w:val="nil"/>
              <w:bottom w:val="single" w:color="auto" w:sz="4" w:space="0"/>
              <w:right w:val="single" w:color="auto" w:sz="4" w:space="0"/>
            </w:tcBorders>
            <w:shd w:val="clear" w:color="auto" w:fill="auto"/>
            <w:noWrap/>
            <w:vAlign w:val="center"/>
          </w:tcPr>
          <w:p w14:paraId="6269C3AA">
            <w:pPr>
              <w:widowControl/>
              <w:jc w:val="center"/>
              <w:rPr>
                <w:rFonts w:eastAsia="方正仿宋_GBK"/>
                <w:kern w:val="0"/>
                <w:sz w:val="24"/>
              </w:rPr>
            </w:pPr>
            <w:r>
              <w:rPr>
                <w:rFonts w:eastAsia="方正仿宋_GBK"/>
                <w:kern w:val="0"/>
                <w:sz w:val="24"/>
              </w:rPr>
              <w:t>数量</w:t>
            </w:r>
          </w:p>
        </w:tc>
        <w:tc>
          <w:tcPr>
            <w:tcW w:w="1152" w:type="dxa"/>
            <w:tcBorders>
              <w:top w:val="single" w:color="auto" w:sz="4" w:space="0"/>
              <w:left w:val="nil"/>
              <w:bottom w:val="single" w:color="auto" w:sz="4" w:space="0"/>
              <w:right w:val="single" w:color="auto" w:sz="4" w:space="0"/>
            </w:tcBorders>
            <w:shd w:val="clear" w:color="auto" w:fill="auto"/>
            <w:noWrap/>
            <w:vAlign w:val="center"/>
          </w:tcPr>
          <w:p w14:paraId="317F5936">
            <w:pPr>
              <w:widowControl/>
              <w:jc w:val="center"/>
              <w:rPr>
                <w:rFonts w:eastAsia="方正仿宋_GBK"/>
                <w:kern w:val="0"/>
                <w:sz w:val="24"/>
              </w:rPr>
            </w:pPr>
            <w:r>
              <w:rPr>
                <w:rFonts w:eastAsia="方正仿宋_GBK"/>
                <w:kern w:val="0"/>
                <w:sz w:val="24"/>
              </w:rPr>
              <w:t>单价(元）</w:t>
            </w:r>
          </w:p>
        </w:tc>
        <w:tc>
          <w:tcPr>
            <w:tcW w:w="1244" w:type="dxa"/>
            <w:tcBorders>
              <w:top w:val="single" w:color="auto" w:sz="4" w:space="0"/>
              <w:left w:val="nil"/>
              <w:bottom w:val="single" w:color="auto" w:sz="4" w:space="0"/>
              <w:right w:val="single" w:color="auto" w:sz="4" w:space="0"/>
            </w:tcBorders>
            <w:shd w:val="clear" w:color="auto" w:fill="auto"/>
            <w:noWrap/>
            <w:vAlign w:val="center"/>
          </w:tcPr>
          <w:p w14:paraId="418000FE">
            <w:pPr>
              <w:widowControl/>
              <w:jc w:val="center"/>
              <w:rPr>
                <w:rFonts w:eastAsia="方正仿宋_GBK"/>
                <w:kern w:val="0"/>
                <w:sz w:val="24"/>
              </w:rPr>
            </w:pPr>
            <w:r>
              <w:rPr>
                <w:rFonts w:eastAsia="方正仿宋_GBK"/>
                <w:kern w:val="0"/>
                <w:sz w:val="24"/>
              </w:rPr>
              <w:t>总价（元）</w:t>
            </w:r>
          </w:p>
        </w:tc>
        <w:tc>
          <w:tcPr>
            <w:tcW w:w="1335" w:type="dxa"/>
            <w:tcBorders>
              <w:top w:val="single" w:color="auto" w:sz="4" w:space="0"/>
              <w:left w:val="nil"/>
              <w:bottom w:val="single" w:color="auto" w:sz="4" w:space="0"/>
              <w:right w:val="single" w:color="auto" w:sz="4" w:space="0"/>
            </w:tcBorders>
            <w:shd w:val="clear" w:color="auto" w:fill="auto"/>
            <w:noWrap/>
            <w:vAlign w:val="center"/>
          </w:tcPr>
          <w:p w14:paraId="5F3FE2BE">
            <w:pPr>
              <w:widowControl/>
              <w:jc w:val="center"/>
              <w:rPr>
                <w:rFonts w:eastAsia="方正仿宋_GBK"/>
                <w:kern w:val="0"/>
                <w:sz w:val="24"/>
              </w:rPr>
            </w:pPr>
            <w:r>
              <w:rPr>
                <w:rFonts w:eastAsia="方正仿宋_GBK"/>
                <w:kern w:val="0"/>
                <w:sz w:val="24"/>
              </w:rPr>
              <w:t>备  注</w:t>
            </w:r>
          </w:p>
        </w:tc>
      </w:tr>
      <w:tr w14:paraId="5837DAF3">
        <w:tblPrEx>
          <w:tblCellMar>
            <w:top w:w="0" w:type="dxa"/>
            <w:left w:w="108" w:type="dxa"/>
            <w:bottom w:w="0" w:type="dxa"/>
            <w:right w:w="108" w:type="dxa"/>
          </w:tblCellMar>
        </w:tblPrEx>
        <w:trPr>
          <w:trHeight w:val="567" w:hRule="atLeast"/>
          <w:jc w:val="center"/>
        </w:trPr>
        <w:tc>
          <w:tcPr>
            <w:tcW w:w="663" w:type="dxa"/>
            <w:tcBorders>
              <w:top w:val="nil"/>
              <w:left w:val="single" w:color="auto" w:sz="4" w:space="0"/>
              <w:bottom w:val="single" w:color="auto" w:sz="4" w:space="0"/>
              <w:right w:val="single" w:color="auto" w:sz="4" w:space="0"/>
            </w:tcBorders>
            <w:shd w:val="clear" w:color="auto" w:fill="auto"/>
            <w:noWrap/>
            <w:vAlign w:val="center"/>
          </w:tcPr>
          <w:p w14:paraId="5E30B504">
            <w:pPr>
              <w:widowControl/>
              <w:jc w:val="center"/>
              <w:rPr>
                <w:rFonts w:eastAsia="方正仿宋_GBK"/>
                <w:kern w:val="0"/>
                <w:sz w:val="24"/>
              </w:rPr>
            </w:pPr>
            <w:r>
              <w:rPr>
                <w:rFonts w:eastAsia="方正仿宋_GBK"/>
                <w:kern w:val="0"/>
                <w:sz w:val="24"/>
              </w:rPr>
              <w:t>1</w:t>
            </w:r>
          </w:p>
        </w:tc>
        <w:tc>
          <w:tcPr>
            <w:tcW w:w="1480" w:type="dxa"/>
            <w:tcBorders>
              <w:top w:val="nil"/>
              <w:left w:val="nil"/>
              <w:bottom w:val="single" w:color="auto" w:sz="4" w:space="0"/>
              <w:right w:val="single" w:color="auto" w:sz="4" w:space="0"/>
            </w:tcBorders>
            <w:shd w:val="clear" w:color="auto" w:fill="auto"/>
            <w:noWrap/>
            <w:vAlign w:val="center"/>
          </w:tcPr>
          <w:p w14:paraId="78595614">
            <w:pPr>
              <w:widowControl/>
              <w:jc w:val="center"/>
              <w:rPr>
                <w:rFonts w:eastAsia="方正仿宋_GBK"/>
                <w:kern w:val="0"/>
                <w:sz w:val="24"/>
              </w:rPr>
            </w:pPr>
            <w:r>
              <w:rPr>
                <w:rFonts w:eastAsia="方正仿宋_GBK"/>
                <w:kern w:val="0"/>
                <w:sz w:val="24"/>
              </w:rPr>
              <w:t>负荷开关</w:t>
            </w:r>
          </w:p>
        </w:tc>
        <w:tc>
          <w:tcPr>
            <w:tcW w:w="2278" w:type="dxa"/>
            <w:gridSpan w:val="3"/>
            <w:tcBorders>
              <w:top w:val="nil"/>
              <w:left w:val="nil"/>
              <w:bottom w:val="single" w:color="auto" w:sz="4" w:space="0"/>
              <w:right w:val="single" w:color="auto" w:sz="4" w:space="0"/>
            </w:tcBorders>
            <w:shd w:val="clear" w:color="auto" w:fill="auto"/>
            <w:noWrap/>
            <w:vAlign w:val="center"/>
          </w:tcPr>
          <w:p w14:paraId="2C11243D">
            <w:pPr>
              <w:widowControl/>
              <w:jc w:val="center"/>
              <w:rPr>
                <w:rFonts w:eastAsia="方正仿宋_GBK"/>
                <w:kern w:val="0"/>
                <w:sz w:val="24"/>
              </w:rPr>
            </w:pPr>
            <w:r>
              <w:rPr>
                <w:rFonts w:eastAsia="方正仿宋_GBK"/>
                <w:kern w:val="0"/>
                <w:sz w:val="24"/>
              </w:rPr>
              <w:t>FZ(R)N25-12/T200-31.5</w:t>
            </w:r>
          </w:p>
        </w:tc>
        <w:tc>
          <w:tcPr>
            <w:tcW w:w="760" w:type="dxa"/>
            <w:tcBorders>
              <w:top w:val="single" w:color="auto" w:sz="4" w:space="0"/>
              <w:left w:val="nil"/>
              <w:bottom w:val="single" w:color="auto" w:sz="4" w:space="0"/>
              <w:right w:val="single" w:color="auto" w:sz="4" w:space="0"/>
            </w:tcBorders>
          </w:tcPr>
          <w:p w14:paraId="45109732">
            <w:pPr>
              <w:widowControl/>
              <w:jc w:val="center"/>
              <w:rPr>
                <w:rFonts w:eastAsia="方正仿宋_GBK"/>
                <w:kern w:val="0"/>
                <w:sz w:val="24"/>
              </w:rPr>
            </w:pPr>
          </w:p>
        </w:tc>
        <w:tc>
          <w:tcPr>
            <w:tcW w:w="760" w:type="dxa"/>
            <w:tcBorders>
              <w:top w:val="single" w:color="auto" w:sz="4" w:space="0"/>
              <w:left w:val="single" w:color="auto" w:sz="4" w:space="0"/>
              <w:bottom w:val="single" w:color="auto" w:sz="4" w:space="0"/>
              <w:right w:val="single" w:color="auto" w:sz="4" w:space="0"/>
            </w:tcBorders>
          </w:tcPr>
          <w:p w14:paraId="211E201A">
            <w:pPr>
              <w:widowControl/>
              <w:jc w:val="center"/>
              <w:rPr>
                <w:rFonts w:eastAsia="方正仿宋_GBK"/>
                <w:kern w:val="0"/>
                <w:sz w:val="24"/>
              </w:rPr>
            </w:pPr>
          </w:p>
        </w:tc>
        <w:tc>
          <w:tcPr>
            <w:tcW w:w="7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F0DC23">
            <w:pPr>
              <w:widowControl/>
              <w:jc w:val="center"/>
              <w:rPr>
                <w:rFonts w:eastAsia="方正仿宋_GBK"/>
                <w:kern w:val="0"/>
                <w:sz w:val="24"/>
              </w:rPr>
            </w:pPr>
            <w:r>
              <w:rPr>
                <w:rFonts w:eastAsia="方正仿宋_GBK"/>
                <w:kern w:val="0"/>
                <w:sz w:val="24"/>
              </w:rPr>
              <w:t>台</w:t>
            </w:r>
          </w:p>
        </w:tc>
        <w:tc>
          <w:tcPr>
            <w:tcW w:w="760" w:type="dxa"/>
            <w:tcBorders>
              <w:top w:val="nil"/>
              <w:left w:val="nil"/>
              <w:bottom w:val="single" w:color="auto" w:sz="4" w:space="0"/>
              <w:right w:val="single" w:color="auto" w:sz="4" w:space="0"/>
            </w:tcBorders>
            <w:shd w:val="clear" w:color="auto" w:fill="auto"/>
            <w:noWrap/>
            <w:vAlign w:val="center"/>
          </w:tcPr>
          <w:p w14:paraId="5D72BC02">
            <w:pPr>
              <w:widowControl/>
              <w:jc w:val="center"/>
              <w:rPr>
                <w:rFonts w:eastAsia="方正仿宋_GBK"/>
                <w:kern w:val="0"/>
                <w:sz w:val="24"/>
              </w:rPr>
            </w:pPr>
            <w:r>
              <w:rPr>
                <w:rFonts w:eastAsia="方正仿宋_GBK"/>
                <w:kern w:val="0"/>
                <w:sz w:val="24"/>
              </w:rPr>
              <w:t>2</w:t>
            </w:r>
          </w:p>
        </w:tc>
        <w:tc>
          <w:tcPr>
            <w:tcW w:w="1152" w:type="dxa"/>
            <w:tcBorders>
              <w:top w:val="nil"/>
              <w:left w:val="nil"/>
              <w:bottom w:val="single" w:color="auto" w:sz="4" w:space="0"/>
              <w:right w:val="single" w:color="auto" w:sz="4" w:space="0"/>
            </w:tcBorders>
            <w:shd w:val="clear" w:color="auto" w:fill="auto"/>
            <w:noWrap/>
            <w:vAlign w:val="center"/>
          </w:tcPr>
          <w:p w14:paraId="7AE3BC5C">
            <w:pPr>
              <w:widowControl/>
              <w:jc w:val="center"/>
              <w:rPr>
                <w:rFonts w:eastAsia="方正仿宋_GBK"/>
                <w:kern w:val="0"/>
                <w:sz w:val="24"/>
              </w:rPr>
            </w:pPr>
          </w:p>
        </w:tc>
        <w:tc>
          <w:tcPr>
            <w:tcW w:w="1244" w:type="dxa"/>
            <w:tcBorders>
              <w:top w:val="nil"/>
              <w:left w:val="nil"/>
              <w:bottom w:val="single" w:color="auto" w:sz="4" w:space="0"/>
              <w:right w:val="single" w:color="auto" w:sz="4" w:space="0"/>
            </w:tcBorders>
            <w:shd w:val="clear" w:color="auto" w:fill="auto"/>
            <w:noWrap/>
            <w:vAlign w:val="center"/>
          </w:tcPr>
          <w:p w14:paraId="3F5514D0">
            <w:pPr>
              <w:widowControl/>
              <w:jc w:val="center"/>
              <w:rPr>
                <w:rFonts w:eastAsia="方正仿宋_GBK"/>
                <w:kern w:val="0"/>
                <w:sz w:val="24"/>
              </w:rPr>
            </w:pPr>
          </w:p>
        </w:tc>
        <w:tc>
          <w:tcPr>
            <w:tcW w:w="1335" w:type="dxa"/>
            <w:tcBorders>
              <w:top w:val="nil"/>
              <w:left w:val="nil"/>
              <w:bottom w:val="single" w:color="auto" w:sz="4" w:space="0"/>
              <w:right w:val="single" w:color="auto" w:sz="4" w:space="0"/>
            </w:tcBorders>
            <w:shd w:val="clear" w:color="auto" w:fill="auto"/>
            <w:noWrap/>
            <w:vAlign w:val="center"/>
          </w:tcPr>
          <w:p w14:paraId="64AEA96A">
            <w:pPr>
              <w:widowControl/>
              <w:ind w:firstLine="100" w:firstLineChars="50"/>
              <w:jc w:val="center"/>
              <w:rPr>
                <w:rFonts w:eastAsia="方正仿宋_GBK"/>
                <w:kern w:val="0"/>
                <w:sz w:val="20"/>
                <w:szCs w:val="20"/>
              </w:rPr>
            </w:pPr>
          </w:p>
        </w:tc>
      </w:tr>
      <w:tr w14:paraId="5C0823B6">
        <w:tblPrEx>
          <w:tblCellMar>
            <w:top w:w="0" w:type="dxa"/>
            <w:left w:w="108" w:type="dxa"/>
            <w:bottom w:w="0" w:type="dxa"/>
            <w:right w:w="108" w:type="dxa"/>
          </w:tblCellMar>
        </w:tblPrEx>
        <w:trPr>
          <w:trHeight w:val="567" w:hRule="atLeast"/>
          <w:jc w:val="center"/>
        </w:trPr>
        <w:tc>
          <w:tcPr>
            <w:tcW w:w="663" w:type="dxa"/>
            <w:tcBorders>
              <w:top w:val="nil"/>
              <w:left w:val="single" w:color="auto" w:sz="4" w:space="0"/>
              <w:bottom w:val="single" w:color="auto" w:sz="4" w:space="0"/>
              <w:right w:val="single" w:color="auto" w:sz="4" w:space="0"/>
            </w:tcBorders>
            <w:shd w:val="clear" w:color="auto" w:fill="auto"/>
            <w:noWrap/>
            <w:vAlign w:val="center"/>
          </w:tcPr>
          <w:p w14:paraId="2984A809">
            <w:pPr>
              <w:widowControl/>
              <w:jc w:val="center"/>
              <w:rPr>
                <w:rFonts w:eastAsia="方正仿宋_GBK"/>
                <w:kern w:val="0"/>
                <w:sz w:val="24"/>
              </w:rPr>
            </w:pPr>
            <w:r>
              <w:rPr>
                <w:rFonts w:eastAsia="方正仿宋_GBK"/>
                <w:kern w:val="0"/>
                <w:sz w:val="24"/>
              </w:rPr>
              <w:t>2</w:t>
            </w:r>
          </w:p>
        </w:tc>
        <w:tc>
          <w:tcPr>
            <w:tcW w:w="1480" w:type="dxa"/>
            <w:tcBorders>
              <w:top w:val="nil"/>
              <w:left w:val="nil"/>
              <w:bottom w:val="single" w:color="auto" w:sz="4" w:space="0"/>
              <w:right w:val="single" w:color="auto" w:sz="4" w:space="0"/>
            </w:tcBorders>
            <w:shd w:val="clear" w:color="auto" w:fill="auto"/>
            <w:noWrap/>
            <w:vAlign w:val="center"/>
          </w:tcPr>
          <w:p w14:paraId="02147DB8">
            <w:pPr>
              <w:widowControl/>
              <w:jc w:val="center"/>
              <w:rPr>
                <w:rFonts w:eastAsia="方正仿宋_GBK"/>
                <w:kern w:val="0"/>
                <w:sz w:val="24"/>
              </w:rPr>
            </w:pPr>
            <w:r>
              <w:rPr>
                <w:rFonts w:eastAsia="方正仿宋_GBK"/>
                <w:kern w:val="0"/>
                <w:sz w:val="24"/>
              </w:rPr>
              <w:t>直流屏电池</w:t>
            </w:r>
          </w:p>
        </w:tc>
        <w:tc>
          <w:tcPr>
            <w:tcW w:w="2278" w:type="dxa"/>
            <w:gridSpan w:val="3"/>
            <w:tcBorders>
              <w:top w:val="nil"/>
              <w:left w:val="nil"/>
              <w:bottom w:val="single" w:color="auto" w:sz="4" w:space="0"/>
              <w:right w:val="single" w:color="auto" w:sz="4" w:space="0"/>
            </w:tcBorders>
            <w:shd w:val="clear" w:color="auto" w:fill="auto"/>
            <w:noWrap/>
            <w:vAlign w:val="center"/>
          </w:tcPr>
          <w:p w14:paraId="72CA0ECA">
            <w:pPr>
              <w:widowControl/>
              <w:jc w:val="center"/>
              <w:rPr>
                <w:rFonts w:eastAsia="方正仿宋_GBK"/>
                <w:kern w:val="0"/>
                <w:sz w:val="24"/>
              </w:rPr>
            </w:pPr>
            <w:r>
              <w:rPr>
                <w:rFonts w:eastAsia="方正仿宋_GBK"/>
                <w:kern w:val="0"/>
                <w:sz w:val="24"/>
              </w:rPr>
              <w:t>12V24AH</w:t>
            </w:r>
          </w:p>
        </w:tc>
        <w:tc>
          <w:tcPr>
            <w:tcW w:w="760" w:type="dxa"/>
            <w:tcBorders>
              <w:top w:val="single" w:color="auto" w:sz="4" w:space="0"/>
              <w:left w:val="nil"/>
              <w:bottom w:val="single" w:color="auto" w:sz="4" w:space="0"/>
              <w:right w:val="single" w:color="auto" w:sz="4" w:space="0"/>
            </w:tcBorders>
          </w:tcPr>
          <w:p w14:paraId="190B1EA6">
            <w:pPr>
              <w:widowControl/>
              <w:jc w:val="center"/>
              <w:rPr>
                <w:rFonts w:eastAsia="方正仿宋_GBK"/>
                <w:kern w:val="0"/>
                <w:sz w:val="24"/>
              </w:rPr>
            </w:pPr>
          </w:p>
        </w:tc>
        <w:tc>
          <w:tcPr>
            <w:tcW w:w="760" w:type="dxa"/>
            <w:tcBorders>
              <w:top w:val="single" w:color="auto" w:sz="4" w:space="0"/>
              <w:left w:val="single" w:color="auto" w:sz="4" w:space="0"/>
              <w:bottom w:val="single" w:color="auto" w:sz="4" w:space="0"/>
              <w:right w:val="single" w:color="auto" w:sz="4" w:space="0"/>
            </w:tcBorders>
          </w:tcPr>
          <w:p w14:paraId="0A330C2E">
            <w:pPr>
              <w:widowControl/>
              <w:jc w:val="center"/>
              <w:rPr>
                <w:rFonts w:eastAsia="方正仿宋_GBK"/>
                <w:kern w:val="0"/>
                <w:sz w:val="24"/>
              </w:rPr>
            </w:pPr>
          </w:p>
        </w:tc>
        <w:tc>
          <w:tcPr>
            <w:tcW w:w="7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E2C0D4">
            <w:pPr>
              <w:widowControl/>
              <w:jc w:val="center"/>
              <w:rPr>
                <w:rFonts w:eastAsia="方正仿宋_GBK"/>
                <w:kern w:val="0"/>
                <w:sz w:val="24"/>
              </w:rPr>
            </w:pPr>
            <w:r>
              <w:rPr>
                <w:rFonts w:eastAsia="方正仿宋_GBK"/>
                <w:kern w:val="0"/>
                <w:sz w:val="24"/>
              </w:rPr>
              <w:t>个</w:t>
            </w:r>
          </w:p>
        </w:tc>
        <w:tc>
          <w:tcPr>
            <w:tcW w:w="760" w:type="dxa"/>
            <w:tcBorders>
              <w:top w:val="nil"/>
              <w:left w:val="nil"/>
              <w:bottom w:val="single" w:color="auto" w:sz="4" w:space="0"/>
              <w:right w:val="single" w:color="auto" w:sz="4" w:space="0"/>
            </w:tcBorders>
            <w:shd w:val="clear" w:color="auto" w:fill="auto"/>
            <w:noWrap/>
            <w:vAlign w:val="center"/>
          </w:tcPr>
          <w:p w14:paraId="3A77C39E">
            <w:pPr>
              <w:widowControl/>
              <w:jc w:val="center"/>
              <w:rPr>
                <w:rFonts w:eastAsia="方正仿宋_GBK"/>
                <w:kern w:val="0"/>
                <w:sz w:val="24"/>
              </w:rPr>
            </w:pPr>
            <w:r>
              <w:rPr>
                <w:rFonts w:eastAsia="方正仿宋_GBK"/>
                <w:kern w:val="0"/>
                <w:sz w:val="24"/>
              </w:rPr>
              <w:t>18</w:t>
            </w:r>
          </w:p>
        </w:tc>
        <w:tc>
          <w:tcPr>
            <w:tcW w:w="1152" w:type="dxa"/>
            <w:tcBorders>
              <w:top w:val="nil"/>
              <w:left w:val="nil"/>
              <w:bottom w:val="single" w:color="auto" w:sz="4" w:space="0"/>
              <w:right w:val="single" w:color="auto" w:sz="4" w:space="0"/>
            </w:tcBorders>
            <w:shd w:val="clear" w:color="auto" w:fill="auto"/>
            <w:noWrap/>
            <w:vAlign w:val="center"/>
          </w:tcPr>
          <w:p w14:paraId="03209E0C">
            <w:pPr>
              <w:widowControl/>
              <w:jc w:val="center"/>
              <w:rPr>
                <w:rFonts w:eastAsia="方正仿宋_GBK"/>
                <w:kern w:val="0"/>
                <w:sz w:val="24"/>
              </w:rPr>
            </w:pPr>
          </w:p>
        </w:tc>
        <w:tc>
          <w:tcPr>
            <w:tcW w:w="1244" w:type="dxa"/>
            <w:tcBorders>
              <w:top w:val="nil"/>
              <w:left w:val="nil"/>
              <w:bottom w:val="single" w:color="auto" w:sz="4" w:space="0"/>
              <w:right w:val="single" w:color="auto" w:sz="4" w:space="0"/>
            </w:tcBorders>
            <w:shd w:val="clear" w:color="auto" w:fill="auto"/>
            <w:noWrap/>
            <w:vAlign w:val="center"/>
          </w:tcPr>
          <w:p w14:paraId="1A1AE8D8">
            <w:pPr>
              <w:widowControl/>
              <w:jc w:val="center"/>
              <w:rPr>
                <w:rFonts w:eastAsia="方正仿宋_GBK"/>
                <w:kern w:val="0"/>
                <w:sz w:val="24"/>
              </w:rPr>
            </w:pPr>
          </w:p>
        </w:tc>
        <w:tc>
          <w:tcPr>
            <w:tcW w:w="1335" w:type="dxa"/>
            <w:tcBorders>
              <w:top w:val="nil"/>
              <w:left w:val="nil"/>
              <w:bottom w:val="single" w:color="auto" w:sz="4" w:space="0"/>
              <w:right w:val="single" w:color="auto" w:sz="4" w:space="0"/>
            </w:tcBorders>
            <w:shd w:val="clear" w:color="auto" w:fill="auto"/>
            <w:noWrap/>
            <w:vAlign w:val="center"/>
          </w:tcPr>
          <w:p w14:paraId="34145B81">
            <w:pPr>
              <w:widowControl/>
              <w:jc w:val="center"/>
              <w:rPr>
                <w:rFonts w:eastAsia="方正仿宋_GBK"/>
                <w:kern w:val="0"/>
                <w:sz w:val="20"/>
                <w:szCs w:val="20"/>
              </w:rPr>
            </w:pPr>
          </w:p>
        </w:tc>
      </w:tr>
      <w:tr w14:paraId="5882489C">
        <w:tblPrEx>
          <w:tblCellMar>
            <w:top w:w="0" w:type="dxa"/>
            <w:left w:w="108" w:type="dxa"/>
            <w:bottom w:w="0" w:type="dxa"/>
            <w:right w:w="108" w:type="dxa"/>
          </w:tblCellMar>
        </w:tblPrEx>
        <w:trPr>
          <w:trHeight w:val="567" w:hRule="atLeast"/>
          <w:jc w:val="center"/>
        </w:trPr>
        <w:tc>
          <w:tcPr>
            <w:tcW w:w="663" w:type="dxa"/>
            <w:tcBorders>
              <w:top w:val="nil"/>
              <w:left w:val="single" w:color="auto" w:sz="4" w:space="0"/>
              <w:bottom w:val="single" w:color="auto" w:sz="4" w:space="0"/>
              <w:right w:val="single" w:color="auto" w:sz="4" w:space="0"/>
            </w:tcBorders>
            <w:shd w:val="clear" w:color="auto" w:fill="auto"/>
            <w:noWrap/>
            <w:vAlign w:val="center"/>
          </w:tcPr>
          <w:p w14:paraId="15CD3430">
            <w:pPr>
              <w:widowControl/>
              <w:jc w:val="center"/>
              <w:rPr>
                <w:rFonts w:eastAsia="方正仿宋_GBK"/>
                <w:kern w:val="0"/>
                <w:sz w:val="24"/>
              </w:rPr>
            </w:pPr>
            <w:r>
              <w:rPr>
                <w:rFonts w:eastAsia="方正仿宋_GBK"/>
                <w:kern w:val="0"/>
                <w:sz w:val="24"/>
              </w:rPr>
              <w:t>3</w:t>
            </w:r>
          </w:p>
        </w:tc>
        <w:tc>
          <w:tcPr>
            <w:tcW w:w="3758" w:type="dxa"/>
            <w:gridSpan w:val="4"/>
            <w:tcBorders>
              <w:top w:val="single" w:color="auto" w:sz="4" w:space="0"/>
              <w:left w:val="nil"/>
              <w:bottom w:val="single" w:color="auto" w:sz="4" w:space="0"/>
              <w:right w:val="single" w:color="auto" w:sz="4" w:space="0"/>
            </w:tcBorders>
            <w:shd w:val="clear" w:color="auto" w:fill="auto"/>
            <w:noWrap/>
            <w:vAlign w:val="center"/>
          </w:tcPr>
          <w:p w14:paraId="549143EE">
            <w:pPr>
              <w:widowControl/>
              <w:jc w:val="center"/>
              <w:rPr>
                <w:rFonts w:eastAsia="方正仿宋_GBK"/>
                <w:kern w:val="0"/>
                <w:sz w:val="24"/>
              </w:rPr>
            </w:pPr>
            <w:r>
              <w:rPr>
                <w:rFonts w:eastAsia="方正仿宋_GBK"/>
                <w:kern w:val="0"/>
                <w:sz w:val="24"/>
              </w:rPr>
              <w:t>综合费用 （ 人工、管理、税收等）</w:t>
            </w:r>
          </w:p>
        </w:tc>
        <w:tc>
          <w:tcPr>
            <w:tcW w:w="760" w:type="dxa"/>
            <w:tcBorders>
              <w:top w:val="single" w:color="auto" w:sz="4" w:space="0"/>
              <w:left w:val="nil"/>
              <w:bottom w:val="single" w:color="auto" w:sz="4" w:space="0"/>
              <w:right w:val="single" w:color="auto" w:sz="4" w:space="0"/>
            </w:tcBorders>
          </w:tcPr>
          <w:p w14:paraId="5057F33A">
            <w:pPr>
              <w:widowControl/>
              <w:jc w:val="center"/>
              <w:rPr>
                <w:rFonts w:hint="eastAsia" w:eastAsia="方正仿宋_GBK"/>
                <w:kern w:val="0"/>
                <w:sz w:val="24"/>
              </w:rPr>
            </w:pPr>
          </w:p>
        </w:tc>
        <w:tc>
          <w:tcPr>
            <w:tcW w:w="760" w:type="dxa"/>
            <w:tcBorders>
              <w:top w:val="single" w:color="auto" w:sz="4" w:space="0"/>
              <w:left w:val="single" w:color="auto" w:sz="4" w:space="0"/>
              <w:bottom w:val="single" w:color="auto" w:sz="4" w:space="0"/>
              <w:right w:val="single" w:color="auto" w:sz="4" w:space="0"/>
            </w:tcBorders>
          </w:tcPr>
          <w:p w14:paraId="7E7C3513">
            <w:pPr>
              <w:widowControl/>
              <w:jc w:val="center"/>
              <w:rPr>
                <w:rFonts w:hint="eastAsia" w:eastAsia="方正仿宋_GBK"/>
                <w:kern w:val="0"/>
                <w:sz w:val="24"/>
              </w:rPr>
            </w:pPr>
          </w:p>
        </w:tc>
        <w:tc>
          <w:tcPr>
            <w:tcW w:w="7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FF2B398">
            <w:pPr>
              <w:widowControl/>
              <w:jc w:val="center"/>
              <w:rPr>
                <w:rFonts w:eastAsia="方正仿宋_GBK"/>
                <w:kern w:val="0"/>
                <w:sz w:val="24"/>
              </w:rPr>
            </w:pPr>
            <w:r>
              <w:rPr>
                <w:rFonts w:hint="eastAsia" w:eastAsia="方正仿宋_GBK"/>
                <w:kern w:val="0"/>
                <w:sz w:val="24"/>
              </w:rPr>
              <w:t>/</w:t>
            </w:r>
          </w:p>
        </w:tc>
        <w:tc>
          <w:tcPr>
            <w:tcW w:w="760" w:type="dxa"/>
            <w:tcBorders>
              <w:top w:val="nil"/>
              <w:left w:val="nil"/>
              <w:bottom w:val="single" w:color="auto" w:sz="4" w:space="0"/>
              <w:right w:val="single" w:color="auto" w:sz="4" w:space="0"/>
            </w:tcBorders>
            <w:shd w:val="clear" w:color="auto" w:fill="auto"/>
            <w:noWrap/>
            <w:vAlign w:val="center"/>
          </w:tcPr>
          <w:p w14:paraId="39C29824">
            <w:pPr>
              <w:widowControl/>
              <w:jc w:val="center"/>
              <w:rPr>
                <w:rFonts w:eastAsia="方正仿宋_GBK"/>
                <w:kern w:val="0"/>
                <w:sz w:val="24"/>
              </w:rPr>
            </w:pPr>
            <w:r>
              <w:rPr>
                <w:rFonts w:hint="eastAsia" w:eastAsia="方正仿宋_GBK"/>
                <w:kern w:val="0"/>
                <w:sz w:val="24"/>
              </w:rPr>
              <w:t>/</w:t>
            </w:r>
          </w:p>
        </w:tc>
        <w:tc>
          <w:tcPr>
            <w:tcW w:w="1152" w:type="dxa"/>
            <w:tcBorders>
              <w:top w:val="nil"/>
              <w:left w:val="nil"/>
              <w:bottom w:val="single" w:color="auto" w:sz="4" w:space="0"/>
              <w:right w:val="single" w:color="auto" w:sz="4" w:space="0"/>
            </w:tcBorders>
            <w:shd w:val="clear" w:color="auto" w:fill="auto"/>
            <w:noWrap/>
            <w:vAlign w:val="center"/>
          </w:tcPr>
          <w:p w14:paraId="773ECE8B">
            <w:pPr>
              <w:widowControl/>
              <w:jc w:val="center"/>
              <w:rPr>
                <w:rFonts w:eastAsia="方正仿宋_GBK"/>
                <w:kern w:val="0"/>
                <w:sz w:val="24"/>
              </w:rPr>
            </w:pPr>
          </w:p>
        </w:tc>
        <w:tc>
          <w:tcPr>
            <w:tcW w:w="1244" w:type="dxa"/>
            <w:tcBorders>
              <w:top w:val="nil"/>
              <w:left w:val="nil"/>
              <w:bottom w:val="single" w:color="auto" w:sz="4" w:space="0"/>
              <w:right w:val="single" w:color="auto" w:sz="4" w:space="0"/>
            </w:tcBorders>
            <w:shd w:val="clear" w:color="auto" w:fill="auto"/>
            <w:vAlign w:val="center"/>
          </w:tcPr>
          <w:p w14:paraId="4D86D1C8">
            <w:pPr>
              <w:widowControl/>
              <w:jc w:val="center"/>
              <w:rPr>
                <w:rFonts w:eastAsia="方正仿宋_GBK"/>
                <w:kern w:val="0"/>
                <w:sz w:val="24"/>
              </w:rPr>
            </w:pPr>
          </w:p>
        </w:tc>
        <w:tc>
          <w:tcPr>
            <w:tcW w:w="1335" w:type="dxa"/>
            <w:tcBorders>
              <w:top w:val="nil"/>
              <w:left w:val="nil"/>
              <w:bottom w:val="single" w:color="auto" w:sz="4" w:space="0"/>
              <w:right w:val="single" w:color="auto" w:sz="4" w:space="0"/>
            </w:tcBorders>
            <w:shd w:val="clear" w:color="auto" w:fill="auto"/>
            <w:noWrap/>
            <w:vAlign w:val="center"/>
          </w:tcPr>
          <w:p w14:paraId="6B34A9B8">
            <w:pPr>
              <w:widowControl/>
              <w:jc w:val="center"/>
              <w:rPr>
                <w:rFonts w:eastAsia="方正仿宋_GBK"/>
                <w:kern w:val="0"/>
                <w:sz w:val="20"/>
                <w:szCs w:val="20"/>
              </w:rPr>
            </w:pPr>
          </w:p>
        </w:tc>
      </w:tr>
      <w:tr w14:paraId="56BF9E23">
        <w:tblPrEx>
          <w:tblCellMar>
            <w:top w:w="0" w:type="dxa"/>
            <w:left w:w="108" w:type="dxa"/>
            <w:bottom w:w="0" w:type="dxa"/>
            <w:right w:w="108" w:type="dxa"/>
          </w:tblCellMar>
        </w:tblPrEx>
        <w:trPr>
          <w:trHeight w:val="567" w:hRule="atLeast"/>
          <w:jc w:val="center"/>
        </w:trPr>
        <w:tc>
          <w:tcPr>
            <w:tcW w:w="214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7AEFB40">
            <w:pPr>
              <w:widowControl/>
              <w:jc w:val="center"/>
              <w:rPr>
                <w:rFonts w:eastAsia="方正仿宋_GBK"/>
                <w:bCs/>
                <w:kern w:val="0"/>
                <w:sz w:val="24"/>
              </w:rPr>
            </w:pPr>
            <w:r>
              <w:rPr>
                <w:rFonts w:eastAsia="方正仿宋_GBK"/>
                <w:bCs/>
                <w:kern w:val="0"/>
                <w:sz w:val="24"/>
              </w:rPr>
              <w:t>总  价（元）</w:t>
            </w:r>
          </w:p>
        </w:tc>
        <w:tc>
          <w:tcPr>
            <w:tcW w:w="760" w:type="dxa"/>
            <w:tcBorders>
              <w:top w:val="single" w:color="auto" w:sz="4" w:space="0"/>
              <w:left w:val="nil"/>
              <w:bottom w:val="single" w:color="auto" w:sz="4" w:space="0"/>
              <w:right w:val="nil"/>
            </w:tcBorders>
          </w:tcPr>
          <w:p w14:paraId="7701B1A6">
            <w:pPr>
              <w:widowControl/>
              <w:jc w:val="center"/>
              <w:rPr>
                <w:rFonts w:eastAsia="方正仿宋_GBK"/>
                <w:b/>
                <w:bCs/>
                <w:kern w:val="0"/>
                <w:sz w:val="24"/>
              </w:rPr>
            </w:pPr>
          </w:p>
        </w:tc>
        <w:tc>
          <w:tcPr>
            <w:tcW w:w="760" w:type="dxa"/>
            <w:tcBorders>
              <w:top w:val="single" w:color="auto" w:sz="4" w:space="0"/>
              <w:left w:val="nil"/>
              <w:bottom w:val="single" w:color="auto" w:sz="4" w:space="0"/>
              <w:right w:val="nil"/>
            </w:tcBorders>
          </w:tcPr>
          <w:p w14:paraId="5553AAB6">
            <w:pPr>
              <w:widowControl/>
              <w:jc w:val="center"/>
              <w:rPr>
                <w:rFonts w:eastAsia="方正仿宋_GBK"/>
                <w:b/>
                <w:bCs/>
                <w:kern w:val="0"/>
                <w:sz w:val="24"/>
              </w:rPr>
            </w:pPr>
          </w:p>
        </w:tc>
        <w:tc>
          <w:tcPr>
            <w:tcW w:w="6194" w:type="dxa"/>
            <w:gridSpan w:val="7"/>
            <w:tcBorders>
              <w:top w:val="single" w:color="auto" w:sz="4" w:space="0"/>
              <w:left w:val="nil"/>
              <w:bottom w:val="single" w:color="auto" w:sz="4" w:space="0"/>
              <w:right w:val="single" w:color="auto" w:sz="4" w:space="0"/>
            </w:tcBorders>
            <w:shd w:val="clear" w:color="auto" w:fill="auto"/>
            <w:noWrap/>
            <w:vAlign w:val="center"/>
          </w:tcPr>
          <w:p w14:paraId="0E9EA7CD">
            <w:pPr>
              <w:widowControl/>
              <w:jc w:val="center"/>
              <w:rPr>
                <w:rFonts w:eastAsia="方正仿宋_GBK"/>
                <w:b/>
                <w:bCs/>
                <w:kern w:val="0"/>
                <w:sz w:val="24"/>
              </w:rPr>
            </w:pPr>
          </w:p>
        </w:tc>
        <w:tc>
          <w:tcPr>
            <w:tcW w:w="1335" w:type="dxa"/>
            <w:tcBorders>
              <w:top w:val="single" w:color="auto" w:sz="4" w:space="0"/>
              <w:left w:val="nil"/>
              <w:bottom w:val="single" w:color="auto" w:sz="4" w:space="0"/>
              <w:right w:val="single" w:color="auto" w:sz="4" w:space="0"/>
            </w:tcBorders>
            <w:shd w:val="clear" w:color="auto" w:fill="auto"/>
            <w:noWrap/>
            <w:vAlign w:val="center"/>
          </w:tcPr>
          <w:p w14:paraId="618C5091">
            <w:pPr>
              <w:widowControl/>
              <w:jc w:val="center"/>
              <w:rPr>
                <w:rFonts w:eastAsia="方正仿宋_GBK"/>
                <w:kern w:val="0"/>
                <w:sz w:val="20"/>
                <w:szCs w:val="20"/>
              </w:rPr>
            </w:pPr>
          </w:p>
        </w:tc>
      </w:tr>
      <w:tr w14:paraId="0E72B3F9">
        <w:tblPrEx>
          <w:tblCellMar>
            <w:top w:w="0" w:type="dxa"/>
            <w:left w:w="108" w:type="dxa"/>
            <w:bottom w:w="0" w:type="dxa"/>
            <w:right w:w="108" w:type="dxa"/>
          </w:tblCellMar>
        </w:tblPrEx>
        <w:trPr>
          <w:trHeight w:val="567" w:hRule="atLeast"/>
          <w:jc w:val="center"/>
        </w:trPr>
        <w:tc>
          <w:tcPr>
            <w:tcW w:w="214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3A70B00C">
            <w:pPr>
              <w:widowControl/>
              <w:jc w:val="center"/>
              <w:rPr>
                <w:rFonts w:eastAsia="方正仿宋_GBK"/>
                <w:bCs/>
                <w:kern w:val="0"/>
                <w:sz w:val="24"/>
              </w:rPr>
            </w:pPr>
            <w:r>
              <w:rPr>
                <w:rFonts w:eastAsia="方正仿宋_GBK"/>
                <w:bCs/>
                <w:kern w:val="0"/>
                <w:sz w:val="24"/>
              </w:rPr>
              <w:t>工  期（天）</w:t>
            </w:r>
          </w:p>
        </w:tc>
        <w:tc>
          <w:tcPr>
            <w:tcW w:w="760" w:type="dxa"/>
            <w:tcBorders>
              <w:top w:val="single" w:color="auto" w:sz="4" w:space="0"/>
              <w:left w:val="nil"/>
              <w:bottom w:val="single" w:color="auto" w:sz="4" w:space="0"/>
              <w:right w:val="nil"/>
            </w:tcBorders>
          </w:tcPr>
          <w:p w14:paraId="5249B242">
            <w:pPr>
              <w:widowControl/>
              <w:jc w:val="center"/>
              <w:rPr>
                <w:rFonts w:eastAsia="方正仿宋_GBK"/>
                <w:b/>
                <w:bCs/>
                <w:kern w:val="0"/>
                <w:sz w:val="24"/>
              </w:rPr>
            </w:pPr>
          </w:p>
        </w:tc>
        <w:tc>
          <w:tcPr>
            <w:tcW w:w="760" w:type="dxa"/>
            <w:tcBorders>
              <w:top w:val="single" w:color="auto" w:sz="4" w:space="0"/>
              <w:left w:val="nil"/>
              <w:bottom w:val="single" w:color="auto" w:sz="4" w:space="0"/>
              <w:right w:val="nil"/>
            </w:tcBorders>
          </w:tcPr>
          <w:p w14:paraId="0AC45550">
            <w:pPr>
              <w:widowControl/>
              <w:jc w:val="center"/>
              <w:rPr>
                <w:rFonts w:eastAsia="方正仿宋_GBK"/>
                <w:b/>
                <w:bCs/>
                <w:kern w:val="0"/>
                <w:sz w:val="24"/>
              </w:rPr>
            </w:pPr>
          </w:p>
        </w:tc>
        <w:tc>
          <w:tcPr>
            <w:tcW w:w="6194" w:type="dxa"/>
            <w:gridSpan w:val="7"/>
            <w:tcBorders>
              <w:top w:val="single" w:color="auto" w:sz="4" w:space="0"/>
              <w:left w:val="nil"/>
              <w:bottom w:val="single" w:color="auto" w:sz="4" w:space="0"/>
              <w:right w:val="single" w:color="auto" w:sz="4" w:space="0"/>
            </w:tcBorders>
            <w:shd w:val="clear" w:color="auto" w:fill="auto"/>
            <w:noWrap/>
            <w:vAlign w:val="center"/>
          </w:tcPr>
          <w:p w14:paraId="20C6EED9">
            <w:pPr>
              <w:widowControl/>
              <w:jc w:val="center"/>
              <w:rPr>
                <w:rFonts w:eastAsia="方正仿宋_GBK"/>
                <w:b/>
                <w:bCs/>
                <w:kern w:val="0"/>
                <w:sz w:val="24"/>
              </w:rPr>
            </w:pPr>
          </w:p>
        </w:tc>
        <w:tc>
          <w:tcPr>
            <w:tcW w:w="1335" w:type="dxa"/>
            <w:tcBorders>
              <w:top w:val="single" w:color="auto" w:sz="4" w:space="0"/>
              <w:left w:val="nil"/>
              <w:bottom w:val="single" w:color="auto" w:sz="4" w:space="0"/>
              <w:right w:val="single" w:color="auto" w:sz="4" w:space="0"/>
            </w:tcBorders>
            <w:shd w:val="clear" w:color="auto" w:fill="auto"/>
            <w:noWrap/>
            <w:vAlign w:val="center"/>
          </w:tcPr>
          <w:p w14:paraId="62CBA304">
            <w:pPr>
              <w:widowControl/>
              <w:jc w:val="center"/>
              <w:rPr>
                <w:rFonts w:eastAsia="方正仿宋_GBK"/>
                <w:kern w:val="0"/>
                <w:sz w:val="20"/>
                <w:szCs w:val="20"/>
              </w:rPr>
            </w:pPr>
          </w:p>
        </w:tc>
      </w:tr>
      <w:tr w14:paraId="362CE513">
        <w:tblPrEx>
          <w:tblCellMar>
            <w:top w:w="0" w:type="dxa"/>
            <w:left w:w="108" w:type="dxa"/>
            <w:bottom w:w="0" w:type="dxa"/>
            <w:right w:w="108" w:type="dxa"/>
          </w:tblCellMar>
        </w:tblPrEx>
        <w:trPr>
          <w:trHeight w:val="567" w:hRule="atLeast"/>
          <w:jc w:val="center"/>
        </w:trPr>
        <w:tc>
          <w:tcPr>
            <w:tcW w:w="214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176B68D2">
            <w:pPr>
              <w:widowControl/>
              <w:jc w:val="center"/>
              <w:rPr>
                <w:rFonts w:eastAsia="方正仿宋_GBK"/>
                <w:bCs/>
                <w:kern w:val="0"/>
                <w:sz w:val="24"/>
              </w:rPr>
            </w:pPr>
            <w:r>
              <w:rPr>
                <w:rFonts w:eastAsia="方正仿宋_GBK"/>
                <w:bCs/>
                <w:kern w:val="0"/>
                <w:sz w:val="24"/>
              </w:rPr>
              <w:t>质保期（年）</w:t>
            </w:r>
          </w:p>
        </w:tc>
        <w:tc>
          <w:tcPr>
            <w:tcW w:w="760" w:type="dxa"/>
            <w:tcBorders>
              <w:top w:val="single" w:color="auto" w:sz="4" w:space="0"/>
              <w:left w:val="nil"/>
              <w:bottom w:val="single" w:color="auto" w:sz="4" w:space="0"/>
              <w:right w:val="nil"/>
            </w:tcBorders>
          </w:tcPr>
          <w:p w14:paraId="23CF3998">
            <w:pPr>
              <w:widowControl/>
              <w:jc w:val="center"/>
              <w:rPr>
                <w:rFonts w:eastAsia="方正仿宋_GBK"/>
                <w:b/>
                <w:bCs/>
                <w:kern w:val="0"/>
                <w:sz w:val="24"/>
              </w:rPr>
            </w:pPr>
          </w:p>
        </w:tc>
        <w:tc>
          <w:tcPr>
            <w:tcW w:w="760" w:type="dxa"/>
            <w:tcBorders>
              <w:top w:val="single" w:color="auto" w:sz="4" w:space="0"/>
              <w:left w:val="nil"/>
              <w:bottom w:val="single" w:color="auto" w:sz="4" w:space="0"/>
              <w:right w:val="nil"/>
            </w:tcBorders>
          </w:tcPr>
          <w:p w14:paraId="6E0D3938">
            <w:pPr>
              <w:widowControl/>
              <w:jc w:val="center"/>
              <w:rPr>
                <w:rFonts w:eastAsia="方正仿宋_GBK"/>
                <w:b/>
                <w:bCs/>
                <w:kern w:val="0"/>
                <w:sz w:val="24"/>
              </w:rPr>
            </w:pPr>
          </w:p>
        </w:tc>
        <w:tc>
          <w:tcPr>
            <w:tcW w:w="6194" w:type="dxa"/>
            <w:gridSpan w:val="7"/>
            <w:tcBorders>
              <w:top w:val="single" w:color="auto" w:sz="4" w:space="0"/>
              <w:left w:val="nil"/>
              <w:bottom w:val="single" w:color="auto" w:sz="4" w:space="0"/>
              <w:right w:val="single" w:color="auto" w:sz="4" w:space="0"/>
            </w:tcBorders>
            <w:shd w:val="clear" w:color="auto" w:fill="auto"/>
            <w:noWrap/>
            <w:vAlign w:val="center"/>
          </w:tcPr>
          <w:p w14:paraId="3E2362DE">
            <w:pPr>
              <w:widowControl/>
              <w:jc w:val="center"/>
              <w:rPr>
                <w:rFonts w:eastAsia="方正仿宋_GBK"/>
                <w:b/>
                <w:bCs/>
                <w:kern w:val="0"/>
                <w:sz w:val="24"/>
              </w:rPr>
            </w:pPr>
          </w:p>
        </w:tc>
        <w:tc>
          <w:tcPr>
            <w:tcW w:w="1335" w:type="dxa"/>
            <w:tcBorders>
              <w:top w:val="single" w:color="auto" w:sz="4" w:space="0"/>
              <w:left w:val="nil"/>
              <w:bottom w:val="single" w:color="auto" w:sz="4" w:space="0"/>
              <w:right w:val="single" w:color="auto" w:sz="4" w:space="0"/>
            </w:tcBorders>
            <w:shd w:val="clear" w:color="auto" w:fill="auto"/>
            <w:noWrap/>
            <w:vAlign w:val="center"/>
          </w:tcPr>
          <w:p w14:paraId="70D7A57A">
            <w:pPr>
              <w:widowControl/>
              <w:jc w:val="center"/>
              <w:rPr>
                <w:rFonts w:eastAsia="方正仿宋_GBK"/>
                <w:kern w:val="0"/>
                <w:sz w:val="20"/>
                <w:szCs w:val="20"/>
              </w:rPr>
            </w:pPr>
          </w:p>
        </w:tc>
      </w:tr>
    </w:tbl>
    <w:p w14:paraId="46420D7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备注：报价为包干价，包含但不限于拆旧费、改造费、货款、安装费、调试费、人工费、税金等所有费用。</w:t>
      </w:r>
    </w:p>
    <w:p w14:paraId="6D6C9DAC">
      <w:pPr>
        <w:rPr>
          <w:rFonts w:hint="eastAsia" w:ascii="宋体" w:hAnsi="宋体" w:eastAsia="宋体" w:cs="宋体"/>
          <w:b/>
          <w:color w:val="000000" w:themeColor="text1"/>
          <w:shd w:val="clear" w:color="auto" w:fill="auto"/>
          <w14:textFill>
            <w14:solidFill>
              <w14:schemeClr w14:val="tx1"/>
            </w14:solidFill>
          </w14:textFill>
        </w:rPr>
      </w:pPr>
    </w:p>
    <w:p w14:paraId="48343238">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52105755">
      <w:pPr>
        <w:rPr>
          <w:rFonts w:hint="eastAsia" w:ascii="宋体" w:hAnsi="宋体" w:eastAsia="宋体" w:cs="宋体"/>
          <w:b/>
          <w:color w:val="000000" w:themeColor="text1"/>
          <w:shd w:val="clear" w:color="auto" w:fill="auto"/>
          <w14:textFill>
            <w14:solidFill>
              <w14:schemeClr w14:val="tx1"/>
            </w14:solidFill>
          </w14:textFill>
        </w:rPr>
      </w:pPr>
    </w:p>
    <w:p w14:paraId="09326B87">
      <w:pPr>
        <w:rPr>
          <w:rFonts w:hint="eastAsia" w:ascii="宋体" w:hAnsi="宋体" w:eastAsia="宋体" w:cs="宋体"/>
          <w:b/>
          <w:color w:val="000000" w:themeColor="text1"/>
          <w:shd w:val="clear" w:color="auto" w:fill="auto"/>
          <w14:textFill>
            <w14:solidFill>
              <w14:schemeClr w14:val="tx1"/>
            </w14:solidFill>
          </w14:textFill>
        </w:rPr>
      </w:pPr>
    </w:p>
    <w:p w14:paraId="08B77225">
      <w:pPr>
        <w:rPr>
          <w:rFonts w:hint="eastAsia" w:ascii="宋体" w:hAnsi="宋体" w:eastAsia="宋体" w:cs="宋体"/>
          <w:b/>
          <w:color w:val="000000" w:themeColor="text1"/>
          <w:shd w:val="clear" w:color="auto" w:fill="auto"/>
          <w14:textFill>
            <w14:solidFill>
              <w14:schemeClr w14:val="tx1"/>
            </w14:solidFill>
          </w14:textFill>
        </w:rPr>
      </w:pPr>
    </w:p>
    <w:p w14:paraId="603693E1">
      <w:pPr>
        <w:rPr>
          <w:rFonts w:hint="eastAsia" w:ascii="宋体" w:hAnsi="宋体" w:eastAsia="宋体" w:cs="宋体"/>
          <w:b/>
          <w:color w:val="000000" w:themeColor="text1"/>
          <w:shd w:val="clear" w:color="auto" w:fill="auto"/>
          <w14:textFill>
            <w14:solidFill>
              <w14:schemeClr w14:val="tx1"/>
            </w14:solidFill>
          </w14:textFill>
        </w:rPr>
      </w:pPr>
    </w:p>
    <w:p w14:paraId="09B0968C">
      <w:pPr>
        <w:rPr>
          <w:rFonts w:hint="eastAsia" w:ascii="宋体" w:hAnsi="宋体" w:eastAsia="宋体" w:cs="宋体"/>
          <w:b/>
          <w:color w:val="000000" w:themeColor="text1"/>
          <w:shd w:val="clear" w:color="auto" w:fill="auto"/>
          <w14:textFill>
            <w14:solidFill>
              <w14:schemeClr w14:val="tx1"/>
            </w14:solidFill>
          </w14:textFill>
        </w:rPr>
      </w:pPr>
    </w:p>
    <w:p w14:paraId="6021CE27">
      <w:pPr>
        <w:rPr>
          <w:rFonts w:hint="eastAsia" w:ascii="宋体" w:hAnsi="宋体" w:eastAsia="宋体" w:cs="宋体"/>
          <w:b/>
          <w:color w:val="000000" w:themeColor="text1"/>
          <w:shd w:val="clear" w:color="auto" w:fill="auto"/>
          <w14:textFill>
            <w14:solidFill>
              <w14:schemeClr w14:val="tx1"/>
            </w14:solidFill>
          </w14:textFill>
        </w:rPr>
      </w:pPr>
    </w:p>
    <w:p w14:paraId="6242388E">
      <w:pPr>
        <w:rPr>
          <w:rFonts w:hint="eastAsia" w:ascii="宋体" w:hAnsi="宋体" w:eastAsia="宋体" w:cs="宋体"/>
          <w:b/>
          <w:color w:val="000000" w:themeColor="text1"/>
          <w:shd w:val="clear" w:color="auto" w:fill="auto"/>
          <w14:textFill>
            <w14:solidFill>
              <w14:schemeClr w14:val="tx1"/>
            </w14:solidFill>
          </w14:textFill>
        </w:rPr>
      </w:pPr>
    </w:p>
    <w:p w14:paraId="61ACA79A">
      <w:pPr>
        <w:rPr>
          <w:rFonts w:hint="eastAsia" w:ascii="宋体" w:hAnsi="宋体" w:eastAsia="宋体" w:cs="宋体"/>
          <w:b/>
          <w:color w:val="000000" w:themeColor="text1"/>
          <w:shd w:val="clear" w:color="auto" w:fill="auto"/>
          <w14:textFill>
            <w14:solidFill>
              <w14:schemeClr w14:val="tx1"/>
            </w14:solidFill>
          </w14:textFill>
        </w:rPr>
      </w:pPr>
    </w:p>
    <w:p w14:paraId="61926871">
      <w:pPr>
        <w:rPr>
          <w:rFonts w:hint="eastAsia" w:ascii="宋体" w:hAnsi="宋体" w:eastAsia="宋体" w:cs="宋体"/>
          <w:b/>
          <w:color w:val="000000" w:themeColor="text1"/>
          <w:shd w:val="clear" w:color="auto" w:fill="auto"/>
          <w14:textFill>
            <w14:solidFill>
              <w14:schemeClr w14:val="tx1"/>
            </w14:solidFill>
          </w14:textFill>
        </w:rPr>
      </w:pPr>
    </w:p>
    <w:p w14:paraId="5EC782ED">
      <w:pPr>
        <w:rPr>
          <w:rFonts w:hint="eastAsia" w:ascii="宋体" w:hAnsi="宋体" w:eastAsia="宋体" w:cs="宋体"/>
          <w:b/>
          <w:color w:val="000000" w:themeColor="text1"/>
          <w:shd w:val="clear" w:color="auto" w:fill="auto"/>
          <w14:textFill>
            <w14:solidFill>
              <w14:schemeClr w14:val="tx1"/>
            </w14:solidFill>
          </w14:textFill>
        </w:rPr>
      </w:pPr>
    </w:p>
    <w:p w14:paraId="0D76BDE7">
      <w:pPr>
        <w:rPr>
          <w:rFonts w:hint="eastAsia" w:ascii="宋体" w:hAnsi="宋体" w:eastAsia="宋体" w:cs="宋体"/>
          <w:b/>
          <w:color w:val="000000" w:themeColor="text1"/>
          <w:shd w:val="clear" w:color="auto" w:fill="auto"/>
          <w14:textFill>
            <w14:solidFill>
              <w14:schemeClr w14:val="tx1"/>
            </w14:solidFill>
          </w14:textFill>
        </w:rPr>
      </w:pPr>
    </w:p>
    <w:p w14:paraId="14457BED">
      <w:pPr>
        <w:rPr>
          <w:rFonts w:hint="eastAsia" w:ascii="宋体" w:hAnsi="宋体" w:eastAsia="宋体" w:cs="宋体"/>
          <w:b/>
          <w:color w:val="000000" w:themeColor="text1"/>
          <w:shd w:val="clear" w:color="auto" w:fill="auto"/>
          <w14:textFill>
            <w14:solidFill>
              <w14:schemeClr w14:val="tx1"/>
            </w14:solidFill>
          </w14:textFill>
        </w:rPr>
      </w:pPr>
    </w:p>
    <w:p w14:paraId="59BE2C3C">
      <w:pPr>
        <w:rPr>
          <w:rFonts w:hint="eastAsia" w:ascii="宋体" w:hAnsi="宋体" w:eastAsia="宋体" w:cs="宋体"/>
          <w:b/>
          <w:color w:val="000000" w:themeColor="text1"/>
          <w:shd w:val="clear" w:color="auto" w:fill="auto"/>
          <w14:textFill>
            <w14:solidFill>
              <w14:schemeClr w14:val="tx1"/>
            </w14:solidFill>
          </w14:textFill>
        </w:rPr>
      </w:pPr>
    </w:p>
    <w:p w14:paraId="373179FD">
      <w:pPr>
        <w:rPr>
          <w:rFonts w:hint="eastAsia" w:ascii="宋体" w:hAnsi="宋体" w:eastAsia="宋体" w:cs="宋体"/>
          <w:b/>
          <w:color w:val="000000" w:themeColor="text1"/>
          <w:shd w:val="clear" w:color="auto" w:fill="auto"/>
          <w14:textFill>
            <w14:solidFill>
              <w14:schemeClr w14:val="tx1"/>
            </w14:solidFill>
          </w14:textFill>
        </w:rPr>
      </w:pPr>
    </w:p>
    <w:p w14:paraId="222E2322">
      <w:pPr>
        <w:rPr>
          <w:rFonts w:hint="eastAsia" w:ascii="宋体" w:hAnsi="宋体" w:eastAsia="宋体" w:cs="宋体"/>
          <w:b/>
          <w:color w:val="000000" w:themeColor="text1"/>
          <w:shd w:val="clear" w:color="auto" w:fill="auto"/>
          <w14:textFill>
            <w14:solidFill>
              <w14:schemeClr w14:val="tx1"/>
            </w14:solidFill>
          </w14:textFill>
        </w:rPr>
      </w:pPr>
    </w:p>
    <w:p w14:paraId="66CDEDB3">
      <w:pPr>
        <w:rPr>
          <w:rFonts w:hint="eastAsia" w:ascii="宋体" w:hAnsi="宋体" w:eastAsia="宋体" w:cs="宋体"/>
          <w:b/>
          <w:color w:val="000000" w:themeColor="text1"/>
          <w:shd w:val="clear" w:color="auto" w:fill="auto"/>
          <w14:textFill>
            <w14:solidFill>
              <w14:schemeClr w14:val="tx1"/>
            </w14:solidFill>
          </w14:textFill>
        </w:rPr>
      </w:pPr>
    </w:p>
    <w:p w14:paraId="6D8F57E1">
      <w:pPr>
        <w:rPr>
          <w:rFonts w:hint="eastAsia" w:ascii="宋体" w:hAnsi="宋体" w:eastAsia="宋体" w:cs="宋体"/>
          <w:b/>
          <w:color w:val="000000" w:themeColor="text1"/>
          <w:shd w:val="clear" w:color="auto" w:fill="auto"/>
          <w14:textFill>
            <w14:solidFill>
              <w14:schemeClr w14:val="tx1"/>
            </w14:solidFill>
          </w14:textFill>
        </w:rPr>
      </w:pPr>
    </w:p>
    <w:p w14:paraId="72150EAF">
      <w:pPr>
        <w:rPr>
          <w:rFonts w:hint="eastAsia" w:ascii="宋体" w:hAnsi="宋体" w:eastAsia="宋体" w:cs="宋体"/>
          <w:b/>
          <w:color w:val="000000" w:themeColor="text1"/>
          <w:shd w:val="clear" w:color="auto" w:fill="auto"/>
          <w14:textFill>
            <w14:solidFill>
              <w14:schemeClr w14:val="tx1"/>
            </w14:solidFill>
          </w14:textFill>
        </w:rPr>
      </w:pPr>
    </w:p>
    <w:p w14:paraId="00FDFD55">
      <w:pPr>
        <w:rPr>
          <w:rFonts w:hint="eastAsia" w:ascii="宋体" w:hAnsi="宋体" w:eastAsia="宋体" w:cs="宋体"/>
          <w:b/>
          <w:color w:val="000000" w:themeColor="text1"/>
          <w:shd w:val="clear" w:color="auto" w:fill="auto"/>
          <w14:textFill>
            <w14:solidFill>
              <w14:schemeClr w14:val="tx1"/>
            </w14:solidFill>
          </w14:textFill>
        </w:rPr>
      </w:pPr>
    </w:p>
    <w:p w14:paraId="287120F6">
      <w:pPr>
        <w:rPr>
          <w:rFonts w:hint="eastAsia" w:ascii="宋体" w:hAnsi="宋体" w:eastAsia="宋体" w:cs="宋体"/>
          <w:b/>
          <w:color w:val="000000" w:themeColor="text1"/>
          <w:shd w:val="clear" w:color="auto" w:fill="auto"/>
          <w14:textFill>
            <w14:solidFill>
              <w14:schemeClr w14:val="tx1"/>
            </w14:solidFill>
          </w14:textFill>
        </w:rPr>
      </w:pPr>
    </w:p>
    <w:p w14:paraId="0D36D996">
      <w:pPr>
        <w:rPr>
          <w:rFonts w:hint="eastAsia" w:ascii="宋体" w:hAnsi="宋体" w:eastAsia="宋体" w:cs="宋体"/>
          <w:b/>
          <w:color w:val="000000" w:themeColor="text1"/>
          <w:shd w:val="clear" w:color="auto" w:fill="auto"/>
          <w14:textFill>
            <w14:solidFill>
              <w14:schemeClr w14:val="tx1"/>
            </w14:solidFill>
          </w14:textFill>
        </w:rPr>
      </w:pPr>
    </w:p>
    <w:p w14:paraId="13A586AB">
      <w:pPr>
        <w:rPr>
          <w:rFonts w:hint="eastAsia" w:ascii="宋体" w:hAnsi="宋体" w:eastAsia="宋体" w:cs="宋体"/>
          <w:b/>
          <w:color w:val="000000" w:themeColor="text1"/>
          <w:shd w:val="clear" w:color="auto" w:fill="auto"/>
          <w14:textFill>
            <w14:solidFill>
              <w14:schemeClr w14:val="tx1"/>
            </w14:solidFill>
          </w14:textFill>
        </w:rPr>
      </w:pPr>
    </w:p>
    <w:p w14:paraId="6B86AC3A">
      <w:pPr>
        <w:rPr>
          <w:rFonts w:hint="eastAsia" w:ascii="宋体" w:hAnsi="宋体" w:eastAsia="宋体" w:cs="宋体"/>
          <w:b/>
          <w:color w:val="000000" w:themeColor="text1"/>
          <w:shd w:val="clear" w:color="auto" w:fill="auto"/>
          <w14:textFill>
            <w14:solidFill>
              <w14:schemeClr w14:val="tx1"/>
            </w14:solidFill>
          </w14:textFill>
        </w:rPr>
      </w:pPr>
    </w:p>
    <w:p w14:paraId="1B4CFAE5">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43"/>
      <w:bookmarkEnd w:id="144"/>
      <w:bookmarkEnd w:id="145"/>
      <w:bookmarkEnd w:id="146"/>
      <w:bookmarkEnd w:id="14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48" w:name="_Toc313888362"/>
      <w:bookmarkStart w:id="149" w:name="_Toc342913421"/>
      <w:bookmarkStart w:id="150" w:name="_Toc313008358"/>
      <w:bookmarkStart w:id="151" w:name="_Toc485108798"/>
      <w:bookmarkStart w:id="152" w:name="_Toc480979020"/>
      <w:r>
        <w:rPr>
          <w:rFonts w:hint="eastAsia" w:ascii="宋体" w:hAnsi="宋体" w:eastAsia="宋体" w:cs="宋体"/>
          <w:b/>
          <w:color w:val="000000" w:themeColor="text1"/>
          <w:shd w:val="clear" w:color="auto" w:fill="auto"/>
          <w14:textFill>
            <w14:solidFill>
              <w14:schemeClr w14:val="tx1"/>
            </w14:solidFill>
          </w14:textFill>
        </w:rPr>
        <w:t>三、商务部分</w:t>
      </w:r>
      <w:bookmarkEnd w:id="148"/>
      <w:bookmarkEnd w:id="149"/>
      <w:bookmarkEnd w:id="150"/>
      <w:bookmarkEnd w:id="151"/>
      <w:bookmarkEnd w:id="152"/>
    </w:p>
    <w:p w14:paraId="355E48A2">
      <w:pPr>
        <w:spacing w:line="360" w:lineRule="auto"/>
        <w:ind w:firstLine="48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53"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四、资格条件及其他</w:t>
      </w:r>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2"/>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53"/>
      <w:bookmarkStart w:id="154" w:name="_Toc313008359"/>
      <w:bookmarkStart w:id="155" w:name="_Toc313888363"/>
      <w:bookmarkStart w:id="156"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54"/>
      <w:bookmarkEnd w:id="155"/>
      <w:bookmarkEnd w:id="156"/>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39BAD07F">
      <w:pPr>
        <w:tabs>
          <w:tab w:val="left" w:pos="6300"/>
        </w:tabs>
        <w:snapToGrid w:val="0"/>
        <w:spacing w:line="500" w:lineRule="exact"/>
        <w:ind w:firstLine="48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2E7E3F4C">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p>
    <w:p w14:paraId="15615AB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D29E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44DD4A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6FF353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DD7E3E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703A86A">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0BD9CB2">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8A2864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93CB0E6">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3BB77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DFFA1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3D1CCA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5EDF9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7BDE96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ED0E31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97BD05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6FB343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E096E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C2465A3">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4B009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0ED2D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BC709E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F4B55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825A98">
      <w:pPr>
        <w:tabs>
          <w:tab w:val="left" w:pos="6300"/>
        </w:tabs>
        <w:snapToGrid w:val="0"/>
        <w:spacing w:line="500" w:lineRule="exact"/>
        <w:rPr>
          <w:rFonts w:hint="eastAsia" w:ascii="宋体" w:hAnsi="宋体" w:eastAsia="宋体" w:cs="宋体"/>
          <w:color w:val="000000" w:themeColor="text1"/>
          <w:sz w:val="28"/>
          <w:szCs w:val="20"/>
          <w:shd w:val="clear" w:color="auto" w:fill="auto"/>
          <w14:textFill>
            <w14:solidFill>
              <w14:schemeClr w14:val="tx1"/>
            </w14:solidFill>
          </w14:textFill>
        </w:rPr>
      </w:pPr>
    </w:p>
    <w:p w14:paraId="1122587C">
      <w:pPr>
        <w:tabs>
          <w:tab w:val="left" w:pos="6300"/>
        </w:tabs>
        <w:snapToGrid w:val="0"/>
        <w:spacing w:line="500" w:lineRule="exact"/>
        <w:ind w:firstLine="56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（六）书面声明</w:t>
      </w:r>
    </w:p>
    <w:p w14:paraId="44683994">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68A767E">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0F7F123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61C07EB">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6D188945">
      <w:pPr>
        <w:spacing w:line="440" w:lineRule="exact"/>
        <w:ind w:firstLine="480" w:firstLineChars="2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8"/>
          <w:shd w:val="clear" w:color="auto" w:fill="auto"/>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14:paraId="2DCAB90A">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特此声明。</w:t>
      </w:r>
    </w:p>
    <w:p w14:paraId="024D6A3F">
      <w:pPr>
        <w:tabs>
          <w:tab w:val="left" w:pos="6300"/>
        </w:tabs>
        <w:snapToGrid w:val="0"/>
        <w:spacing w:line="500" w:lineRule="exact"/>
        <w:jc w:val="center"/>
        <w:rPr>
          <w:rFonts w:hint="eastAsia" w:ascii="宋体" w:hAnsi="宋体" w:eastAsia="宋体" w:cs="宋体"/>
          <w:color w:val="000000" w:themeColor="text1"/>
          <w:sz w:val="24"/>
          <w:szCs w:val="28"/>
          <w:shd w:val="clear" w:color="auto" w:fill="auto"/>
          <w14:textFill>
            <w14:solidFill>
              <w14:schemeClr w14:val="tx1"/>
            </w14:solidFill>
          </w14:textFill>
        </w:rPr>
      </w:pPr>
    </w:p>
    <w:p w14:paraId="01CCA724">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p>
    <w:p w14:paraId="2C089E5B">
      <w:pPr>
        <w:tabs>
          <w:tab w:val="left" w:pos="6300"/>
        </w:tabs>
        <w:snapToGrid w:val="0"/>
        <w:spacing w:line="500" w:lineRule="exact"/>
        <w:ind w:firstLine="6480" w:firstLineChars="27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w:t>
      </w:r>
    </w:p>
    <w:p w14:paraId="40278E5C">
      <w:pPr>
        <w:tabs>
          <w:tab w:val="left" w:pos="6300"/>
        </w:tabs>
        <w:snapToGrid w:val="0"/>
        <w:spacing w:line="360" w:lineRule="auto"/>
        <w:ind w:right="36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p>
    <w:p w14:paraId="01304D9A">
      <w:pPr>
        <w:tabs>
          <w:tab w:val="left" w:pos="6300"/>
        </w:tabs>
        <w:snapToGrid w:val="0"/>
        <w:spacing w:line="360" w:lineRule="auto"/>
        <w:ind w:right="132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年   月   日</w:t>
      </w:r>
    </w:p>
    <w:p w14:paraId="620C87AE">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1B82A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3A75A04">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C5DEB5C">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39F2DB25">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75641F29">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0BE637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3473D9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914AC6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412AC5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1CC6023A">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62066B72">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DE11C3B">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bookmarkStart w:id="157" w:name="OLE_LINK7"/>
      <w:bookmarkStart w:id="158" w:name="OLE_LINK4"/>
    </w:p>
    <w:p w14:paraId="6E174C50">
      <w:pPr>
        <w:tabs>
          <w:tab w:val="left" w:pos="6300"/>
        </w:tabs>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（七）</w:t>
      </w:r>
      <w:r>
        <w:rPr>
          <w:rFonts w:hint="eastAsia" w:ascii="宋体" w:hAnsi="宋体" w:eastAsia="宋体" w:cs="宋体"/>
          <w:color w:val="000000" w:themeColor="text1"/>
          <w:sz w:val="28"/>
          <w:szCs w:val="28"/>
          <w:shd w:val="clear" w:color="auto" w:fill="auto"/>
          <w14:textFill>
            <w14:solidFill>
              <w14:schemeClr w14:val="tx1"/>
            </w14:solidFill>
          </w14:textFill>
        </w:rPr>
        <w:t>税务登记证（副本）复印件</w:t>
      </w:r>
    </w:p>
    <w:p w14:paraId="2A74B43D">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（八）</w:t>
      </w:r>
      <w:r>
        <w:rPr>
          <w:rFonts w:hint="eastAsia" w:ascii="宋体" w:hAnsi="宋体" w:eastAsia="宋体" w:cs="宋体"/>
          <w:color w:val="000000" w:themeColor="text1"/>
          <w:sz w:val="28"/>
          <w:szCs w:val="20"/>
          <w:shd w:val="clear" w:color="auto" w:fill="auto"/>
          <w14:textFill>
            <w14:solidFill>
              <w14:schemeClr w14:val="tx1"/>
            </w14:solidFill>
          </w14:textFill>
        </w:rPr>
        <w:t>社会保险缴纳证明材料</w:t>
      </w:r>
    </w:p>
    <w:p w14:paraId="60ECBEB7">
      <w:pPr>
        <w:widowControl/>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3A7B93B1">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说明：供应商按“三证合一”登记制度办理营业执照的，组织机构代码证和税务登记证以供应商所提供的营业执照（副本）复印件为准。</w:t>
      </w:r>
    </w:p>
    <w:p w14:paraId="7B601FE2">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bookmarkEnd w:id="157"/>
    <w:bookmarkEnd w:id="158"/>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（九）特定资格条件证书或证明文件</w:t>
      </w:r>
      <w:r>
        <w:rPr>
          <w:rFonts w:hint="eastAsia" w:ascii="宋体" w:hAnsi="宋体" w:eastAsia="宋体" w:cs="宋体"/>
          <w:color w:val="000000" w:themeColor="text1"/>
          <w:szCs w:val="28"/>
          <w:shd w:val="clear" w:color="auto" w:fill="auto"/>
          <w14:textFill>
            <w14:solidFill>
              <w14:schemeClr w14:val="tx1"/>
            </w14:solidFill>
          </w14:textFill>
        </w:rPr>
        <w:t>（如果有）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bookmarkStart w:id="159" w:name="_Toc27212"/>
      <w:bookmarkStart w:id="160"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p>
    <w:bookmarkEnd w:id="159"/>
    <w:bookmarkEnd w:id="160"/>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1C069619-11A6-428A-9E11-BF41255D22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BB3ADF"/>
    <w:rsid w:val="03C2134C"/>
    <w:rsid w:val="04DA26C6"/>
    <w:rsid w:val="04DE1E0F"/>
    <w:rsid w:val="04F00597"/>
    <w:rsid w:val="05E64439"/>
    <w:rsid w:val="05E94CDF"/>
    <w:rsid w:val="060E092E"/>
    <w:rsid w:val="065A1406"/>
    <w:rsid w:val="067D7A0C"/>
    <w:rsid w:val="06A45EA9"/>
    <w:rsid w:val="06BC1BB0"/>
    <w:rsid w:val="074B1659"/>
    <w:rsid w:val="07911761"/>
    <w:rsid w:val="07C5765D"/>
    <w:rsid w:val="07F26429"/>
    <w:rsid w:val="084C34CD"/>
    <w:rsid w:val="094176DB"/>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4E0964"/>
    <w:rsid w:val="13653AA2"/>
    <w:rsid w:val="13D52C1B"/>
    <w:rsid w:val="13F41DC8"/>
    <w:rsid w:val="144B1714"/>
    <w:rsid w:val="14B95EDB"/>
    <w:rsid w:val="14C6168E"/>
    <w:rsid w:val="14C6556D"/>
    <w:rsid w:val="14E12006"/>
    <w:rsid w:val="1554725E"/>
    <w:rsid w:val="15604521"/>
    <w:rsid w:val="156125ED"/>
    <w:rsid w:val="158D32E0"/>
    <w:rsid w:val="16243DF1"/>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66752D"/>
    <w:rsid w:val="1C6945DA"/>
    <w:rsid w:val="1CD22D64"/>
    <w:rsid w:val="1CED540D"/>
    <w:rsid w:val="1CF33ECD"/>
    <w:rsid w:val="1CF736B7"/>
    <w:rsid w:val="1D632E00"/>
    <w:rsid w:val="1DD87EDC"/>
    <w:rsid w:val="1DDA4D59"/>
    <w:rsid w:val="1E8652AA"/>
    <w:rsid w:val="1E9D4968"/>
    <w:rsid w:val="1EB13D33"/>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5626D0"/>
    <w:rsid w:val="23743B1F"/>
    <w:rsid w:val="240C0392"/>
    <w:rsid w:val="24514D5A"/>
    <w:rsid w:val="24AB13E3"/>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3D6767"/>
    <w:rsid w:val="2B57565F"/>
    <w:rsid w:val="2BBD2276"/>
    <w:rsid w:val="2C812A23"/>
    <w:rsid w:val="2CDF621C"/>
    <w:rsid w:val="2CF2794B"/>
    <w:rsid w:val="2D9073ED"/>
    <w:rsid w:val="2DDB0955"/>
    <w:rsid w:val="2E4A05E4"/>
    <w:rsid w:val="2F1F1F02"/>
    <w:rsid w:val="2F2348BD"/>
    <w:rsid w:val="2F6F1AD9"/>
    <w:rsid w:val="2F831DB2"/>
    <w:rsid w:val="2F943FCB"/>
    <w:rsid w:val="2FD06C0B"/>
    <w:rsid w:val="30381B81"/>
    <w:rsid w:val="30A44277"/>
    <w:rsid w:val="30B15F03"/>
    <w:rsid w:val="30B30136"/>
    <w:rsid w:val="31CA4358"/>
    <w:rsid w:val="31FA7479"/>
    <w:rsid w:val="32050A97"/>
    <w:rsid w:val="32284BF5"/>
    <w:rsid w:val="32DA1DD4"/>
    <w:rsid w:val="33323C73"/>
    <w:rsid w:val="3361798A"/>
    <w:rsid w:val="33861085"/>
    <w:rsid w:val="34477E1A"/>
    <w:rsid w:val="34B44507"/>
    <w:rsid w:val="35687566"/>
    <w:rsid w:val="35B15F88"/>
    <w:rsid w:val="35D501BC"/>
    <w:rsid w:val="35E87A5C"/>
    <w:rsid w:val="3608331B"/>
    <w:rsid w:val="36382C0F"/>
    <w:rsid w:val="36834056"/>
    <w:rsid w:val="369E4A52"/>
    <w:rsid w:val="36A73740"/>
    <w:rsid w:val="36EC0B56"/>
    <w:rsid w:val="37542B62"/>
    <w:rsid w:val="375A306E"/>
    <w:rsid w:val="37D83F93"/>
    <w:rsid w:val="382D2437"/>
    <w:rsid w:val="38442273"/>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4C1E7B"/>
    <w:rsid w:val="3D6E2990"/>
    <w:rsid w:val="3DC21444"/>
    <w:rsid w:val="3DD60FEB"/>
    <w:rsid w:val="3E263CAA"/>
    <w:rsid w:val="3E491747"/>
    <w:rsid w:val="3E6B192F"/>
    <w:rsid w:val="3EA55BAC"/>
    <w:rsid w:val="3EEF12C4"/>
    <w:rsid w:val="3F150346"/>
    <w:rsid w:val="3F4757B8"/>
    <w:rsid w:val="3F591E5E"/>
    <w:rsid w:val="3F5A6C6F"/>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8345E9"/>
    <w:rsid w:val="429D5EC0"/>
    <w:rsid w:val="42A40896"/>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41B9B"/>
    <w:rsid w:val="4AED1C9D"/>
    <w:rsid w:val="4B597B89"/>
    <w:rsid w:val="4BE8259F"/>
    <w:rsid w:val="4BED647A"/>
    <w:rsid w:val="4C025EBB"/>
    <w:rsid w:val="4C4E289A"/>
    <w:rsid w:val="4DBE5CAD"/>
    <w:rsid w:val="4DD75684"/>
    <w:rsid w:val="4E0D2518"/>
    <w:rsid w:val="4E231003"/>
    <w:rsid w:val="4E3873B7"/>
    <w:rsid w:val="4EF70D4B"/>
    <w:rsid w:val="4F2E0C11"/>
    <w:rsid w:val="4F79418A"/>
    <w:rsid w:val="50472E90"/>
    <w:rsid w:val="50A2078E"/>
    <w:rsid w:val="50B9275C"/>
    <w:rsid w:val="50F72CC9"/>
    <w:rsid w:val="50FE286B"/>
    <w:rsid w:val="514069D9"/>
    <w:rsid w:val="51932220"/>
    <w:rsid w:val="51D77CAA"/>
    <w:rsid w:val="52173BDE"/>
    <w:rsid w:val="5228244C"/>
    <w:rsid w:val="529620AE"/>
    <w:rsid w:val="52EB291F"/>
    <w:rsid w:val="52ED493F"/>
    <w:rsid w:val="531F0FF7"/>
    <w:rsid w:val="53B56AAB"/>
    <w:rsid w:val="53E03D6D"/>
    <w:rsid w:val="53E144A4"/>
    <w:rsid w:val="540F3FF9"/>
    <w:rsid w:val="54333CD5"/>
    <w:rsid w:val="546107D9"/>
    <w:rsid w:val="546E506B"/>
    <w:rsid w:val="549E2395"/>
    <w:rsid w:val="55297C80"/>
    <w:rsid w:val="5531155E"/>
    <w:rsid w:val="565C7750"/>
    <w:rsid w:val="56644F18"/>
    <w:rsid w:val="56A12956"/>
    <w:rsid w:val="56FF2E93"/>
    <w:rsid w:val="576D5122"/>
    <w:rsid w:val="58506377"/>
    <w:rsid w:val="586259DC"/>
    <w:rsid w:val="58625BCC"/>
    <w:rsid w:val="58627B7D"/>
    <w:rsid w:val="58B574EB"/>
    <w:rsid w:val="58FC1D80"/>
    <w:rsid w:val="593509FB"/>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352606D"/>
    <w:rsid w:val="639436E3"/>
    <w:rsid w:val="6445282D"/>
    <w:rsid w:val="645A13DB"/>
    <w:rsid w:val="648C045C"/>
    <w:rsid w:val="656A40F1"/>
    <w:rsid w:val="658C5E23"/>
    <w:rsid w:val="65F9363E"/>
    <w:rsid w:val="667E25AF"/>
    <w:rsid w:val="66815672"/>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9F4D55"/>
    <w:rsid w:val="6BAA3DD9"/>
    <w:rsid w:val="6C172D01"/>
    <w:rsid w:val="6C5B0433"/>
    <w:rsid w:val="6CC2767B"/>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AA2579"/>
    <w:rsid w:val="73614D85"/>
    <w:rsid w:val="7363682B"/>
    <w:rsid w:val="739465A0"/>
    <w:rsid w:val="73A82490"/>
    <w:rsid w:val="73AA3664"/>
    <w:rsid w:val="73B34AD5"/>
    <w:rsid w:val="73D42B6E"/>
    <w:rsid w:val="743B3E3F"/>
    <w:rsid w:val="74E41D61"/>
    <w:rsid w:val="765A00C6"/>
    <w:rsid w:val="76995E63"/>
    <w:rsid w:val="77452BA0"/>
    <w:rsid w:val="774923FD"/>
    <w:rsid w:val="777E28EC"/>
    <w:rsid w:val="77B52272"/>
    <w:rsid w:val="78120C80"/>
    <w:rsid w:val="783A1618"/>
    <w:rsid w:val="788222E3"/>
    <w:rsid w:val="7908485F"/>
    <w:rsid w:val="7936053E"/>
    <w:rsid w:val="793F0B2C"/>
    <w:rsid w:val="797D07AB"/>
    <w:rsid w:val="79AC25AE"/>
    <w:rsid w:val="7AAC0A0E"/>
    <w:rsid w:val="7B237CCD"/>
    <w:rsid w:val="7B306E47"/>
    <w:rsid w:val="7B8C6B3B"/>
    <w:rsid w:val="7BB717C3"/>
    <w:rsid w:val="7BD77DB7"/>
    <w:rsid w:val="7C3F595C"/>
    <w:rsid w:val="7C507B69"/>
    <w:rsid w:val="7C683BAE"/>
    <w:rsid w:val="7CBD0742"/>
    <w:rsid w:val="7CC601EC"/>
    <w:rsid w:val="7D162D31"/>
    <w:rsid w:val="7D7D55A3"/>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11707</Words>
  <Characters>12036</Characters>
  <Lines>182</Lines>
  <Paragraphs>51</Paragraphs>
  <TotalTime>0</TotalTime>
  <ScaleCrop>false</ScaleCrop>
  <LinksUpToDate>false</LinksUpToDate>
  <CharactersWithSpaces>12241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2025-06-05T07:58:25Z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