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血透室水处理系统预处理填料和RO膜更换服务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12789052"/>
      <w:bookmarkStart w:id="2" w:name="_Toc6921"/>
      <w:bookmarkStart w:id="3" w:name="_Toc23588"/>
      <w:bookmarkStart w:id="4" w:name="_Toc25875"/>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 xml:space="preserve">第一篇  </w:t>
      </w:r>
      <w:bookmarkStart w:id="189" w:name="_GoBack"/>
      <w:bookmarkEnd w:id="189"/>
      <w:r>
        <w:rPr>
          <w:rFonts w:hint="eastAsia" w:ascii="宋体" w:hAnsi="宋体" w:eastAsia="宋体" w:cs="宋体"/>
          <w:b/>
          <w:bCs/>
          <w:color w:val="000000" w:themeColor="text1"/>
          <w:sz w:val="36"/>
          <w:szCs w:val="36"/>
          <w:shd w:val="clear" w:color="auto" w:fill="auto"/>
          <w14:textFill>
            <w14:solidFill>
              <w14:schemeClr w14:val="tx1"/>
            </w14:solidFill>
          </w14:textFill>
        </w:rPr>
        <w:t>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血透室水处理系统预处理填料和RO膜更换服务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质保期：≥1年</w:t>
            </w:r>
          </w:p>
        </w:tc>
      </w:tr>
    </w:tbl>
    <w:p w14:paraId="00DB30B5">
      <w:pPr>
        <w:pStyle w:val="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：自筹资金,项目预算：150000元。</w:t>
      </w:r>
    </w:p>
    <w:p w14:paraId="7AA96D60">
      <w:pPr>
        <w:pStyle w:val="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2C5F7142">
      <w:pPr>
        <w:spacing w:line="480" w:lineRule="exact"/>
        <w:ind w:firstLine="480" w:firstLineChars="200"/>
        <w:rPr>
          <w:rFonts w:hint="eastAsia" w:ascii="宋体" w:hAnsi="宋体" w:eastAsia="宋体" w:cs="宋体"/>
          <w:color w:val="FF0000"/>
          <w:sz w:val="24"/>
          <w:szCs w:val="24"/>
          <w:shd w:val="clear" w:color="auto" w:fill="auto"/>
          <w:lang w:val="en-US" w:eastAsia="zh-CN"/>
        </w:rPr>
      </w:pPr>
    </w:p>
    <w:p w14:paraId="54D434CB">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报价为包干价，包含但不限于、货款、安装费、调试费、人工费、税金等所有费用。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403569780"/>
      <w:bookmarkStart w:id="42" w:name="_Toc102227319"/>
      <w:bookmarkStart w:id="43" w:name="_Toc342913393"/>
      <w:bookmarkStart w:id="44" w:name="_Toc19143"/>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403569781"/>
      <w:bookmarkStart w:id="47" w:name="_Toc28776"/>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403569783"/>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4257C69">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需与我院血液透析室的百特金宝水处理系统（WR066）相匹配。</w:t>
      </w:r>
    </w:p>
    <w:p w14:paraId="5EDEC3C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2.相关技术需求：</w:t>
      </w:r>
    </w:p>
    <w:p w14:paraId="108E6F48">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适用于血液透析用水净化的石英砂，1665罐体（180L）4个，已使用9年，根据实际情况适量增补。</w:t>
      </w:r>
    </w:p>
    <w:p w14:paraId="6E85276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适用于血液透析用水净化的活性炭，1665罐体（180L）4个，约210公斤。</w:t>
      </w:r>
    </w:p>
    <w:p w14:paraId="6662535D">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其指标要求为：</w:t>
      </w:r>
    </w:p>
    <w:p w14:paraId="2615B5A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（1）碘值（Carbons Iodine Number）采用ASTM D4607-14测试方法结果不小于1000mg/g。</w:t>
      </w:r>
    </w:p>
    <w:p w14:paraId="473830C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（2）包装时含水量（Moisture,as packed）采用ASTM D2867测试方法结果不大于5%。</w:t>
      </w:r>
    </w:p>
    <w:p w14:paraId="765BFE84">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（3）总灰分（Total Ash Content）采用ASTM D2866测试方法结果不大于1%。</w:t>
      </w:r>
    </w:p>
    <w:p w14:paraId="57DC8B2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（4）球盘硬度（Ball Pan Hardness）采用ATSM D3802测试方法结果不小于98%,堆积密度（Apparent Density）采用ATSM D2854测试方法结果不小于460g/L。</w:t>
      </w:r>
    </w:p>
    <w:p w14:paraId="3DE4C2D5">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（5）PH值采用ASTM D3838测试方法结果在5-7之间。</w:t>
      </w:r>
      <w:r>
        <w:rPr>
          <w:rFonts w:hint="eastAsia" w:ascii="宋体" w:hAnsi="宋体" w:eastAsia="宋体" w:cs="宋体"/>
          <w:color w:val="FF0000"/>
          <w:sz w:val="24"/>
          <w:szCs w:val="24"/>
          <w:shd w:val="clear" w:color="auto" w:fill="auto"/>
        </w:rPr>
        <w:br w:type="textWrapping"/>
      </w:r>
      <w:r>
        <w:rPr>
          <w:rFonts w:hint="eastAsia" w:ascii="宋体" w:hAnsi="宋体" w:eastAsia="宋体" w:cs="宋体"/>
          <w:color w:val="FF0000"/>
          <w:sz w:val="24"/>
          <w:szCs w:val="24"/>
          <w:shd w:val="clear" w:color="auto" w:fill="auto"/>
          <w:lang w:eastAsia="zh-CN"/>
        </w:rPr>
        <w:t>注：以上（</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-（5）项需提供</w:t>
      </w:r>
      <w:r>
        <w:rPr>
          <w:rFonts w:hint="eastAsia" w:ascii="宋体" w:hAnsi="宋体" w:eastAsia="宋体" w:cs="宋体"/>
          <w:color w:val="FF0000"/>
          <w:sz w:val="24"/>
          <w:szCs w:val="24"/>
          <w:shd w:val="clear" w:color="auto" w:fill="auto"/>
        </w:rPr>
        <w:t>要求提供产品说明书或者检测报告</w:t>
      </w:r>
      <w:r>
        <w:rPr>
          <w:rFonts w:hint="eastAsia" w:ascii="宋体" w:hAnsi="宋体" w:eastAsia="宋体" w:cs="宋体"/>
          <w:color w:val="FF0000"/>
          <w:sz w:val="24"/>
          <w:szCs w:val="24"/>
          <w:shd w:val="clear" w:color="auto" w:fill="auto"/>
          <w:lang w:val="en-US" w:eastAsia="zh-CN"/>
        </w:rPr>
        <w:t>并加盖参选供应商公章。</w:t>
      </w:r>
    </w:p>
    <w:p w14:paraId="3CC417A7">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3、适用于血液透析用水净化的离子交换树脂，1665罐体（180L）4个，约700L。其指标要求为：</w:t>
      </w:r>
    </w:p>
    <w:p w14:paraId="16411A78">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（1）总容量（Total Capacity）采用GB8144-87测试方法结果不小于2.20eq/l,</w:t>
      </w:r>
    </w:p>
    <w:p w14:paraId="17229D56">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（2）阳离子持水能力（Water Retention Capacity）采用GB/T5757-86测试方法结果在43%-47% 之间。</w:t>
      </w:r>
    </w:p>
    <w:p w14:paraId="6ACA451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（3）体积密度（Bulk Density）采用GB/T 8331-87测试方法结果在0.81-0.89g/ml之间。</w:t>
      </w:r>
    </w:p>
    <w:p w14:paraId="77F7335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（4）实际密度（Real Density）采用GB8330-87测试方法结果在1.28-1.32g/ml之间。</w:t>
      </w:r>
    </w:p>
    <w:p w14:paraId="4D0AE713">
      <w:pPr>
        <w:spacing w:line="39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rPr>
        <w:t>（5）均匀性系数（Uniformity Coefficient）采用GB/T 5758-2001-1 测试方法其最大值不大于1.60。</w:t>
      </w:r>
    </w:p>
    <w:p w14:paraId="0627E52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注：以上</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-（5）项需提供相应的检测报告或相应的证明材料并加盖参选供应商公章。</w:t>
      </w:r>
    </w:p>
    <w:p w14:paraId="39A22F6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适用于GAMBRO CWP60系列水机的4040+4021组合RO膜16根，（说明：水机内RO膜由一根4040与一根4021组合而成，此处表述的16根指组合后的数量，实际数量为4040和4021各16根）单根组合RO膜产水量≥3625gpd/d（13.68m³/d），脱盐率≥99%。该RO膜为超低压力膜（水机加压泵施加压力约为9bar）。</w:t>
      </w:r>
      <w:r>
        <w:rPr>
          <w:rFonts w:hint="eastAsia" w:ascii="宋体" w:hAnsi="宋体" w:eastAsia="宋体" w:cs="宋体"/>
          <w:color w:val="FF0000"/>
          <w:sz w:val="24"/>
          <w:szCs w:val="24"/>
          <w:shd w:val="clear" w:color="auto" w:fill="auto"/>
          <w:lang w:eastAsia="zh-CN"/>
        </w:rPr>
        <w:t>比选</w:t>
      </w:r>
      <w:r>
        <w:rPr>
          <w:rFonts w:hint="eastAsia" w:ascii="宋体" w:hAnsi="宋体" w:eastAsia="宋体" w:cs="宋体"/>
          <w:color w:val="FF0000"/>
          <w:sz w:val="24"/>
          <w:szCs w:val="24"/>
          <w:shd w:val="clear" w:color="auto" w:fill="auto"/>
        </w:rPr>
        <w:t>文件需注明反渗膜的型号，性能参数证明文件（包括工作压力，产水量等），若为进口产品需提供之前更换同型号水机反渗膜的报关单。</w:t>
      </w:r>
    </w:p>
    <w:p w14:paraId="1D1E0BF6">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5、施工周期从周六晚上下机开始，24小时内完成填料和膜的更换、冲洗和消毒等工作。因施工周期短、专业要求高，</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应取得水机厂家的授权或近三年内在三甲医院更换过同品牌同系列水机的填料和反渗膜至少一次，</w:t>
      </w:r>
      <w:r>
        <w:rPr>
          <w:rFonts w:hint="eastAsia" w:ascii="宋体" w:hAnsi="宋体" w:eastAsia="宋体" w:cs="宋体"/>
          <w:color w:val="FF0000"/>
          <w:sz w:val="24"/>
          <w:szCs w:val="24"/>
          <w:shd w:val="clear" w:color="auto" w:fill="auto"/>
          <w:lang w:eastAsia="zh-CN"/>
        </w:rPr>
        <w:t>需</w:t>
      </w:r>
      <w:r>
        <w:rPr>
          <w:rFonts w:hint="eastAsia" w:ascii="宋体" w:hAnsi="宋体" w:eastAsia="宋体" w:cs="宋体"/>
          <w:color w:val="FF0000"/>
          <w:sz w:val="24"/>
          <w:szCs w:val="24"/>
          <w:shd w:val="clear" w:color="auto" w:fill="auto"/>
        </w:rPr>
        <w:t>提供证明材料</w:t>
      </w:r>
      <w:r>
        <w:rPr>
          <w:rFonts w:hint="eastAsia" w:ascii="宋体" w:hAnsi="宋体" w:eastAsia="宋体" w:cs="宋体"/>
          <w:color w:val="FF0000"/>
          <w:sz w:val="24"/>
          <w:szCs w:val="24"/>
          <w:shd w:val="clear" w:color="auto" w:fill="auto"/>
          <w:lang w:eastAsia="zh-CN"/>
        </w:rPr>
        <w:t>并加盖公章</w:t>
      </w:r>
      <w:r>
        <w:rPr>
          <w:rFonts w:hint="eastAsia" w:ascii="宋体" w:hAnsi="宋体" w:eastAsia="宋体" w:cs="宋体"/>
          <w:color w:val="FF0000"/>
          <w:sz w:val="24"/>
          <w:szCs w:val="24"/>
          <w:shd w:val="clear" w:color="auto" w:fill="auto"/>
        </w:rPr>
        <w:t>。</w:t>
      </w:r>
    </w:p>
    <w:p w14:paraId="568212A1">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553DA0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F99910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69CF41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4C20A4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F3D115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5E7F39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4322B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94EF5A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72DEF31">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6B518F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C8F47D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56ACE9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4D58E7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在更换配件或耗材时，造成设备损坏或其他损失，由</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负责，保证文明安全施工，并保证周一早上透析治疗能正常进行。</w:t>
      </w:r>
    </w:p>
    <w:p w14:paraId="69E95B32">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施工完成后需将更换的废料运到指定地点。</w:t>
      </w:r>
    </w:p>
    <w:p w14:paraId="0FB6FEBC">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所更换配件或材料需提供产品说明书，若属进口产品的需提供报关单。</w:t>
      </w:r>
    </w:p>
    <w:p w14:paraId="3F128AC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质保期：≥1年。</w:t>
      </w:r>
    </w:p>
    <w:p w14:paraId="251B5F51">
      <w:pPr>
        <w:spacing w:line="39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付款方式：合同签订后5个工作日内，成交供应商向采购人转账支付合同金额的8%作为履约保证金。验收合格后成交供应商凭合法有效的发票与服务完成单据，经采购人审核无误后60日内转账支付合同价款100%，履约保证金在质保期满后无息支付。</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15711"/>
      <w:bookmarkStart w:id="84" w:name="_Toc485108794"/>
      <w:bookmarkStart w:id="85" w:name="_Toc14840"/>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3696"/>
      <w:bookmarkStart w:id="137" w:name="_Toc485108795"/>
      <w:bookmarkStart w:id="138" w:name="_Toc12789072"/>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0"/>
      <w:bookmarkStart w:id="145"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19884"/>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0979018"/>
      <w:bookmarkStart w:id="152" w:name="_Toc313888360"/>
      <w:bookmarkStart w:id="153" w:name="_Toc313008356"/>
      <w:bookmarkStart w:id="154" w:name="_Toc5565"/>
      <w:bookmarkStart w:id="155" w:name="_Toc342913419"/>
      <w:bookmarkStart w:id="156" w:name="_Toc48510879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numPr>
          <w:ilvl w:val="0"/>
          <w:numId w:val="14"/>
        </w:num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明细报价表</w:t>
      </w:r>
    </w:p>
    <w:p w14:paraId="6CC3DC87">
      <w:pPr>
        <w:pStyle w:val="2"/>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报价表</w:t>
      </w:r>
    </w:p>
    <w:tbl>
      <w:tblPr>
        <w:tblStyle w:val="58"/>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276"/>
        <w:gridCol w:w="1417"/>
        <w:gridCol w:w="1665"/>
        <w:gridCol w:w="1134"/>
        <w:gridCol w:w="1134"/>
        <w:gridCol w:w="1150"/>
      </w:tblGrid>
      <w:tr w14:paraId="7D8E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5240BA3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BF44A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规格型号</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AD86F3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原产地及</w:t>
            </w:r>
          </w:p>
          <w:p w14:paraId="3DAAC597">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生产厂家</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960091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主要内容</w:t>
            </w:r>
          </w:p>
          <w:p w14:paraId="1D2F435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（配置及技术参数）</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C6B3286">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A172549">
            <w:pPr>
              <w:spacing w:line="440" w:lineRule="exac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单价（元）</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690F6C2">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合计（元）</w:t>
            </w:r>
          </w:p>
        </w:tc>
      </w:tr>
      <w:tr w14:paraId="7D94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273" w:type="dxa"/>
            <w:tcBorders>
              <w:top w:val="single" w:color="auto" w:sz="4" w:space="0"/>
              <w:left w:val="single" w:color="auto" w:sz="4" w:space="0"/>
              <w:bottom w:val="single" w:color="auto" w:sz="4" w:space="0"/>
              <w:right w:val="single" w:color="auto" w:sz="4" w:space="0"/>
            </w:tcBorders>
            <w:noWrap w:val="0"/>
            <w:vAlign w:val="center"/>
          </w:tcPr>
          <w:p w14:paraId="2E27B019">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A2746E1">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6B29903">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665" w:type="dxa"/>
            <w:tcBorders>
              <w:top w:val="single" w:color="auto" w:sz="4" w:space="0"/>
              <w:left w:val="single" w:color="auto" w:sz="4" w:space="0"/>
              <w:bottom w:val="single" w:color="auto" w:sz="4" w:space="0"/>
              <w:right w:val="single" w:color="auto" w:sz="4" w:space="0"/>
            </w:tcBorders>
            <w:noWrap w:val="0"/>
            <w:vAlign w:val="center"/>
          </w:tcPr>
          <w:p w14:paraId="2B2228CA">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D807D1F">
            <w:pPr>
              <w:spacing w:line="44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XXX</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4B00FB6">
            <w:pPr>
              <w:spacing w:line="440" w:lineRule="exact"/>
              <w:ind w:right="210"/>
              <w:jc w:val="center"/>
              <w:rPr>
                <w:rFonts w:hint="eastAsia" w:ascii="宋体" w:hAnsi="宋体" w:eastAsia="宋体" w:cs="宋体"/>
                <w:color w:val="000000" w:themeColor="text1"/>
                <w:sz w:val="24"/>
                <w:szCs w:val="24"/>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7A16CCF">
            <w:pPr>
              <w:spacing w:line="440" w:lineRule="exact"/>
              <w:jc w:val="center"/>
              <w:rPr>
                <w:rFonts w:hint="eastAsia" w:ascii="宋体" w:hAnsi="宋体" w:eastAsia="宋体" w:cs="宋体"/>
                <w:color w:val="000000" w:themeColor="text1"/>
                <w:sz w:val="24"/>
                <w:szCs w:val="24"/>
                <w14:textFill>
                  <w14:solidFill>
                    <w14:schemeClr w14:val="tx1"/>
                  </w14:solidFill>
                </w14:textFill>
              </w:rPr>
            </w:pPr>
          </w:p>
        </w:tc>
      </w:tr>
      <w:tr w14:paraId="53EC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3EB77B82">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维修总费用： </w:t>
            </w:r>
          </w:p>
        </w:tc>
      </w:tr>
      <w:tr w14:paraId="4CD7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1B2E2DA3">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质保期： </w:t>
            </w:r>
          </w:p>
        </w:tc>
      </w:tr>
      <w:tr w14:paraId="6E1B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4B3F891C">
            <w:pPr>
              <w:spacing w:line="4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到货期：</w:t>
            </w:r>
          </w:p>
        </w:tc>
      </w:tr>
      <w:tr w14:paraId="136F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49" w:type="dxa"/>
            <w:gridSpan w:val="7"/>
            <w:tcBorders>
              <w:top w:val="single" w:color="auto" w:sz="4" w:space="0"/>
              <w:left w:val="single" w:color="auto" w:sz="4" w:space="0"/>
              <w:bottom w:val="single" w:color="auto" w:sz="4" w:space="0"/>
              <w:right w:val="single" w:color="auto" w:sz="4" w:space="0"/>
            </w:tcBorders>
            <w:noWrap w:val="0"/>
            <w:vAlign w:val="center"/>
          </w:tcPr>
          <w:p w14:paraId="6F1D0679">
            <w:pPr>
              <w:spacing w:line="440" w:lineRule="exac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备注：</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以上报价为包干价，包含但不限于、货款、安装费、调试费、人工费、税金等所有费用。</w:t>
            </w:r>
          </w:p>
          <w:p w14:paraId="5F703201">
            <w:pPr>
              <w:pStyle w:val="2"/>
              <w:rPr>
                <w:rFonts w:hint="default"/>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2.该表可拓展。</w:t>
            </w:r>
          </w:p>
        </w:tc>
      </w:tr>
    </w:tbl>
    <w:p w14:paraId="79BE59E7">
      <w:pPr>
        <w:numPr>
          <w:ilvl w:val="0"/>
          <w:numId w:val="0"/>
        </w:numPr>
        <w:tabs>
          <w:tab w:val="left" w:pos="2895"/>
        </w:tabs>
        <w:spacing w:line="360" w:lineRule="auto"/>
        <w:outlineLvl w:val="3"/>
        <w:rPr>
          <w:rFonts w:hint="eastAsia" w:ascii="宋体" w:hAnsi="宋体" w:eastAsia="宋体" w:cs="宋体"/>
          <w:color w:val="000000" w:themeColor="text1"/>
          <w:sz w:val="24"/>
          <w:szCs w:val="24"/>
          <w:shd w:val="clear" w:color="auto" w:fill="auto"/>
          <w14:textFill>
            <w14:solidFill>
              <w14:schemeClr w14:val="tx1"/>
            </w14:solidFill>
          </w14:textFill>
        </w:rPr>
      </w:pPr>
    </w:p>
    <w:p w14:paraId="6D6C9DAC">
      <w:pPr>
        <w:rPr>
          <w:rFonts w:hint="eastAsia" w:ascii="宋体" w:hAnsi="宋体" w:eastAsia="宋体" w:cs="宋体"/>
          <w:b/>
          <w:color w:val="000000" w:themeColor="text1"/>
          <w:shd w:val="clear" w:color="auto" w:fill="auto"/>
          <w14:textFill>
            <w14:solidFill>
              <w14:schemeClr w14:val="tx1"/>
            </w14:solidFill>
          </w14:textFill>
        </w:rPr>
      </w:pPr>
      <w:bookmarkStart w:id="159" w:name="_Toc480979019"/>
      <w:bookmarkStart w:id="160" w:name="_Toc313008357"/>
      <w:bookmarkStart w:id="161" w:name="_Toc342913420"/>
      <w:bookmarkStart w:id="162" w:name="_Toc313888361"/>
      <w:bookmarkStart w:id="163" w:name="_Toc485108797"/>
    </w:p>
    <w:p w14:paraId="48D28127">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551A2F20">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480979020"/>
      <w:bookmarkStart w:id="167" w:name="_Toc342913421"/>
      <w:bookmarkStart w:id="168" w:name="_Toc313888362"/>
      <w:bookmarkStart w:id="169" w:name="_Toc13844"/>
      <w:bookmarkStart w:id="170" w:name="_Toc313008358"/>
      <w:bookmarkStart w:id="171" w:name="_Toc485108798"/>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E5506375-A767-4C1A-9085-BEDEB0246E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D7A22"/>
    <w:multiLevelType w:val="singleLevel"/>
    <w:tmpl w:val="D9BD7A22"/>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835763"/>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B67983"/>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A13E34"/>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6A6503"/>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C61A35"/>
    <w:rsid w:val="32DA1DD4"/>
    <w:rsid w:val="33323C73"/>
    <w:rsid w:val="3361798A"/>
    <w:rsid w:val="33861085"/>
    <w:rsid w:val="33C55E5D"/>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509A"/>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9435BF"/>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B04F27"/>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4"/>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12964</Words>
  <Characters>13629</Characters>
  <Lines>182</Lines>
  <Paragraphs>51</Paragraphs>
  <TotalTime>0</TotalTime>
  <ScaleCrop>false</ScaleCrop>
  <LinksUpToDate>false</LinksUpToDate>
  <CharactersWithSpaces>14676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2025-06-09T00:14:23Z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