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2025FW068</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锅炉维保服务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6921"/>
      <w:bookmarkStart w:id="2" w:name="_Toc23588"/>
      <w:bookmarkStart w:id="3" w:name="_Toc12789052"/>
      <w:bookmarkStart w:id="4" w:name="_Toc25875"/>
      <w:bookmarkStart w:id="5"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锅炉维保服务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317775175"/>
      <w:bookmarkStart w:id="10" w:name="_Toc485108767"/>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锅炉维保服务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合同期限：3年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w:t>
      </w:r>
      <w:r>
        <w:rPr>
          <w:rFonts w:hint="eastAsia" w:eastAsia="方正仿宋_GBK"/>
          <w:sz w:val="28"/>
          <w:szCs w:val="28"/>
        </w:rPr>
        <w:t>医院自筹</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,预算金额：13.5万元。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288B67C2">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特种设备安装改造修理许可证（锅炉）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w:t>
      </w:r>
      <w:bookmarkStart w:id="189" w:name="_GoBack"/>
      <w:bookmarkEnd w:id="18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根据采购方相关要求对锅炉的维保服务费用进行报价，报价包含服务费、材料费、保险费、税费等各项费用。</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9"/>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342913393"/>
      <w:bookmarkStart w:id="42" w:name="_Toc179714298"/>
      <w:bookmarkStart w:id="43" w:name="_Toc19143"/>
      <w:bookmarkStart w:id="44" w:name="_Toc403569780"/>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14247"/>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7135"/>
      <w:bookmarkStart w:id="56" w:name="_Toc102227321"/>
      <w:bookmarkStart w:id="57" w:name="_Toc403569783"/>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342913396"/>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4C208651">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1.锅炉基本情况：（1）萱花院区锅炉共3台：特富4吨卧式燃气锅炉（WNS4-1.25-Y(Q)）一台，方快2吨卧式燃气锅炉（WNS2-1.25-Y(Q)）一台，荏原4吨立式燃气锅炉（LSS4-1.0-Q）一台。（2）大安院区锅炉共2台：WZR0.93-80/60-YQ。</w:t>
      </w:r>
    </w:p>
    <w:p w14:paraId="044E603D">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锅炉维保范围</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锅炉本体、燃烧机、电控系统、节能器、水处理设备、软水箱、管道、水泵等所有锅炉相关设施设备。</w:t>
      </w:r>
    </w:p>
    <w:p w14:paraId="652A3876">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服务要求</w:t>
      </w:r>
    </w:p>
    <w:p w14:paraId="50D5AD1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①</w:t>
      </w:r>
      <w:r>
        <w:rPr>
          <w:rFonts w:hint="eastAsia" w:ascii="宋体" w:hAnsi="宋体" w:eastAsia="宋体" w:cs="宋体"/>
          <w:color w:val="FF0000"/>
          <w:sz w:val="24"/>
          <w:szCs w:val="24"/>
          <w:shd w:val="clear" w:color="auto" w:fill="auto"/>
        </w:rPr>
        <w:t>服务方在巡检过程中发现问题应立即维修处理，每次完成巡检及相关维保、维修工作后由采购方签字确认。不能立即解决的，以书面形式报告采购方，并积极组织人员制订方案，在3日内解决，重大问题解决时间由双方协商。</w:t>
      </w:r>
    </w:p>
    <w:p w14:paraId="456B824C">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②</w:t>
      </w:r>
      <w:r>
        <w:rPr>
          <w:rFonts w:hint="eastAsia" w:ascii="宋体" w:hAnsi="宋体" w:eastAsia="宋体" w:cs="宋体"/>
          <w:color w:val="FF0000"/>
          <w:sz w:val="24"/>
          <w:szCs w:val="24"/>
          <w:shd w:val="clear" w:color="auto" w:fill="auto"/>
        </w:rPr>
        <w:t xml:space="preserve">采购方锅炉出现突发故障或其它特殊情况，服务方须在接到采购方电话通知后2小时内上门检修。12小时内不能解决的问题，服务方应提供临时应急方案直至问题解决。 </w:t>
      </w:r>
    </w:p>
    <w:p w14:paraId="20BBA262">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③</w:t>
      </w:r>
      <w:r>
        <w:rPr>
          <w:rFonts w:hint="eastAsia" w:ascii="宋体" w:hAnsi="宋体" w:eastAsia="宋体" w:cs="宋体"/>
          <w:color w:val="FF0000"/>
          <w:sz w:val="24"/>
          <w:szCs w:val="24"/>
          <w:shd w:val="clear" w:color="auto" w:fill="auto"/>
        </w:rPr>
        <w:t>服务方中标后由采购方相关部门提供施工许可审批，取得院内施工许可后方可施工。如需动火动焊需取得采购方管理审批手续。服务方须指派有专业技术资质的人员开展锅炉维保工作，每次上门巡查、维护时持相关资质证件。</w:t>
      </w:r>
    </w:p>
    <w:p w14:paraId="4FC8E423">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④</w:t>
      </w:r>
      <w:r>
        <w:rPr>
          <w:rFonts w:hint="eastAsia" w:ascii="宋体" w:hAnsi="宋体" w:eastAsia="宋体" w:cs="宋体"/>
          <w:color w:val="FF0000"/>
          <w:sz w:val="24"/>
          <w:szCs w:val="24"/>
          <w:shd w:val="clear" w:color="auto" w:fill="auto"/>
        </w:rPr>
        <w:t>维保工作须严格按照锅炉的相关操作规程施工。在维保工作中，服务方应采取有效的安全措施，保证工作人员和其他人员的人身安全，并承担因安全事故导致的一切经济和法律责任。如有损坏财产须照价赔偿。</w:t>
      </w:r>
    </w:p>
    <w:p w14:paraId="742B44F6">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维保服务内容及要求</w:t>
      </w:r>
    </w:p>
    <w:p w14:paraId="4B8531E5">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①</w:t>
      </w:r>
      <w:r>
        <w:rPr>
          <w:rFonts w:hint="eastAsia" w:ascii="宋体" w:hAnsi="宋体" w:eastAsia="宋体" w:cs="宋体"/>
          <w:color w:val="FF0000"/>
          <w:sz w:val="24"/>
          <w:szCs w:val="24"/>
          <w:shd w:val="clear" w:color="auto" w:fill="auto"/>
        </w:rPr>
        <w:t>月度维保</w:t>
      </w:r>
    </w:p>
    <w:p w14:paraId="173FD685">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（1）每月检查系统、设备、阀门及仪表运行工况、外观，及时排除潜在的运行故障及安全隐患。</w:t>
      </w:r>
    </w:p>
    <w:p w14:paraId="71D2358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（2）每月清洁燃烧头的扩散器、鼓风叶轮和火焰探头，每月对浮球、电极、烟温表等进行检查除污垢，以确保其灵敏可靠。</w:t>
      </w:r>
    </w:p>
    <w:p w14:paraId="448BF28C">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（3）每月检查水处理设备中的离子交换剂是否效果良好，确保锅炉各工艺段的水质达到标准。</w:t>
      </w:r>
    </w:p>
    <w:p w14:paraId="5EE6239C">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（4）每月对锅炉等其他附属设施按采购人设备维护保养制度，定期进行维护保养。</w:t>
      </w:r>
    </w:p>
    <w:p w14:paraId="35EC215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（5）每月检查炉膛和烟管，根据使用情况对锅炉炉膛及烟管内壁、节能器的受热面积灰清理（每年至少一次）。</w:t>
      </w:r>
    </w:p>
    <w:p w14:paraId="23CCB98A">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6）每月（至少一次，根据使用状态可调整多次）通过烟气分析仪检测锅炉排放烟气中数据,精准调节燃烧器的空燃比,以达到安全燃烧和节能降耗的目的。检测各个负荷段的污染物数据,如排放超标在设备能力范围内优化调试。</w:t>
      </w:r>
    </w:p>
    <w:p w14:paraId="6303DB3B">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（7）每月根据使用情况（至少一次，根据使用状态可调整多次）对沼气阻火器和过滤棉进行清洗。</w:t>
      </w:r>
    </w:p>
    <w:p w14:paraId="108CACB3">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（8）每月通过专用设备检查锅炉结垢情况。</w:t>
      </w:r>
    </w:p>
    <w:p w14:paraId="00F7254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（9）每月对锅炉房的设备隐患、管理隐患、人员隐患、环境隐患进行排查并治理，形成隐患排查治理记录。</w:t>
      </w:r>
    </w:p>
    <w:p w14:paraId="3B9861EE">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（10）每月检查风机及叶轮运行进行情况的、并上油润滑（确保风机运行正常，且无异响）。</w:t>
      </w:r>
    </w:p>
    <w:p w14:paraId="0BF9CC5A">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②</w:t>
      </w:r>
      <w:r>
        <w:rPr>
          <w:rFonts w:hint="eastAsia" w:ascii="宋体" w:hAnsi="宋体" w:eastAsia="宋体" w:cs="宋体"/>
          <w:color w:val="FF0000"/>
          <w:sz w:val="24"/>
          <w:szCs w:val="24"/>
          <w:shd w:val="clear" w:color="auto" w:fill="auto"/>
        </w:rPr>
        <w:t>季度维保</w:t>
      </w:r>
    </w:p>
    <w:p w14:paraId="3107220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（1）每季对节能器、冷凝器、过热器进行检查清洗。</w:t>
      </w:r>
    </w:p>
    <w:p w14:paraId="4289E8DE">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（2）每季度对燃烧器各运行部件进行全面保养、检查、清洁、调校等，确保燃烧器的安全、正常、经济运行。</w:t>
      </w:r>
    </w:p>
    <w:p w14:paraId="48B46E9B">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（3）每季检查控制柜各开关及电气元气件，检查电气接线点的松动， 对各处螺母、螺钉采取紧固措施。</w:t>
      </w:r>
    </w:p>
    <w:p w14:paraId="66D0EAD8">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（4）每季更换螺杆式空压机的机油、机滤、空滤以保障设备的正常运行。</w:t>
      </w:r>
    </w:p>
    <w:p w14:paraId="24C69A91">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③</w:t>
      </w:r>
      <w:r>
        <w:rPr>
          <w:rFonts w:hint="eastAsia" w:ascii="宋体" w:hAnsi="宋体" w:eastAsia="宋体" w:cs="宋体"/>
          <w:color w:val="FF0000"/>
          <w:sz w:val="24"/>
          <w:szCs w:val="24"/>
          <w:shd w:val="clear" w:color="auto" w:fill="auto"/>
        </w:rPr>
        <w:t>年度维保</w:t>
      </w:r>
    </w:p>
    <w:p w14:paraId="6A25D36D">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（1）每年全面排查锅炉使用情况，根据排查情况，出具年度检查报告，提出相应的解决措施。</w:t>
      </w:r>
    </w:p>
    <w:p w14:paraId="01C021D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（2）每年对锅炉的烟道进行清灰，保障锅炉的燃烧效能和传热效率。</w:t>
      </w:r>
    </w:p>
    <w:p w14:paraId="7A057A1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（3）清除锅炉受热面内表面的油污、铁锈等杂质，确保锅炉在安全、经济工况下正常运行。</w:t>
      </w:r>
    </w:p>
    <w:p w14:paraId="2E863002">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④</w:t>
      </w:r>
      <w:r>
        <w:rPr>
          <w:rFonts w:hint="eastAsia" w:ascii="宋体" w:hAnsi="宋体" w:eastAsia="宋体" w:cs="宋体"/>
          <w:color w:val="FF0000"/>
          <w:sz w:val="24"/>
          <w:szCs w:val="24"/>
          <w:shd w:val="clear" w:color="auto" w:fill="auto"/>
        </w:rPr>
        <w:t>检验检测及要求</w:t>
      </w:r>
    </w:p>
    <w:p w14:paraId="763499E9">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（1）年检到期前一个月内提交年检申请，以及年检准备工作（包括按需拆除人孔、手孔、烟箱门、焊缝打磨等），年检费用甲方承担，代取检验报告。年检完成后恢复所有设备进入正常工作状态。</w:t>
      </w:r>
    </w:p>
    <w:p w14:paraId="647FF2F2">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（2）安全阀、压力表、温度计等，校验有效期到期前1个月提交“法定检验机构”进行校验，取得检验报告及合格安全附件，并更换。承担相应的检验费用，安全附件由比选人提供。</w:t>
      </w:r>
    </w:p>
    <w:p w14:paraId="0B9CAD2D">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⑤</w:t>
      </w:r>
      <w:r>
        <w:rPr>
          <w:rFonts w:hint="eastAsia" w:ascii="宋体" w:hAnsi="宋体" w:eastAsia="宋体" w:cs="宋体"/>
          <w:color w:val="FF0000"/>
          <w:sz w:val="24"/>
          <w:szCs w:val="24"/>
          <w:shd w:val="clear" w:color="auto" w:fill="auto"/>
        </w:rPr>
        <w:t>安全管理及要求</w:t>
      </w:r>
    </w:p>
    <w:p w14:paraId="0625F347">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每年至少1次对采购方特种设备管理人员及操作人员进行法律法规及安全操作技术培训或应急演练。培训内容包括：特种设备安全基本知识、生产工艺及操作规程、新技术、特种设备安全法律法规和安全规章制度、作业场所和工作岗位存在的危险源、防范措施及事故应急措施、事故案例等。培训应有书面记录并经被培训人员签字确认。</w:t>
      </w:r>
    </w:p>
    <w:p w14:paraId="579A3F6A">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（2）服务方工作人员进入锅炉房作业，应执行采购方相关安全、生产、设备等安全管理规章制度。</w:t>
      </w:r>
    </w:p>
    <w:p w14:paraId="2221D61B">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（3）服务方维保人员名单须交由采购方备案，维修作业应遵守采购方相关管理制度及现场管理人员的临时工作调配。</w:t>
      </w:r>
    </w:p>
    <w:p w14:paraId="038622D0">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（4）比选人将不定期对锅炉维修维保情况进行监督检查，如有不合规项，按维保合同及比选人相关管理制度对维保人员进行考核。</w:t>
      </w:r>
    </w:p>
    <w:p w14:paraId="6BA8F18C">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（5）如发生锅炉事故，服务方应到达现场配合采购方保护事故现场以及相关证据，及时收集、整理有关资料，为事故调查做好准备；必要时，应当对设备、场地、资料进行封存，由专人看管。</w:t>
      </w:r>
    </w:p>
    <w:p w14:paraId="673100F5">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⑥</w:t>
      </w:r>
      <w:r>
        <w:rPr>
          <w:rFonts w:hint="eastAsia" w:ascii="宋体" w:hAnsi="宋体" w:eastAsia="宋体" w:cs="宋体"/>
          <w:color w:val="FF0000"/>
          <w:sz w:val="24"/>
          <w:szCs w:val="24"/>
          <w:shd w:val="clear" w:color="auto" w:fill="auto"/>
        </w:rPr>
        <w:t>档案管理及要求</w:t>
      </w:r>
    </w:p>
    <w:p w14:paraId="1A41C683">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编制各类记录资料，记录锅炉人员培训、使用运行、维护保养、应急演练、故障处置等过程。记录应填写完整、字迹清楚、标识明确，双方签字确认。按《特种设备使用管理规则》中安全技术档案的要求进行规整，形成的记录定期交由采购方存档。</w:t>
      </w:r>
    </w:p>
    <w:p w14:paraId="2206BA62">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4F6259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931A9A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6C9C45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B9D9F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2E2D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B55375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4" w:name="_Toc17014"/>
      <w:bookmarkStart w:id="75" w:name="_Toc4364"/>
    </w:p>
    <w:p w14:paraId="14310CD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A86E34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ECB2477">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7AACC4C">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83E8EC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1749B7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9699F37">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18B6309">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B9F59EF">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AC8304F">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E2EC7E5">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E704535">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7C4117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0C52ADB">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779B59D1">
      <w:pPr>
        <w:snapToGrid w:val="0"/>
        <w:spacing w:line="40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现场勘查：投标单位须勘查现场，联系人：孟江涛，13667618976。</w:t>
      </w:r>
    </w:p>
    <w:p w14:paraId="10D7899B">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2.合同期限：3年。</w:t>
      </w:r>
    </w:p>
    <w:p w14:paraId="1CD215E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付款方式：锅炉维保费用每半年支付一次。结算时，服务方需提供合法发票及维保工作完成签字确认书面文件，经采购方审核无误后于60日内转账支付维保费用。</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14840"/>
      <w:bookmarkStart w:id="83" w:name="_Toc403569796"/>
      <w:bookmarkStart w:id="84" w:name="_Toc15711"/>
      <w:bookmarkStart w:id="85" w:name="_Toc485108794"/>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54718207"/>
      <w:bookmarkStart w:id="11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14085"/>
      <w:bookmarkStart w:id="137" w:name="_Toc485108795"/>
      <w:bookmarkStart w:id="138" w:name="_Toc29521"/>
      <w:bookmarkStart w:id="13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42913419"/>
      <w:bookmarkStart w:id="152" w:name="_Toc480979018"/>
      <w:bookmarkStart w:id="153" w:name="_Toc485108796"/>
      <w:bookmarkStart w:id="154" w:name="_Toc313888360"/>
      <w:bookmarkStart w:id="155" w:name="_Toc313008356"/>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99817B3">
      <w:pPr>
        <w:pStyle w:val="52"/>
        <w:spacing w:before="0" w:beforeAutospacing="0" w:after="0" w:afterAutospacing="0" w:line="480" w:lineRule="auto"/>
        <w:jc w:val="center"/>
        <w:rPr>
          <w:sz w:val="22"/>
        </w:rPr>
      </w:pPr>
      <w:bookmarkStart w:id="159" w:name="_Toc480979019"/>
      <w:bookmarkStart w:id="160" w:name="_Toc313888361"/>
      <w:bookmarkStart w:id="161" w:name="_Toc342913420"/>
      <w:bookmarkStart w:id="162" w:name="_Toc313008357"/>
      <w:bookmarkStart w:id="163" w:name="_Toc485108797"/>
      <w:r>
        <w:rPr>
          <w:rFonts w:hint="eastAsia"/>
          <w:sz w:val="32"/>
          <w:szCs w:val="36"/>
        </w:rPr>
        <w:t>报价表</w:t>
      </w:r>
    </w:p>
    <w:tbl>
      <w:tblPr>
        <w:tblStyle w:val="59"/>
        <w:tblW w:w="0" w:type="auto"/>
        <w:tblInd w:w="4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8"/>
        <w:gridCol w:w="3827"/>
        <w:gridCol w:w="1899"/>
      </w:tblGrid>
      <w:tr w14:paraId="780F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78" w:type="dxa"/>
            <w:vAlign w:val="center"/>
          </w:tcPr>
          <w:p w14:paraId="5C8C1B0D">
            <w:pPr>
              <w:pStyle w:val="52"/>
              <w:spacing w:before="0" w:beforeAutospacing="0" w:after="0" w:afterAutospacing="0" w:line="480" w:lineRule="auto"/>
              <w:jc w:val="center"/>
              <w:rPr>
                <w:sz w:val="28"/>
                <w:szCs w:val="28"/>
              </w:rPr>
            </w:pPr>
            <w:r>
              <w:rPr>
                <w:rFonts w:hint="eastAsia"/>
                <w:sz w:val="28"/>
                <w:szCs w:val="28"/>
              </w:rPr>
              <w:t>项目</w:t>
            </w:r>
          </w:p>
        </w:tc>
        <w:tc>
          <w:tcPr>
            <w:tcW w:w="3827" w:type="dxa"/>
            <w:vAlign w:val="center"/>
          </w:tcPr>
          <w:p w14:paraId="6B770277">
            <w:pPr>
              <w:pStyle w:val="52"/>
              <w:spacing w:before="0" w:beforeAutospacing="0" w:after="0" w:afterAutospacing="0" w:line="480" w:lineRule="auto"/>
              <w:jc w:val="center"/>
              <w:rPr>
                <w:sz w:val="28"/>
                <w:szCs w:val="28"/>
              </w:rPr>
            </w:pPr>
            <w:r>
              <w:rPr>
                <w:rFonts w:hint="eastAsia"/>
                <w:sz w:val="28"/>
                <w:szCs w:val="28"/>
              </w:rPr>
              <w:t>费用（元/台/年）</w:t>
            </w:r>
          </w:p>
        </w:tc>
        <w:tc>
          <w:tcPr>
            <w:tcW w:w="1899" w:type="dxa"/>
            <w:vAlign w:val="center"/>
          </w:tcPr>
          <w:p w14:paraId="4960BB54">
            <w:pPr>
              <w:pStyle w:val="52"/>
              <w:spacing w:before="0" w:beforeAutospacing="0" w:after="0" w:afterAutospacing="0" w:line="480" w:lineRule="auto"/>
              <w:jc w:val="center"/>
              <w:rPr>
                <w:sz w:val="28"/>
                <w:szCs w:val="28"/>
              </w:rPr>
            </w:pPr>
            <w:r>
              <w:rPr>
                <w:rFonts w:hint="eastAsia"/>
                <w:sz w:val="28"/>
                <w:szCs w:val="28"/>
              </w:rPr>
              <w:t>备注</w:t>
            </w:r>
          </w:p>
        </w:tc>
      </w:tr>
      <w:tr w14:paraId="5711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78" w:type="dxa"/>
            <w:vAlign w:val="center"/>
          </w:tcPr>
          <w:p w14:paraId="7615D88B">
            <w:pPr>
              <w:spacing w:line="240" w:lineRule="exact"/>
              <w:jc w:val="center"/>
              <w:rPr>
                <w:sz w:val="28"/>
                <w:szCs w:val="28"/>
              </w:rPr>
            </w:pPr>
            <w:r>
              <w:rPr>
                <w:rFonts w:eastAsia="方正仿宋_GBK"/>
                <w:sz w:val="24"/>
              </w:rPr>
              <w:t>特富4吨卧式燃气锅炉WNS4-1.25-Y(Q)</w:t>
            </w:r>
          </w:p>
        </w:tc>
        <w:tc>
          <w:tcPr>
            <w:tcW w:w="3827" w:type="dxa"/>
            <w:vAlign w:val="center"/>
          </w:tcPr>
          <w:p w14:paraId="503C0E4A">
            <w:pPr>
              <w:pStyle w:val="52"/>
              <w:spacing w:before="0" w:beforeAutospacing="0" w:after="0" w:afterAutospacing="0" w:line="480" w:lineRule="auto"/>
              <w:jc w:val="center"/>
              <w:rPr>
                <w:sz w:val="28"/>
                <w:szCs w:val="28"/>
              </w:rPr>
            </w:pPr>
          </w:p>
        </w:tc>
        <w:tc>
          <w:tcPr>
            <w:tcW w:w="1899" w:type="dxa"/>
            <w:vAlign w:val="center"/>
          </w:tcPr>
          <w:p w14:paraId="27628E17">
            <w:pPr>
              <w:pStyle w:val="52"/>
              <w:spacing w:before="0" w:beforeAutospacing="0" w:after="0" w:afterAutospacing="0" w:line="480" w:lineRule="auto"/>
              <w:jc w:val="center"/>
              <w:rPr>
                <w:sz w:val="28"/>
                <w:szCs w:val="28"/>
              </w:rPr>
            </w:pPr>
          </w:p>
        </w:tc>
      </w:tr>
      <w:tr w14:paraId="27F97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78" w:type="dxa"/>
            <w:vAlign w:val="center"/>
          </w:tcPr>
          <w:p w14:paraId="0DFC2124">
            <w:pPr>
              <w:spacing w:line="240" w:lineRule="exact"/>
              <w:jc w:val="center"/>
              <w:rPr>
                <w:rFonts w:eastAsia="方正仿宋_GBK"/>
                <w:sz w:val="24"/>
              </w:rPr>
            </w:pPr>
            <w:r>
              <w:rPr>
                <w:rFonts w:eastAsia="方正仿宋_GBK"/>
                <w:sz w:val="24"/>
              </w:rPr>
              <w:t>方快2吨卧式燃气锅炉WNS2-1.25-Y(Q)</w:t>
            </w:r>
          </w:p>
        </w:tc>
        <w:tc>
          <w:tcPr>
            <w:tcW w:w="3827" w:type="dxa"/>
            <w:vAlign w:val="center"/>
          </w:tcPr>
          <w:p w14:paraId="5348F3A2">
            <w:pPr>
              <w:pStyle w:val="52"/>
              <w:spacing w:before="0" w:beforeAutospacing="0" w:after="0" w:afterAutospacing="0" w:line="480" w:lineRule="auto"/>
              <w:jc w:val="center"/>
              <w:rPr>
                <w:sz w:val="28"/>
                <w:szCs w:val="28"/>
              </w:rPr>
            </w:pPr>
          </w:p>
        </w:tc>
        <w:tc>
          <w:tcPr>
            <w:tcW w:w="1899" w:type="dxa"/>
            <w:vAlign w:val="center"/>
          </w:tcPr>
          <w:p w14:paraId="37307919">
            <w:pPr>
              <w:pStyle w:val="52"/>
              <w:spacing w:before="0" w:beforeAutospacing="0" w:after="0" w:afterAutospacing="0" w:line="480" w:lineRule="auto"/>
              <w:jc w:val="center"/>
              <w:rPr>
                <w:sz w:val="28"/>
                <w:szCs w:val="28"/>
              </w:rPr>
            </w:pPr>
          </w:p>
        </w:tc>
      </w:tr>
      <w:tr w14:paraId="28E4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78" w:type="dxa"/>
            <w:vAlign w:val="center"/>
          </w:tcPr>
          <w:p w14:paraId="3A63D471">
            <w:pPr>
              <w:spacing w:line="240" w:lineRule="exact"/>
              <w:jc w:val="center"/>
              <w:rPr>
                <w:rFonts w:eastAsia="方正仿宋_GBK"/>
                <w:sz w:val="24"/>
              </w:rPr>
            </w:pPr>
            <w:r>
              <w:rPr>
                <w:rFonts w:eastAsia="方正仿宋_GBK"/>
                <w:sz w:val="24"/>
              </w:rPr>
              <w:t>荏原4吨立式燃气锅炉LSS4-1.0-Q</w:t>
            </w:r>
          </w:p>
        </w:tc>
        <w:tc>
          <w:tcPr>
            <w:tcW w:w="3827" w:type="dxa"/>
            <w:vAlign w:val="center"/>
          </w:tcPr>
          <w:p w14:paraId="0B7D27DF">
            <w:pPr>
              <w:pStyle w:val="52"/>
              <w:spacing w:before="0" w:beforeAutospacing="0" w:after="0" w:afterAutospacing="0" w:line="480" w:lineRule="auto"/>
              <w:jc w:val="center"/>
              <w:rPr>
                <w:sz w:val="28"/>
                <w:szCs w:val="28"/>
              </w:rPr>
            </w:pPr>
          </w:p>
        </w:tc>
        <w:tc>
          <w:tcPr>
            <w:tcW w:w="1899" w:type="dxa"/>
            <w:vAlign w:val="center"/>
          </w:tcPr>
          <w:p w14:paraId="4198E6D4">
            <w:pPr>
              <w:pStyle w:val="52"/>
              <w:spacing w:before="0" w:beforeAutospacing="0" w:after="0" w:afterAutospacing="0" w:line="480" w:lineRule="auto"/>
              <w:jc w:val="center"/>
              <w:rPr>
                <w:sz w:val="28"/>
                <w:szCs w:val="28"/>
              </w:rPr>
            </w:pPr>
          </w:p>
        </w:tc>
      </w:tr>
      <w:tr w14:paraId="5DA5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78" w:type="dxa"/>
            <w:vAlign w:val="center"/>
          </w:tcPr>
          <w:p w14:paraId="6134E8F3">
            <w:pPr>
              <w:spacing w:line="240" w:lineRule="exact"/>
              <w:jc w:val="center"/>
              <w:rPr>
                <w:sz w:val="28"/>
                <w:szCs w:val="28"/>
              </w:rPr>
            </w:pPr>
            <w:r>
              <w:rPr>
                <w:rFonts w:eastAsia="方正仿宋_GBK"/>
                <w:sz w:val="24"/>
              </w:rPr>
              <w:t>大安院区锅炉</w:t>
            </w:r>
            <w:r>
              <w:rPr>
                <w:rFonts w:hint="eastAsia" w:eastAsia="方正仿宋_GBK"/>
                <w:sz w:val="24"/>
              </w:rPr>
              <w:t>WZR0.93-80/60-YQ</w:t>
            </w:r>
          </w:p>
        </w:tc>
        <w:tc>
          <w:tcPr>
            <w:tcW w:w="3827" w:type="dxa"/>
            <w:vAlign w:val="center"/>
          </w:tcPr>
          <w:p w14:paraId="20CFBB96">
            <w:pPr>
              <w:pStyle w:val="52"/>
              <w:spacing w:before="0" w:beforeAutospacing="0" w:after="0" w:afterAutospacing="0" w:line="480" w:lineRule="auto"/>
              <w:jc w:val="center"/>
              <w:rPr>
                <w:sz w:val="28"/>
                <w:szCs w:val="28"/>
              </w:rPr>
            </w:pPr>
          </w:p>
        </w:tc>
        <w:tc>
          <w:tcPr>
            <w:tcW w:w="1899" w:type="dxa"/>
            <w:vAlign w:val="center"/>
          </w:tcPr>
          <w:p w14:paraId="2C1C44ED">
            <w:pPr>
              <w:pStyle w:val="52"/>
              <w:spacing w:before="0" w:beforeAutospacing="0" w:after="0" w:afterAutospacing="0" w:line="480" w:lineRule="auto"/>
              <w:jc w:val="center"/>
              <w:rPr>
                <w:sz w:val="28"/>
                <w:szCs w:val="28"/>
              </w:rPr>
            </w:pPr>
          </w:p>
        </w:tc>
      </w:tr>
      <w:tr w14:paraId="4EC88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878" w:type="dxa"/>
            <w:vAlign w:val="center"/>
          </w:tcPr>
          <w:p w14:paraId="437DFFE7">
            <w:pPr>
              <w:pStyle w:val="52"/>
              <w:spacing w:before="0" w:beforeAutospacing="0" w:after="0" w:afterAutospacing="0" w:line="480" w:lineRule="auto"/>
              <w:jc w:val="center"/>
              <w:rPr>
                <w:sz w:val="28"/>
                <w:szCs w:val="28"/>
              </w:rPr>
            </w:pPr>
            <w:r>
              <w:rPr>
                <w:rFonts w:hint="eastAsia"/>
                <w:sz w:val="28"/>
                <w:szCs w:val="28"/>
              </w:rPr>
              <w:t>3年合计（元）</w:t>
            </w:r>
          </w:p>
        </w:tc>
        <w:tc>
          <w:tcPr>
            <w:tcW w:w="5726" w:type="dxa"/>
            <w:gridSpan w:val="2"/>
            <w:vAlign w:val="center"/>
          </w:tcPr>
          <w:p w14:paraId="10984EB1">
            <w:pPr>
              <w:pStyle w:val="52"/>
              <w:spacing w:before="0" w:beforeAutospacing="0" w:after="0" w:afterAutospacing="0" w:line="480" w:lineRule="auto"/>
              <w:jc w:val="center"/>
              <w:rPr>
                <w:sz w:val="28"/>
                <w:szCs w:val="28"/>
              </w:rPr>
            </w:pPr>
          </w:p>
        </w:tc>
      </w:tr>
    </w:tbl>
    <w:p w14:paraId="1C813957">
      <w:pPr>
        <w:pStyle w:val="52"/>
        <w:spacing w:before="0" w:beforeAutospacing="0" w:after="0" w:afterAutospacing="0" w:line="480" w:lineRule="exact"/>
        <w:ind w:firstLine="420" w:firstLineChars="150"/>
        <w:rPr>
          <w:rFonts w:hint="eastAsia" w:eastAsia="宋体" w:cs="MS Shell Dlg"/>
          <w:sz w:val="28"/>
          <w:szCs w:val="28"/>
          <w:lang w:eastAsia="zh-CN"/>
        </w:rPr>
      </w:pPr>
      <w:r>
        <w:rPr>
          <w:rFonts w:hint="eastAsia" w:cs="MS Shell Dlg"/>
          <w:sz w:val="28"/>
          <w:szCs w:val="28"/>
        </w:rPr>
        <w:t>注：</w:t>
      </w:r>
      <w:r>
        <w:rPr>
          <w:rFonts w:hint="eastAsia" w:cs="MS Shell Dlg"/>
          <w:sz w:val="28"/>
          <w:szCs w:val="28"/>
          <w:lang w:eastAsia="zh-CN"/>
        </w:rPr>
        <w:t>参选报价为包干价，</w:t>
      </w:r>
      <w:r>
        <w:rPr>
          <w:rFonts w:hint="eastAsia" w:cs="MS Shell Dlg"/>
          <w:sz w:val="28"/>
          <w:szCs w:val="28"/>
        </w:rPr>
        <w:t>报价包含服务费、材料费、保险费、税费等各项费用</w:t>
      </w:r>
      <w:r>
        <w:rPr>
          <w:rFonts w:hint="eastAsia" w:cs="MS Shell Dlg"/>
          <w:sz w:val="28"/>
          <w:szCs w:val="28"/>
          <w:lang w:eastAsia="zh-CN"/>
        </w:rPr>
        <w:t>。</w:t>
      </w:r>
    </w:p>
    <w:p w14:paraId="1878383B">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0A0D4184">
      <w:pPr>
        <w:outlineLvl w:val="0"/>
        <w:rPr>
          <w:rFonts w:hint="eastAsia" w:ascii="宋体" w:hAnsi="宋体" w:eastAsia="宋体" w:cs="宋体"/>
          <w:b/>
          <w:color w:val="000000" w:themeColor="text1"/>
          <w:shd w:val="clear" w:color="auto" w:fill="auto"/>
          <w14:textFill>
            <w14:solidFill>
              <w14:schemeClr w14:val="tx1"/>
            </w14:solidFill>
          </w14:textFill>
        </w:rPr>
      </w:pPr>
    </w:p>
    <w:p w14:paraId="7259C3F7">
      <w:pPr>
        <w:outlineLvl w:val="0"/>
        <w:rPr>
          <w:rFonts w:hint="eastAsia" w:ascii="宋体" w:hAnsi="宋体" w:eastAsia="宋体" w:cs="宋体"/>
          <w:b/>
          <w:color w:val="000000" w:themeColor="text1"/>
          <w:shd w:val="clear" w:color="auto" w:fill="auto"/>
          <w14:textFill>
            <w14:solidFill>
              <w14:schemeClr w14:val="tx1"/>
            </w14:solidFill>
          </w14:textFill>
        </w:rPr>
      </w:pPr>
    </w:p>
    <w:p w14:paraId="1F2DFD6D">
      <w:pPr>
        <w:outlineLvl w:val="0"/>
        <w:rPr>
          <w:rFonts w:hint="eastAsia" w:ascii="宋体" w:hAnsi="宋体" w:eastAsia="宋体" w:cs="宋体"/>
          <w:b/>
          <w:color w:val="000000" w:themeColor="text1"/>
          <w:shd w:val="clear" w:color="auto" w:fill="auto"/>
          <w14:textFill>
            <w14:solidFill>
              <w14:schemeClr w14:val="tx1"/>
            </w14:solidFill>
          </w14:textFill>
        </w:rPr>
      </w:pPr>
    </w:p>
    <w:p w14:paraId="269A7FA2">
      <w:pPr>
        <w:outlineLvl w:val="0"/>
        <w:rPr>
          <w:rFonts w:hint="eastAsia" w:ascii="宋体" w:hAnsi="宋体" w:eastAsia="宋体" w:cs="宋体"/>
          <w:b/>
          <w:color w:val="000000" w:themeColor="text1"/>
          <w:shd w:val="clear" w:color="auto" w:fill="auto"/>
          <w14:textFill>
            <w14:solidFill>
              <w14:schemeClr w14:val="tx1"/>
            </w14:solidFill>
          </w14:textFill>
        </w:rPr>
      </w:pPr>
    </w:p>
    <w:p w14:paraId="5A111048">
      <w:pPr>
        <w:outlineLvl w:val="0"/>
        <w:rPr>
          <w:rFonts w:hint="eastAsia" w:ascii="宋体" w:hAnsi="宋体" w:eastAsia="宋体" w:cs="宋体"/>
          <w:b/>
          <w:color w:val="000000" w:themeColor="text1"/>
          <w:shd w:val="clear" w:color="auto" w:fill="auto"/>
          <w14:textFill>
            <w14:solidFill>
              <w14:schemeClr w14:val="tx1"/>
            </w14:solidFill>
          </w14:textFill>
        </w:rPr>
      </w:pPr>
    </w:p>
    <w:p w14:paraId="2A5EE9A5">
      <w:pPr>
        <w:outlineLvl w:val="0"/>
        <w:rPr>
          <w:rFonts w:hint="eastAsia" w:ascii="宋体" w:hAnsi="宋体" w:eastAsia="宋体" w:cs="宋体"/>
          <w:b/>
          <w:color w:val="000000" w:themeColor="text1"/>
          <w:shd w:val="clear" w:color="auto" w:fill="auto"/>
          <w14:textFill>
            <w14:solidFill>
              <w14:schemeClr w14:val="tx1"/>
            </w14:solidFill>
          </w14:textFill>
        </w:rPr>
      </w:pPr>
    </w:p>
    <w:p w14:paraId="5A8C33DE">
      <w:pPr>
        <w:outlineLvl w:val="0"/>
        <w:rPr>
          <w:rFonts w:hint="eastAsia" w:ascii="宋体" w:hAnsi="宋体" w:eastAsia="宋体" w:cs="宋体"/>
          <w:b/>
          <w:color w:val="000000" w:themeColor="text1"/>
          <w:shd w:val="clear" w:color="auto" w:fill="auto"/>
          <w14:textFill>
            <w14:solidFill>
              <w14:schemeClr w14:val="tx1"/>
            </w14:solidFill>
          </w14:textFill>
        </w:rPr>
      </w:pPr>
    </w:p>
    <w:p w14:paraId="2782FABA">
      <w:pPr>
        <w:outlineLvl w:val="0"/>
        <w:rPr>
          <w:rFonts w:hint="eastAsia" w:ascii="宋体" w:hAnsi="宋体" w:eastAsia="宋体" w:cs="宋体"/>
          <w:b/>
          <w:color w:val="000000" w:themeColor="text1"/>
          <w:shd w:val="clear" w:color="auto" w:fill="auto"/>
          <w14:textFill>
            <w14:solidFill>
              <w14:schemeClr w14:val="tx1"/>
            </w14:solidFill>
          </w14:textFill>
        </w:rPr>
      </w:pPr>
    </w:p>
    <w:p w14:paraId="18A39689">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1581D1CB-3309-4B75-AFA2-62F9420AE50C}"/>
  </w:font>
  <w:font w:name="MS Shell Dlg">
    <w:altName w:val="Microsoft Sans Serif"/>
    <w:panose1 w:val="020B0604020202020204"/>
    <w:charset w:val="00"/>
    <w:family w:val="swiss"/>
    <w:pitch w:val="default"/>
    <w:sig w:usb0="00000000" w:usb1="00000000" w:usb2="00000008" w:usb3="00000000" w:csb0="000101FF" w:csb1="00000000"/>
    <w:embedRegular r:id="rId2" w:fontKey="{C7DC7A6F-A5B5-43B1-AA37-C843C9189C17}"/>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BC0756"/>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F9363E"/>
    <w:rsid w:val="667E25AF"/>
    <w:rsid w:val="66815672"/>
    <w:rsid w:val="67042ACB"/>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42</Pages>
  <Words>12153</Words>
  <Characters>12459</Characters>
  <Lines>182</Lines>
  <Paragraphs>51</Paragraphs>
  <TotalTime>0</TotalTime>
  <ScaleCrop>false</ScaleCrop>
  <LinksUpToDate>false</LinksUpToDate>
  <CharactersWithSpaces>12625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2025-06-19T07:30:44Z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