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2025FW070</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渝西区域应急医院（重医附属永川医院大安院区）环境美化提升工程竣工结算审计服务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485108766"/>
      <w:bookmarkStart w:id="2" w:name="_Toc6921"/>
      <w:bookmarkStart w:id="3" w:name="_Toc25875"/>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渝西区域应急医院（重医附属永川医院大安院区）环境美化提升工程竣工结算审计服务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渝西区域应急医院（重医附属永川医院大安院区）环境美化提升工程竣工结算审计服务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t>医院自筹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,预算金额：1.33万元，</w:t>
      </w:r>
      <w: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t>不计算审减效益费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95A91ED">
      <w:pPr>
        <w:spacing w:line="48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具有中华人民共和国建设部颁发的</w:t>
      </w:r>
      <w:bookmarkStart w:id="20" w:name="OLE_LINK1"/>
      <w:r>
        <w:rPr>
          <w:rFonts w:hint="eastAsia" w:ascii="宋体" w:hAnsi="宋体" w:eastAsia="宋体" w:cs="宋体"/>
          <w:color w:val="FF0000"/>
          <w:sz w:val="24"/>
          <w:szCs w:val="24"/>
          <w:shd w:val="clear" w:color="auto" w:fill="auto"/>
        </w:rPr>
        <w:t>工程造价咨询乙级及以上资质证书</w:t>
      </w:r>
      <w:bookmarkEnd w:id="20"/>
      <w:r>
        <w:rPr>
          <w:rFonts w:hint="eastAsia" w:ascii="宋体" w:hAnsi="宋体" w:eastAsia="宋体" w:cs="宋体"/>
          <w:color w:val="FF0000"/>
          <w:sz w:val="24"/>
          <w:szCs w:val="24"/>
          <w:shd w:val="clear" w:color="auto" w:fill="auto"/>
        </w:rPr>
        <w:t>（提供证书复印件并加盖</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公章）。</w:t>
      </w:r>
    </w:p>
    <w:p w14:paraId="2E742040">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如为重庆市市外工程造价咨询企业，按照《重庆市市外工程造价咨询企业入渝信息报送管理办法》（渝建发〔2016〕34号）规定，2016年5月1日起，重庆市外工程造价咨询企业在投标前必须纳入市城乡建委“市外工程造价咨询企业入渝信息库”。（提供登记信息的网页截图并加盖</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公章。）</w:t>
      </w: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bookmarkStart w:id="190" w:name="_GoBack"/>
      <w:bookmarkEnd w:id="190"/>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2"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3"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3"/>
      <w:bookmarkStart w:id="24" w:name="_Toc54718176"/>
      <w:bookmarkStart w:id="25" w:name="_Toc54171062"/>
      <w:bookmarkStart w:id="26" w:name="_Toc373860294"/>
    </w:p>
    <w:bookmarkEnd w:id="24"/>
    <w:bookmarkEnd w:id="25"/>
    <w:bookmarkEnd w:id="26"/>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7" w:name="_Toc1625"/>
      <w:bookmarkStart w:id="28"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7"/>
      <w:bookmarkEnd w:id="28"/>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9" w:name="_Toc31390"/>
      <w:bookmarkStart w:id="30"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9"/>
      <w:bookmarkEnd w:id="30"/>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1"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1"/>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2"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3" w:name="_Toc25322"/>
      <w:bookmarkStart w:id="34"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2"/>
      <w:bookmarkEnd w:id="33"/>
      <w:bookmarkEnd w:id="34"/>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5"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5"/>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6"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6"/>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7"/>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1.投标报价均为包干价，包含但不限于人工费、材料费等各项费用(报价表见第六章)。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1.响应文件一式</w:t>
      </w:r>
      <w:r>
        <w:rPr>
          <w:rFonts w:hint="eastAsia" w:ascii="宋体" w:hAnsi="宋体" w:eastAsia="宋体" w:cs="宋体"/>
          <w:color w:val="FF0000"/>
          <w:sz w:val="24"/>
          <w:szCs w:val="24"/>
          <w:shd w:val="clear" w:color="auto" w:fill="auto"/>
          <w:lang w:eastAsia="zh-CN"/>
        </w:rPr>
        <w:t>四</w:t>
      </w:r>
      <w:r>
        <w:rPr>
          <w:rFonts w:hint="eastAsia" w:ascii="宋体" w:hAnsi="宋体" w:eastAsia="宋体" w:cs="宋体"/>
          <w:color w:val="FF0000"/>
          <w:sz w:val="24"/>
          <w:szCs w:val="24"/>
          <w:shd w:val="clear" w:color="auto" w:fill="auto"/>
        </w:rPr>
        <w:t>份，其中正本一份，副本</w:t>
      </w:r>
      <w:r>
        <w:rPr>
          <w:rFonts w:hint="eastAsia" w:ascii="宋体" w:hAnsi="宋体" w:eastAsia="宋体" w:cs="宋体"/>
          <w:color w:val="FF0000"/>
          <w:sz w:val="24"/>
          <w:szCs w:val="24"/>
          <w:shd w:val="clear" w:color="auto" w:fill="auto"/>
          <w:lang w:eastAsia="zh-CN"/>
        </w:rPr>
        <w:t>四</w:t>
      </w:r>
      <w:r>
        <w:rPr>
          <w:rFonts w:hint="eastAsia" w:ascii="宋体" w:hAnsi="宋体" w:eastAsia="宋体" w:cs="宋体"/>
          <w:color w:val="FF0000"/>
          <w:sz w:val="24"/>
          <w:szCs w:val="24"/>
          <w:shd w:val="clear" w:color="auto" w:fill="auto"/>
        </w:rPr>
        <w:t>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8" w:name="OLE_LINK9"/>
      <w:bookmarkStart w:id="39" w:name="OLE_LINK3"/>
      <w:bookmarkStart w:id="40"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8"/>
    <w:bookmarkEnd w:id="39"/>
    <w:bookmarkEnd w:id="40"/>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1" w:name="_Toc18122"/>
      <w:bookmarkStart w:id="42" w:name="_Toc342913393"/>
      <w:bookmarkStart w:id="43" w:name="_Toc179714298"/>
      <w:bookmarkStart w:id="44" w:name="_Toc19143"/>
      <w:bookmarkStart w:id="45" w:name="_Toc403569780"/>
      <w:bookmarkStart w:id="46"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1"/>
      <w:bookmarkEnd w:id="42"/>
      <w:bookmarkEnd w:id="43"/>
      <w:bookmarkEnd w:id="44"/>
      <w:bookmarkEnd w:id="45"/>
      <w:bookmarkEnd w:id="46"/>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8776"/>
      <w:bookmarkStart w:id="48" w:name="_Toc14247"/>
      <w:bookmarkStart w:id="49" w:name="_Toc403569781"/>
      <w:bookmarkStart w:id="50" w:name="_Toc102227320"/>
      <w:bookmarkStart w:id="51"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7"/>
      <w:bookmarkEnd w:id="48"/>
      <w:bookmarkEnd w:id="49"/>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2" w:name="_Toc403569782"/>
      <w:bookmarkStart w:id="53" w:name="_Toc29340"/>
      <w:bookmarkStart w:id="54"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0"/>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1"/>
      <w:bookmarkEnd w:id="52"/>
      <w:bookmarkEnd w:id="53"/>
      <w:bookmarkEnd w:id="54"/>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342913395"/>
      <w:bookmarkStart w:id="56" w:name="_Toc7135"/>
      <w:bookmarkStart w:id="57" w:name="_Toc102227321"/>
      <w:bookmarkStart w:id="58" w:name="_Toc403569783"/>
      <w:bookmarkStart w:id="59"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5"/>
      <w:bookmarkEnd w:id="56"/>
      <w:bookmarkEnd w:id="57"/>
      <w:bookmarkEnd w:id="58"/>
      <w:bookmarkEnd w:id="59"/>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0" w:name="_Toc12880"/>
      <w:bookmarkStart w:id="61" w:name="_Toc17413"/>
      <w:bookmarkStart w:id="62"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0"/>
      <w:bookmarkEnd w:id="61"/>
      <w:bookmarkEnd w:id="62"/>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3" w:name="_Toc102227322"/>
      <w:bookmarkStart w:id="64" w:name="_Toc6381"/>
      <w:bookmarkStart w:id="65" w:name="_Toc342913396"/>
      <w:bookmarkStart w:id="66"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7"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3"/>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4"/>
      <w:bookmarkEnd w:id="65"/>
      <w:bookmarkEnd w:id="66"/>
      <w:bookmarkEnd w:id="67"/>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8" w:name="_Toc11770"/>
      <w:bookmarkStart w:id="69" w:name="_Toc485108784"/>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0" w:name="_Toc7206"/>
      <w:bookmarkStart w:id="71"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8"/>
      <w:bookmarkEnd w:id="69"/>
      <w:bookmarkEnd w:id="70"/>
      <w:bookmarkEnd w:id="71"/>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2" w:name="_Toc12789058"/>
      <w:bookmarkStart w:id="73" w:name="_Toc28327"/>
      <w:bookmarkStart w:id="74"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5C222B1">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渝西区域应急医院（重医附属永川医院大安院区）环境美化提升工程</w:t>
      </w:r>
      <w:r>
        <w:rPr>
          <w:rFonts w:hint="default" w:ascii="宋体" w:hAnsi="宋体" w:eastAsia="宋体" w:cs="宋体"/>
          <w:color w:val="FF0000"/>
          <w:sz w:val="24"/>
          <w:szCs w:val="24"/>
          <w:shd w:val="clear" w:color="auto" w:fill="auto"/>
          <w:lang w:eastAsia="zh-CN"/>
        </w:rPr>
        <w:t>竣工</w:t>
      </w:r>
      <w:r>
        <w:rPr>
          <w:rFonts w:hint="default" w:ascii="宋体" w:hAnsi="宋体" w:eastAsia="宋体" w:cs="宋体"/>
          <w:color w:val="FF0000"/>
          <w:sz w:val="24"/>
          <w:szCs w:val="24"/>
          <w:shd w:val="clear" w:color="auto" w:fill="auto"/>
        </w:rPr>
        <w:t>结算审计</w:t>
      </w:r>
      <w:r>
        <w:rPr>
          <w:rFonts w:hint="default"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rPr>
        <w:t>重点关注以下内容：工程结算编制依据是否充分；工程计量是否准确，是否按照合同约定进行工程计量等；各项费率、税金计算基础是否合规；工程造价是否准确，材料价差调整依据是否充分</w:t>
      </w:r>
      <w:r>
        <w:rPr>
          <w:rFonts w:hint="default"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rPr>
        <w:t>合同涉及工程质量、工期、安全文明施工奖罚等内容是否执行到位等。</w:t>
      </w:r>
    </w:p>
    <w:p w14:paraId="2F282161">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2.服务周期：服务方</w:t>
      </w:r>
      <w:r>
        <w:rPr>
          <w:rFonts w:hint="default" w:ascii="宋体" w:hAnsi="宋体" w:eastAsia="宋体" w:cs="宋体"/>
          <w:color w:val="FF0000"/>
          <w:sz w:val="24"/>
          <w:szCs w:val="24"/>
          <w:shd w:val="clear" w:color="auto" w:fill="auto"/>
        </w:rPr>
        <w:t>需从接到完整的竣工结算资料之日起20天内出具结算审核报告。</w:t>
      </w:r>
    </w:p>
    <w:p w14:paraId="24F2DE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3.比选文件要求</w:t>
      </w:r>
    </w:p>
    <w:p w14:paraId="7D4A17F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①投标人基本情况（含营业执照正副本复印件、组织机构代码证正副本复印件、税务登记证正副本复印件、资质证书复印件、法定代表人委托授权书、法定代表人和被委托人身份证复印件等）； </w:t>
      </w:r>
    </w:p>
    <w:p w14:paraId="43214D57">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②报价书（盖鲜章）； </w:t>
      </w:r>
    </w:p>
    <w:p w14:paraId="1D3B600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③项目完成时间承诺书； </w:t>
      </w:r>
    </w:p>
    <w:p w14:paraId="49C8455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④近三年的工作业绩； </w:t>
      </w:r>
    </w:p>
    <w:p w14:paraId="6668B11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⑤详细联系方式（包括单位地址、传真号码和联系人手机号码）。</w:t>
      </w:r>
    </w:p>
    <w:p w14:paraId="717FFDED">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注：上述复印件均须加盖单位公章。投标文件正本1本、副本4本，密封后递交评标现场。</w:t>
      </w:r>
    </w:p>
    <w:p w14:paraId="344E3AC7">
      <w:pPr>
        <w:rPr>
          <w:rFonts w:hint="default"/>
          <w:lang w:val="en-US" w:eastAsia="zh-CN"/>
        </w:rPr>
      </w:pPr>
    </w:p>
    <w:p w14:paraId="1866542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0F4901B">
      <w:pP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17014"/>
      <w:bookmarkStart w:id="76" w:name="_Toc4364"/>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2"/>
      <w:bookmarkEnd w:id="73"/>
      <w:bookmarkEnd w:id="74"/>
      <w:bookmarkEnd w:id="75"/>
      <w:bookmarkEnd w:id="76"/>
      <w:bookmarkStart w:id="77" w:name="_Toc11641055"/>
      <w:bookmarkStart w:id="78"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7358"/>
      <w:bookmarkStart w:id="81" w:name="_Toc485108793"/>
      <w:bookmarkStart w:id="82"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A3DEDD0">
      <w:pPr>
        <w:pageBreakBefore w:val="0"/>
        <w:widowControl w:val="0"/>
        <w:numPr>
          <w:ilvl w:val="0"/>
          <w:numId w:val="0"/>
        </w:numPr>
        <w:kinsoku/>
        <w:wordWrap/>
        <w:overflowPunct/>
        <w:topLinePunct w:val="0"/>
        <w:autoSpaceDE/>
        <w:autoSpaceDN/>
        <w:bidi w:val="0"/>
        <w:snapToGrid w:val="0"/>
        <w:spacing w:line="594" w:lineRule="exact"/>
        <w:ind w:firstLine="480" w:firstLineChars="200"/>
        <w:textAlignment w:val="auto"/>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付款方式：</w:t>
      </w:r>
      <w:r>
        <w:rPr>
          <w:rFonts w:hint="default" w:ascii="宋体" w:hAnsi="宋体" w:eastAsia="宋体" w:cs="宋体"/>
          <w:color w:val="FF0000"/>
          <w:sz w:val="24"/>
          <w:szCs w:val="24"/>
          <w:shd w:val="clear" w:color="auto" w:fill="auto"/>
          <w:lang w:val="en-US" w:eastAsia="zh-CN"/>
        </w:rPr>
        <w:t>本项目工作完成，采购方收到</w:t>
      </w:r>
      <w:r>
        <w:rPr>
          <w:rFonts w:hint="eastAsia" w:ascii="宋体" w:hAnsi="宋体" w:eastAsia="宋体" w:cs="宋体"/>
          <w:color w:val="FF0000"/>
          <w:sz w:val="24"/>
          <w:szCs w:val="24"/>
          <w:shd w:val="clear" w:color="auto" w:fill="auto"/>
          <w:lang w:val="en-US" w:eastAsia="zh-CN"/>
        </w:rPr>
        <w:t>成交供应商提供的正式</w:t>
      </w:r>
      <w:r>
        <w:rPr>
          <w:rFonts w:hint="default" w:ascii="宋体" w:hAnsi="宋体" w:eastAsia="宋体" w:cs="宋体"/>
          <w:color w:val="FF0000"/>
          <w:sz w:val="24"/>
          <w:szCs w:val="24"/>
          <w:shd w:val="clear" w:color="auto" w:fill="auto"/>
          <w:lang w:val="en-US" w:eastAsia="zh-CN"/>
        </w:rPr>
        <w:t>审核报告</w:t>
      </w:r>
      <w:r>
        <w:rPr>
          <w:rFonts w:hint="eastAsia" w:ascii="宋体" w:hAnsi="宋体" w:eastAsia="宋体" w:cs="宋体"/>
          <w:color w:val="FF0000"/>
          <w:sz w:val="24"/>
          <w:szCs w:val="24"/>
          <w:shd w:val="clear" w:color="auto" w:fill="auto"/>
          <w:lang w:val="en-US" w:eastAsia="zh-CN"/>
        </w:rPr>
        <w:t>及</w:t>
      </w:r>
      <w:r>
        <w:rPr>
          <w:rFonts w:hint="default" w:ascii="宋体" w:hAnsi="宋体" w:eastAsia="宋体" w:cs="宋体"/>
          <w:color w:val="FF0000"/>
          <w:sz w:val="24"/>
          <w:szCs w:val="24"/>
          <w:shd w:val="clear" w:color="auto" w:fill="auto"/>
          <w:lang w:val="en-US" w:eastAsia="zh-CN"/>
        </w:rPr>
        <w:t>合法发票</w:t>
      </w:r>
      <w:r>
        <w:rPr>
          <w:rFonts w:hint="eastAsia" w:ascii="宋体" w:hAnsi="宋体" w:eastAsia="宋体" w:cs="宋体"/>
          <w:color w:val="FF0000"/>
          <w:sz w:val="24"/>
          <w:szCs w:val="24"/>
          <w:shd w:val="clear" w:color="auto" w:fill="auto"/>
          <w:lang w:val="en-US" w:eastAsia="zh-CN"/>
        </w:rPr>
        <w:t>，</w:t>
      </w:r>
      <w:r>
        <w:rPr>
          <w:rFonts w:hint="default" w:ascii="宋体" w:hAnsi="宋体" w:eastAsia="宋体" w:cs="宋体"/>
          <w:color w:val="FF0000"/>
          <w:sz w:val="24"/>
          <w:szCs w:val="24"/>
          <w:shd w:val="clear" w:color="auto" w:fill="auto"/>
          <w:lang w:val="en-US" w:eastAsia="zh-CN"/>
        </w:rPr>
        <w:t>经审核无误后60日内付款。</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54718211"/>
      <w:bookmarkStart w:id="119"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31719"/>
      <w:bookmarkStart w:id="123" w:name="_Toc54718210"/>
      <w:bookmarkStart w:id="124" w:name="_Toc26580"/>
      <w:bookmarkStart w:id="125"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2789072"/>
      <w:bookmarkStart w:id="137" w:name="_Toc14085"/>
      <w:bookmarkStart w:id="138" w:name="_Toc485108795"/>
      <w:bookmarkStart w:id="139" w:name="_Toc29521"/>
      <w:bookmarkStart w:id="140"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9884"/>
      <w:bookmarkStart w:id="149" w:name="_Toc5685"/>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342913419"/>
      <w:bookmarkStart w:id="153" w:name="_Toc480979018"/>
      <w:bookmarkStart w:id="154" w:name="_Toc485108796"/>
      <w:bookmarkStart w:id="155" w:name="_Toc313888360"/>
      <w:bookmarkStart w:id="156" w:name="_Toc313008356"/>
      <w:bookmarkStart w:id="157" w:name="_Toc5565"/>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1839448">
      <w:pPr>
        <w:tabs>
          <w:tab w:val="left" w:pos="6300"/>
        </w:tabs>
        <w:snapToGrid w:val="0"/>
        <w:spacing w:line="360" w:lineRule="auto"/>
        <w:ind w:firstLine="560" w:firstLineChars="200"/>
        <w:jc w:val="center"/>
        <w:rPr>
          <w:rFonts w:hint="eastAsia" w:ascii="宋体" w:hAnsi="宋体" w:eastAsia="宋体" w:cs="宋体"/>
          <w:color w:val="000000" w:themeColor="text1"/>
          <w:sz w:val="28"/>
          <w:szCs w:val="28"/>
          <w:shd w:val="clear" w:color="auto" w:fill="auto"/>
          <w:lang w:eastAsia="zh-CN"/>
          <w14:textFill>
            <w14:solidFill>
              <w14:schemeClr w14:val="tx1"/>
            </w14:solidFill>
          </w14:textFill>
        </w:rPr>
      </w:pPr>
      <w:bookmarkStart w:id="160" w:name="_Toc480979019"/>
      <w:bookmarkStart w:id="161" w:name="_Toc313888361"/>
      <w:bookmarkStart w:id="162" w:name="_Toc342913420"/>
      <w:bookmarkStart w:id="163" w:name="_Toc313008357"/>
      <w:bookmarkStart w:id="164" w:name="_Toc485108797"/>
      <w:r>
        <w:rPr>
          <w:rFonts w:hint="eastAsia" w:ascii="宋体" w:hAnsi="宋体" w:eastAsia="宋体" w:cs="宋体"/>
          <w:color w:val="000000" w:themeColor="text1"/>
          <w:sz w:val="28"/>
          <w:szCs w:val="28"/>
          <w:shd w:val="clear" w:color="auto" w:fill="auto"/>
          <w:lang w:eastAsia="zh-CN"/>
          <w14:textFill>
            <w14:solidFill>
              <w14:schemeClr w14:val="tx1"/>
            </w14:solidFill>
          </w14:textFill>
        </w:rPr>
        <w:t>报价表</w:t>
      </w:r>
    </w:p>
    <w:tbl>
      <w:tblPr>
        <w:tblStyle w:val="6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3383"/>
        <w:gridCol w:w="2371"/>
        <w:gridCol w:w="2371"/>
      </w:tblGrid>
      <w:tr w14:paraId="1254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77" w:type="pct"/>
            <w:vAlign w:val="center"/>
          </w:tcPr>
          <w:p w14:paraId="444D7285">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序号</w:t>
            </w:r>
          </w:p>
        </w:tc>
        <w:tc>
          <w:tcPr>
            <w:tcW w:w="1758" w:type="pct"/>
            <w:vAlign w:val="center"/>
          </w:tcPr>
          <w:p w14:paraId="7242F286">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项目</w:t>
            </w:r>
          </w:p>
        </w:tc>
        <w:tc>
          <w:tcPr>
            <w:tcW w:w="1232" w:type="pct"/>
            <w:vAlign w:val="center"/>
          </w:tcPr>
          <w:p w14:paraId="1BB91969">
            <w:pPr>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参选供应商报价</w:t>
            </w:r>
          </w:p>
        </w:tc>
        <w:tc>
          <w:tcPr>
            <w:tcW w:w="1232" w:type="pct"/>
            <w:vAlign w:val="center"/>
          </w:tcPr>
          <w:p w14:paraId="13CF26DF">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备注</w:t>
            </w:r>
          </w:p>
        </w:tc>
      </w:tr>
      <w:tr w14:paraId="0CC1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6" w:hRule="atLeast"/>
          <w:jc w:val="center"/>
        </w:trPr>
        <w:tc>
          <w:tcPr>
            <w:tcW w:w="777" w:type="pct"/>
            <w:vAlign w:val="center"/>
          </w:tcPr>
          <w:p w14:paraId="0C633E3E">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1</w:t>
            </w:r>
          </w:p>
        </w:tc>
        <w:tc>
          <w:tcPr>
            <w:tcW w:w="1758" w:type="pct"/>
            <w:vAlign w:val="center"/>
          </w:tcPr>
          <w:p w14:paraId="628D7713">
            <w:pPr>
              <w:rPr>
                <w:rFonts w:hint="eastAsia" w:ascii="宋体" w:hAnsi="宋体" w:eastAsia="宋体" w:cs="宋体"/>
                <w:color w:val="FF0000"/>
                <w:sz w:val="24"/>
                <w:szCs w:val="24"/>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渝西区域应急医院（重医附属永川医院大安院区）环境美化提升工程竣工结算审计服务</w:t>
            </w:r>
          </w:p>
        </w:tc>
        <w:tc>
          <w:tcPr>
            <w:tcW w:w="1232" w:type="pct"/>
            <w:vAlign w:val="center"/>
          </w:tcPr>
          <w:p w14:paraId="334829DE">
            <w:pPr>
              <w:jc w:val="both"/>
              <w:rPr>
                <w:rFonts w:hint="eastAsia" w:ascii="宋体" w:hAnsi="宋体" w:eastAsia="宋体" w:cs="宋体"/>
                <w:color w:val="FF0000"/>
                <w:sz w:val="24"/>
                <w:szCs w:val="24"/>
              </w:rPr>
            </w:pPr>
          </w:p>
        </w:tc>
        <w:tc>
          <w:tcPr>
            <w:tcW w:w="1232" w:type="pct"/>
            <w:vAlign w:val="center"/>
          </w:tcPr>
          <w:p w14:paraId="32A15157">
            <w:pPr>
              <w:jc w:val="both"/>
              <w:rPr>
                <w:rFonts w:hint="eastAsia" w:ascii="宋体" w:hAnsi="宋体" w:eastAsia="宋体" w:cs="宋体"/>
                <w:color w:val="FF0000"/>
                <w:sz w:val="24"/>
                <w:szCs w:val="24"/>
              </w:rPr>
            </w:pPr>
          </w:p>
        </w:tc>
      </w:tr>
      <w:tr w14:paraId="2269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535" w:type="pct"/>
            <w:gridSpan w:val="2"/>
            <w:vAlign w:val="center"/>
          </w:tcPr>
          <w:p w14:paraId="4D867968">
            <w:pP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项目完成时间（天）：</w:t>
            </w:r>
          </w:p>
        </w:tc>
        <w:tc>
          <w:tcPr>
            <w:tcW w:w="2464" w:type="pct"/>
            <w:gridSpan w:val="2"/>
            <w:vAlign w:val="center"/>
          </w:tcPr>
          <w:p w14:paraId="3B0CEFC6">
            <w:pPr>
              <w:jc w:val="both"/>
              <w:rPr>
                <w:rFonts w:hint="eastAsia" w:ascii="宋体" w:hAnsi="宋体" w:eastAsia="宋体" w:cs="宋体"/>
                <w:color w:val="FF0000"/>
                <w:sz w:val="24"/>
                <w:szCs w:val="24"/>
              </w:rPr>
            </w:pPr>
          </w:p>
        </w:tc>
      </w:tr>
    </w:tbl>
    <w:p w14:paraId="46420D74">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r>
        <w:rPr>
          <w:rFonts w:hint="eastAsia" w:ascii="宋体" w:hAnsi="宋体" w:eastAsia="宋体" w:cs="宋体"/>
          <w:color w:val="FF0000"/>
          <w:sz w:val="24"/>
          <w:szCs w:val="24"/>
          <w:shd w:val="clear" w:color="auto" w:fill="auto"/>
          <w:lang w:val="en-US" w:eastAsia="zh-CN"/>
        </w:rPr>
        <w:t>投标报价均为包干价，包含但不限于租赁费、运输费、安装费、拆除费、调试费、保险费等各项费用。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5" w:name="_Toc9883"/>
      <w:bookmarkStart w:id="166"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73E98BD">
      <w:pPr>
        <w:outlineLvl w:val="0"/>
        <w:rPr>
          <w:rFonts w:hint="eastAsia" w:ascii="宋体" w:hAnsi="宋体" w:eastAsia="宋体" w:cs="宋体"/>
          <w:b/>
          <w:color w:val="000000" w:themeColor="text1"/>
          <w:shd w:val="clear" w:color="auto" w:fill="auto"/>
          <w14:textFill>
            <w14:solidFill>
              <w14:schemeClr w14:val="tx1"/>
            </w14:solidFill>
          </w14:textFill>
        </w:rPr>
      </w:pPr>
    </w:p>
    <w:p w14:paraId="6FB1375C">
      <w:pPr>
        <w:outlineLvl w:val="0"/>
        <w:rPr>
          <w:rFonts w:hint="eastAsia" w:ascii="宋体" w:hAnsi="宋体" w:eastAsia="宋体" w:cs="宋体"/>
          <w:b/>
          <w:color w:val="000000" w:themeColor="text1"/>
          <w:shd w:val="clear" w:color="auto" w:fill="auto"/>
          <w14:textFill>
            <w14:solidFill>
              <w14:schemeClr w14:val="tx1"/>
            </w14:solidFill>
          </w14:textFill>
        </w:rPr>
      </w:pPr>
    </w:p>
    <w:p w14:paraId="7C5A6BE8">
      <w:pPr>
        <w:outlineLvl w:val="0"/>
        <w:rPr>
          <w:rFonts w:hint="eastAsia" w:ascii="宋体" w:hAnsi="宋体" w:eastAsia="宋体" w:cs="宋体"/>
          <w:b/>
          <w:color w:val="000000" w:themeColor="text1"/>
          <w:shd w:val="clear" w:color="auto" w:fill="auto"/>
          <w14:textFill>
            <w14:solidFill>
              <w14:schemeClr w14:val="tx1"/>
            </w14:solidFill>
          </w14:textFill>
        </w:rPr>
      </w:pPr>
    </w:p>
    <w:p w14:paraId="1FC4A0E0">
      <w:pPr>
        <w:outlineLvl w:val="0"/>
        <w:rPr>
          <w:rFonts w:hint="eastAsia" w:ascii="宋体" w:hAnsi="宋体" w:eastAsia="宋体" w:cs="宋体"/>
          <w:b/>
          <w:color w:val="000000" w:themeColor="text1"/>
          <w:shd w:val="clear" w:color="auto" w:fill="auto"/>
          <w14:textFill>
            <w14:solidFill>
              <w14:schemeClr w14:val="tx1"/>
            </w14:solidFill>
          </w14:textFill>
        </w:rPr>
      </w:pPr>
    </w:p>
    <w:p w14:paraId="66B5AF4E">
      <w:pPr>
        <w:outlineLvl w:val="0"/>
        <w:rPr>
          <w:rFonts w:hint="eastAsia" w:ascii="宋体" w:hAnsi="宋体" w:eastAsia="宋体" w:cs="宋体"/>
          <w:b/>
          <w:color w:val="000000" w:themeColor="text1"/>
          <w:shd w:val="clear" w:color="auto" w:fill="auto"/>
          <w14:textFill>
            <w14:solidFill>
              <w14:schemeClr w14:val="tx1"/>
            </w14:solidFill>
          </w14:textFill>
        </w:rPr>
      </w:pPr>
    </w:p>
    <w:p w14:paraId="79518BCB">
      <w:pPr>
        <w:outlineLvl w:val="0"/>
        <w:rPr>
          <w:rFonts w:hint="eastAsia" w:ascii="宋体" w:hAnsi="宋体" w:eastAsia="宋体" w:cs="宋体"/>
          <w:b/>
          <w:color w:val="000000" w:themeColor="text1"/>
          <w:shd w:val="clear" w:color="auto" w:fill="auto"/>
          <w14:textFill>
            <w14:solidFill>
              <w14:schemeClr w14:val="tx1"/>
            </w14:solidFill>
          </w14:textFill>
        </w:rPr>
      </w:pPr>
    </w:p>
    <w:p w14:paraId="1E2BA8DF">
      <w:pPr>
        <w:outlineLvl w:val="0"/>
        <w:rPr>
          <w:rFonts w:hint="eastAsia" w:ascii="宋体" w:hAnsi="宋体" w:eastAsia="宋体" w:cs="宋体"/>
          <w:b/>
          <w:color w:val="000000" w:themeColor="text1"/>
          <w:shd w:val="clear" w:color="auto" w:fill="auto"/>
          <w14:textFill>
            <w14:solidFill>
              <w14:schemeClr w14:val="tx1"/>
            </w14:solidFill>
          </w14:textFill>
        </w:rPr>
      </w:pPr>
    </w:p>
    <w:p w14:paraId="5086846A">
      <w:pPr>
        <w:outlineLvl w:val="0"/>
        <w:rPr>
          <w:rFonts w:hint="eastAsia" w:ascii="宋体" w:hAnsi="宋体" w:eastAsia="宋体" w:cs="宋体"/>
          <w:b/>
          <w:color w:val="000000" w:themeColor="text1"/>
          <w:shd w:val="clear" w:color="auto" w:fill="auto"/>
          <w14:textFill>
            <w14:solidFill>
              <w14:schemeClr w14:val="tx1"/>
            </w14:solidFill>
          </w14:textFill>
        </w:rPr>
      </w:pPr>
    </w:p>
    <w:p w14:paraId="3040CC6F">
      <w:pPr>
        <w:outlineLvl w:val="0"/>
        <w:rPr>
          <w:rFonts w:hint="eastAsia" w:ascii="宋体" w:hAnsi="宋体" w:eastAsia="宋体" w:cs="宋体"/>
          <w:b/>
          <w:color w:val="000000" w:themeColor="text1"/>
          <w:shd w:val="clear" w:color="auto" w:fill="auto"/>
          <w14:textFill>
            <w14:solidFill>
              <w14:schemeClr w14:val="tx1"/>
            </w14:solidFill>
          </w14:textFill>
        </w:rPr>
      </w:pPr>
    </w:p>
    <w:p w14:paraId="267B9B4E">
      <w:pPr>
        <w:outlineLvl w:val="0"/>
        <w:rPr>
          <w:rFonts w:hint="eastAsia" w:ascii="宋体" w:hAnsi="宋体" w:eastAsia="宋体" w:cs="宋体"/>
          <w:b/>
          <w:color w:val="000000" w:themeColor="text1"/>
          <w:shd w:val="clear" w:color="auto" w:fill="auto"/>
          <w14:textFill>
            <w14:solidFill>
              <w14:schemeClr w14:val="tx1"/>
            </w14:solidFill>
          </w14:textFill>
        </w:rPr>
      </w:pPr>
    </w:p>
    <w:p w14:paraId="7C6DFF50">
      <w:pPr>
        <w:outlineLvl w:val="0"/>
        <w:rPr>
          <w:rFonts w:hint="eastAsia" w:ascii="宋体" w:hAnsi="宋体" w:eastAsia="宋体" w:cs="宋体"/>
          <w:b/>
          <w:color w:val="000000" w:themeColor="text1"/>
          <w:shd w:val="clear" w:color="auto" w:fill="auto"/>
          <w14:textFill>
            <w14:solidFill>
              <w14:schemeClr w14:val="tx1"/>
            </w14:solidFill>
          </w14:textFill>
        </w:rPr>
      </w:pPr>
    </w:p>
    <w:p w14:paraId="11256C36">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13844"/>
      <w:bookmarkStart w:id="168" w:name="_Toc485108798"/>
      <w:bookmarkStart w:id="169" w:name="_Toc480979020"/>
      <w:bookmarkStart w:id="170" w:name="_Toc342913421"/>
      <w:bookmarkStart w:id="171" w:name="_Toc313888362"/>
      <w:bookmarkStart w:id="172" w:name="_Toc15203"/>
      <w:bookmarkStart w:id="173"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23584"/>
      <w:bookmarkStart w:id="179"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7"/>
      <w:bookmarkStart w:id="184"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B3C83A20-459F-44FD-B30A-208781A70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BB3ADF"/>
    <w:rsid w:val="03C2134C"/>
    <w:rsid w:val="0411355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DDE4FD5"/>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B7727B"/>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4E57B1"/>
    <w:rsid w:val="1D624A3F"/>
    <w:rsid w:val="1D632E00"/>
    <w:rsid w:val="1DD87EDC"/>
    <w:rsid w:val="1DDA4D59"/>
    <w:rsid w:val="1E745CA4"/>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BED181F"/>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54F5F"/>
    <w:rsid w:val="43F81C45"/>
    <w:rsid w:val="441F4671"/>
    <w:rsid w:val="444565A3"/>
    <w:rsid w:val="447A6AFE"/>
    <w:rsid w:val="45992FB4"/>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3D3B99"/>
    <w:rsid w:val="4B597B89"/>
    <w:rsid w:val="4B9F639D"/>
    <w:rsid w:val="4BE8259F"/>
    <w:rsid w:val="4C025EBB"/>
    <w:rsid w:val="4C4E289A"/>
    <w:rsid w:val="4DBE5CAD"/>
    <w:rsid w:val="4DD75684"/>
    <w:rsid w:val="4E0D2518"/>
    <w:rsid w:val="4E231003"/>
    <w:rsid w:val="4E3873B7"/>
    <w:rsid w:val="4EF70D4B"/>
    <w:rsid w:val="4F2E0C11"/>
    <w:rsid w:val="4F79418A"/>
    <w:rsid w:val="50472E90"/>
    <w:rsid w:val="505D3128"/>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2">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3"/>
    <w:autoRedefine/>
    <w:qFormat/>
    <w:uiPriority w:val="0"/>
    <w:rPr>
      <w:rFonts w:ascii="宋体" w:hAnsi="Times New Roman" w:eastAsia="宋体" w:cs="Times New Roman"/>
      <w:sz w:val="28"/>
      <w:szCs w:val="20"/>
    </w:rPr>
  </w:style>
  <w:style w:type="character" w:customStyle="1" w:styleId="70">
    <w:name w:val="标题 2 Char"/>
    <w:basedOn w:val="61"/>
    <w:link w:val="4"/>
    <w:autoRedefine/>
    <w:qFormat/>
    <w:uiPriority w:val="0"/>
    <w:rPr>
      <w:rFonts w:ascii="Arial" w:hAnsi="Arial" w:eastAsia="黑体" w:cs="Times New Roman"/>
      <w:b/>
      <w:sz w:val="32"/>
      <w:szCs w:val="20"/>
    </w:rPr>
  </w:style>
  <w:style w:type="character" w:customStyle="1" w:styleId="71">
    <w:name w:val="标题 3 Char"/>
    <w:basedOn w:val="61"/>
    <w:link w:val="2"/>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2"/>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2"/>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12203</Words>
  <Characters>12465</Characters>
  <Lines>182</Lines>
  <Paragraphs>51</Paragraphs>
  <TotalTime>0</TotalTime>
  <ScaleCrop>false</ScaleCrop>
  <LinksUpToDate>false</LinksUpToDate>
  <CharactersWithSpaces>13430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2025-06-20T09:38:24Z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