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2025FW063</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血透室水处理系统预处理填料和RO膜更换服务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12789052"/>
      <w:bookmarkStart w:id="2" w:name="_Toc25875"/>
      <w:bookmarkStart w:id="3" w:name="_Toc23588"/>
      <w:bookmarkStart w:id="4" w:name="_Toc11641050"/>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血透室水处理系统预处理填料和RO膜更换服务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317775175"/>
      <w:bookmarkStart w:id="10" w:name="_Toc485108767"/>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血透室水处理系统预处理填料和RO膜更换服务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质保期：≥1年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：自筹资金,项目预算：150000元。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p w14:paraId="2C5F7142">
      <w:pPr>
        <w:spacing w:line="480" w:lineRule="exact"/>
        <w:ind w:firstLine="480" w:firstLineChars="200"/>
        <w:rPr>
          <w:rFonts w:hint="eastAsia" w:ascii="宋体" w:hAnsi="宋体" w:eastAsia="宋体" w:cs="宋体"/>
          <w:color w:val="FF0000"/>
          <w:sz w:val="24"/>
          <w:szCs w:val="24"/>
          <w:shd w:val="clear" w:color="auto" w:fill="auto"/>
          <w:lang w:val="en-US" w:eastAsia="zh-CN"/>
        </w:rPr>
      </w:pP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报价为包干价，包含但不限于、货款、安装费、调试费、人工费、税金等所有费用。</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79714298"/>
      <w:bookmarkStart w:id="41" w:name="_Toc403569780"/>
      <w:bookmarkStart w:id="42" w:name="_Toc102227319"/>
      <w:bookmarkStart w:id="43" w:name="_Toc342913393"/>
      <w:bookmarkStart w:id="44" w:name="_Toc19143"/>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403569781"/>
      <w:bookmarkStart w:id="47" w:name="_Toc28776"/>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3212"/>
      <w:bookmarkStart w:id="56" w:name="_Toc102227321"/>
      <w:bookmarkStart w:id="57" w:name="_Toc403569783"/>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403569784"/>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403569785"/>
      <w:bookmarkStart w:id="65"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14257C69">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需与我院血液透析室的百特金宝水处理系统（WR066）相匹配。</w:t>
      </w:r>
    </w:p>
    <w:p w14:paraId="5EDEC3C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2.相关技术需求：</w:t>
      </w:r>
    </w:p>
    <w:p w14:paraId="108E6F48">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适用于血液透析用水净化的石英砂，1665罐体（180L）4个，已使用9年，根据实际情况适量增补。</w:t>
      </w:r>
    </w:p>
    <w:p w14:paraId="6E85276B">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适用于血液透析用水净化的活性炭，1665罐体（180L）4个，约210公斤。</w:t>
      </w:r>
    </w:p>
    <w:p w14:paraId="02C2915C">
      <w:pPr>
        <w:spacing w:line="39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适用于血液透析用水净化的离子交换树脂，1665罐体（180L）4个，约700L。其</w:t>
      </w:r>
      <w:r>
        <w:rPr>
          <w:rFonts w:hint="eastAsia" w:ascii="宋体" w:hAnsi="宋体" w:eastAsia="宋体" w:cs="宋体"/>
          <w:color w:val="FF0000"/>
          <w:sz w:val="24"/>
          <w:szCs w:val="24"/>
          <w:shd w:val="clear" w:color="auto" w:fill="auto"/>
        </w:rPr>
        <w:t>指标要求为：总容量（Total Capacity）不小于1.90eq/l</w:t>
      </w:r>
      <w:r>
        <w:rPr>
          <w:rFonts w:hint="eastAsia" w:ascii="宋体" w:hAnsi="宋体" w:eastAsia="宋体" w:cs="宋体"/>
          <w:color w:val="FF0000"/>
          <w:sz w:val="24"/>
          <w:szCs w:val="24"/>
          <w:shd w:val="clear" w:color="auto" w:fill="auto"/>
          <w:lang w:eastAsia="zh-CN"/>
        </w:rPr>
        <w:t>。</w:t>
      </w:r>
    </w:p>
    <w:p w14:paraId="200C21AF">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适用于GAMBRO CWP60系列水机的4040+4021组合RO膜16根，（说明：水机内RO膜由一根4040与一根4021组合而成，此处表述的16根指组合后的数量，实际数量为4040和4021各16根）单根组合RO膜产水量≥3625gpd/d（13.68m³/d），脱盐率≥99%。该RO膜为超低压力膜（水机加压泵施加压力约为9bar）。</w:t>
      </w:r>
      <w:r>
        <w:rPr>
          <w:rFonts w:hint="eastAsia" w:ascii="宋体" w:hAnsi="宋体" w:eastAsia="宋体" w:cs="宋体"/>
          <w:color w:val="FF0000"/>
          <w:sz w:val="24"/>
          <w:szCs w:val="24"/>
          <w:shd w:val="clear" w:color="auto" w:fill="auto"/>
          <w:lang w:eastAsia="zh-CN"/>
        </w:rPr>
        <w:t>比选</w:t>
      </w:r>
      <w:r>
        <w:rPr>
          <w:rFonts w:hint="eastAsia" w:ascii="宋体" w:hAnsi="宋体" w:eastAsia="宋体" w:cs="宋体"/>
          <w:color w:val="FF0000"/>
          <w:sz w:val="24"/>
          <w:szCs w:val="24"/>
          <w:shd w:val="clear" w:color="auto" w:fill="auto"/>
        </w:rPr>
        <w:t>文件需注明反渗膜的品牌、型号，性能参数证明文件（包括工作压力、产水量等），若为进口产品需提供之前更换同型号水机反渗膜的报关单。</w:t>
      </w:r>
    </w:p>
    <w:p w14:paraId="3BE3BB3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sz w:val="28"/>
          <w:szCs w:val="28"/>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施工周期从周六晚上下机开始，24小时内完成填料和膜的更换、冲洗和消毒等工作。因施工周期短、专业要求高，</w:t>
      </w:r>
      <w:r>
        <w:rPr>
          <w:rFonts w:hint="eastAsia" w:ascii="宋体" w:hAnsi="宋体" w:eastAsia="宋体" w:cs="宋体"/>
          <w:color w:val="FF0000"/>
          <w:sz w:val="24"/>
          <w:szCs w:val="24"/>
          <w:shd w:val="clear" w:color="auto" w:fill="auto"/>
          <w:lang w:eastAsia="zh-CN"/>
        </w:rPr>
        <w:t>参选</w:t>
      </w:r>
      <w:r>
        <w:rPr>
          <w:rFonts w:hint="eastAsia" w:ascii="宋体" w:hAnsi="宋体" w:eastAsia="宋体" w:cs="宋体"/>
          <w:color w:val="FF0000"/>
          <w:sz w:val="24"/>
          <w:szCs w:val="24"/>
          <w:shd w:val="clear" w:color="auto" w:fill="auto"/>
        </w:rPr>
        <w:t>单位应取得水机厂家的授权或近三年内在二甲及以上医院更换过同品牌同系列水机的填料和反渗膜至少一次，提供证明材料。</w:t>
      </w:r>
    </w:p>
    <w:p w14:paraId="1D300B8E">
      <w:pPr>
        <w:spacing w:line="390" w:lineRule="exact"/>
        <w:ind w:firstLine="480" w:firstLineChars="200"/>
        <w:rPr>
          <w:rFonts w:hint="default" w:ascii="宋体" w:hAnsi="宋体" w:eastAsia="宋体" w:cs="宋体"/>
          <w:color w:val="FF0000"/>
          <w:sz w:val="24"/>
          <w:szCs w:val="24"/>
          <w:shd w:val="clear" w:color="auto" w:fill="auto"/>
          <w:lang w:val="en-US" w:eastAsia="zh-CN"/>
        </w:rPr>
      </w:pPr>
    </w:p>
    <w:p w14:paraId="1CD4C04B">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F0B40D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4F6259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931A9A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6C9C45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56ACE9F">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85108793"/>
      <w:bookmarkStart w:id="80" w:name="_Toc403569795"/>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64D58E71">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在更换配件或耗材时，造成设备损坏或其他损失，由</w:t>
      </w:r>
      <w:r>
        <w:rPr>
          <w:rFonts w:hint="eastAsia" w:ascii="宋体" w:hAnsi="宋体" w:eastAsia="宋体" w:cs="宋体"/>
          <w:color w:val="FF0000"/>
          <w:sz w:val="24"/>
          <w:szCs w:val="24"/>
          <w:shd w:val="clear" w:color="auto" w:fill="auto"/>
          <w:lang w:eastAsia="zh-CN"/>
        </w:rPr>
        <w:t>成交供应商</w:t>
      </w:r>
      <w:r>
        <w:rPr>
          <w:rFonts w:hint="eastAsia" w:ascii="宋体" w:hAnsi="宋体" w:eastAsia="宋体" w:cs="宋体"/>
          <w:color w:val="FF0000"/>
          <w:sz w:val="24"/>
          <w:szCs w:val="24"/>
          <w:shd w:val="clear" w:color="auto" w:fill="auto"/>
        </w:rPr>
        <w:t>负责，保证文明安全施工，并保证周一早上透析治疗能正常进行。</w:t>
      </w:r>
    </w:p>
    <w:p w14:paraId="69E95B32">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施工完成后需将更换的废料运到指定地点。</w:t>
      </w:r>
    </w:p>
    <w:p w14:paraId="0FB6FEBC">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所更换配件或材料需提供产品说明书，若属进口产品的需提供报关单。</w:t>
      </w:r>
    </w:p>
    <w:p w14:paraId="3F128ACB">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质保期：≥1年。</w:t>
      </w:r>
    </w:p>
    <w:p w14:paraId="251B5F51">
      <w:pPr>
        <w:spacing w:line="39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付款方式：合同签订后5个工作日内，成交供应商向采购人转账支付合同金额的8%作为履约保证金。验收合格后成交供应商凭合法有效的发票与服务完成单据，经采购人审核无误后60日内转账支付合同价款100%，履约保证金在质保期满后无息支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15711"/>
      <w:bookmarkStart w:id="84" w:name="_Toc485108794"/>
      <w:bookmarkStart w:id="85" w:name="_Toc14840"/>
      <w:bookmarkStart w:id="86" w:name="_Toc403569796"/>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54718203"/>
      <w:bookmarkStart w:id="9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29521"/>
      <w:bookmarkStart w:id="136" w:name="_Toc13696"/>
      <w:bookmarkStart w:id="137" w:name="_Toc485108795"/>
      <w:bookmarkStart w:id="138" w:name="_Toc12789072"/>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0"/>
      <w:bookmarkStart w:id="145" w:name="OLE_LINK11"/>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19884"/>
      <w:bookmarkStart w:id="149"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0979018"/>
      <w:bookmarkStart w:id="152" w:name="_Toc313888360"/>
      <w:bookmarkStart w:id="153" w:name="_Toc313008356"/>
      <w:bookmarkStart w:id="154" w:name="_Toc5565"/>
      <w:bookmarkStart w:id="155" w:name="_Toc342913419"/>
      <w:bookmarkStart w:id="156" w:name="_Toc48510879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numPr>
          <w:ilvl w:val="0"/>
          <w:numId w:val="14"/>
        </w:num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明细报价表</w:t>
      </w:r>
    </w:p>
    <w:p w14:paraId="6CC3DC87">
      <w:pPr>
        <w:pStyle w:val="22"/>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报价表</w:t>
      </w:r>
    </w:p>
    <w:tbl>
      <w:tblPr>
        <w:tblStyle w:val="58"/>
        <w:tblW w:w="9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276"/>
        <w:gridCol w:w="1417"/>
        <w:gridCol w:w="1665"/>
        <w:gridCol w:w="1134"/>
        <w:gridCol w:w="1134"/>
        <w:gridCol w:w="1150"/>
      </w:tblGrid>
      <w:tr w14:paraId="7D8E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jc w:val="center"/>
        </w:trPr>
        <w:tc>
          <w:tcPr>
            <w:tcW w:w="1273" w:type="dxa"/>
            <w:tcBorders>
              <w:top w:val="single" w:color="auto" w:sz="4" w:space="0"/>
              <w:left w:val="single" w:color="auto" w:sz="4" w:space="0"/>
              <w:bottom w:val="single" w:color="auto" w:sz="4" w:space="0"/>
              <w:right w:val="single" w:color="auto" w:sz="4" w:space="0"/>
            </w:tcBorders>
            <w:noWrap w:val="0"/>
            <w:vAlign w:val="center"/>
          </w:tcPr>
          <w:p w14:paraId="5240BA37">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BF44AE1">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规格型号</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AD86F32">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原产地及</w:t>
            </w:r>
          </w:p>
          <w:p w14:paraId="3DAAC597">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生产厂家</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29600913">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主要内容</w:t>
            </w:r>
          </w:p>
          <w:p w14:paraId="1D2F435A">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（配置及技术参数）</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C6B3286">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数量</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A172549">
            <w:pPr>
              <w:spacing w:line="440" w:lineRule="exact"/>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单价（元）</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690F6C2">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合计（元）</w:t>
            </w:r>
          </w:p>
        </w:tc>
      </w:tr>
      <w:tr w14:paraId="7D94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1273" w:type="dxa"/>
            <w:tcBorders>
              <w:top w:val="single" w:color="auto" w:sz="4" w:space="0"/>
              <w:left w:val="single" w:color="auto" w:sz="4" w:space="0"/>
              <w:bottom w:val="single" w:color="auto" w:sz="4" w:space="0"/>
              <w:right w:val="single" w:color="auto" w:sz="4" w:space="0"/>
            </w:tcBorders>
            <w:noWrap w:val="0"/>
            <w:vAlign w:val="center"/>
          </w:tcPr>
          <w:p w14:paraId="2E27B019">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A2746E1">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6B29903">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2B2228CA">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D807D1F">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4B00FB6">
            <w:pPr>
              <w:spacing w:line="440" w:lineRule="exact"/>
              <w:ind w:right="210"/>
              <w:jc w:val="center"/>
              <w:rPr>
                <w:rFonts w:hint="eastAsia" w:ascii="宋体" w:hAnsi="宋体" w:eastAsia="宋体" w:cs="宋体"/>
                <w:color w:val="000000" w:themeColor="text1"/>
                <w:sz w:val="24"/>
                <w:szCs w:val="24"/>
                <w14:textFill>
                  <w14:solidFill>
                    <w14:schemeClr w14:val="tx1"/>
                  </w14:solidFill>
                </w14:textFill>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7A16CCF">
            <w:pPr>
              <w:spacing w:line="440" w:lineRule="exact"/>
              <w:jc w:val="center"/>
              <w:rPr>
                <w:rFonts w:hint="eastAsia" w:ascii="宋体" w:hAnsi="宋体" w:eastAsia="宋体" w:cs="宋体"/>
                <w:color w:val="000000" w:themeColor="text1"/>
                <w:sz w:val="24"/>
                <w:szCs w:val="24"/>
                <w14:textFill>
                  <w14:solidFill>
                    <w14:schemeClr w14:val="tx1"/>
                  </w14:solidFill>
                </w14:textFill>
              </w:rPr>
            </w:pPr>
          </w:p>
        </w:tc>
      </w:tr>
      <w:tr w14:paraId="53EC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3EB77B82">
            <w:pPr>
              <w:spacing w:line="4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维修总费用： </w:t>
            </w:r>
          </w:p>
        </w:tc>
      </w:tr>
      <w:tr w14:paraId="4CD7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1B2E2DA3">
            <w:pPr>
              <w:spacing w:line="4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质保期： </w:t>
            </w:r>
          </w:p>
        </w:tc>
      </w:tr>
      <w:tr w14:paraId="6E1B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4B3F891C">
            <w:pPr>
              <w:spacing w:line="4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到货期：</w:t>
            </w:r>
          </w:p>
        </w:tc>
      </w:tr>
      <w:tr w14:paraId="136F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6F1D0679">
            <w:pPr>
              <w:spacing w:line="440" w:lineRule="exac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备注：</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以上报价为包干价，包含但不限于、货款、安装费、调试费、人工费、税金等所有费用。</w:t>
            </w:r>
          </w:p>
          <w:p w14:paraId="5F703201">
            <w:pPr>
              <w:pStyle w:val="22"/>
              <w:rPr>
                <w:rFonts w:hint="default"/>
                <w:lang w:val="en-US" w:eastAsia="zh-CN"/>
              </w:rPr>
            </w:pPr>
            <w:r>
              <w:rPr>
                <w:rFonts w:hint="eastAsia" w:ascii="宋体" w:hAnsi="宋体" w:eastAsia="宋体" w:cs="宋体"/>
                <w:color w:val="000000" w:themeColor="text1"/>
                <w:sz w:val="24"/>
                <w:szCs w:val="24"/>
                <w:lang w:val="en-US" w:eastAsia="zh-CN"/>
                <w14:textFill>
                  <w14:solidFill>
                    <w14:schemeClr w14:val="tx1"/>
                  </w14:solidFill>
                </w14:textFill>
              </w:rPr>
              <w:t>2.该表可拓展。</w:t>
            </w:r>
          </w:p>
        </w:tc>
      </w:tr>
    </w:tbl>
    <w:p w14:paraId="79BE59E7">
      <w:pPr>
        <w:numPr>
          <w:ilvl w:val="0"/>
          <w:numId w:val="0"/>
        </w:numPr>
        <w:tabs>
          <w:tab w:val="left" w:pos="2895"/>
        </w:tabs>
        <w:spacing w:line="360" w:lineRule="auto"/>
        <w:outlineLvl w:val="3"/>
        <w:rPr>
          <w:rFonts w:hint="eastAsia" w:ascii="宋体" w:hAnsi="宋体" w:eastAsia="宋体" w:cs="宋体"/>
          <w:color w:val="000000" w:themeColor="text1"/>
          <w:sz w:val="24"/>
          <w:szCs w:val="24"/>
          <w:shd w:val="clear" w:color="auto" w:fill="auto"/>
          <w14:textFill>
            <w14:solidFill>
              <w14:schemeClr w14:val="tx1"/>
            </w14:solidFill>
          </w14:textFill>
        </w:rPr>
      </w:pPr>
    </w:p>
    <w:p w14:paraId="6D6C9DAC">
      <w:pPr>
        <w:rPr>
          <w:rFonts w:hint="eastAsia" w:ascii="宋体" w:hAnsi="宋体" w:eastAsia="宋体" w:cs="宋体"/>
          <w:b/>
          <w:color w:val="000000" w:themeColor="text1"/>
          <w:shd w:val="clear" w:color="auto" w:fill="auto"/>
          <w14:textFill>
            <w14:solidFill>
              <w14:schemeClr w14:val="tx1"/>
            </w14:solidFill>
          </w14:textFill>
        </w:rPr>
      </w:pPr>
      <w:bookmarkStart w:id="159" w:name="_Toc480979019"/>
      <w:bookmarkStart w:id="160" w:name="_Toc313008357"/>
      <w:bookmarkStart w:id="161" w:name="_Toc342913420"/>
      <w:bookmarkStart w:id="162" w:name="_Toc313888361"/>
      <w:bookmarkStart w:id="163" w:name="_Toc485108797"/>
    </w:p>
    <w:p w14:paraId="48D28127">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603693E1">
      <w:pPr>
        <w:rPr>
          <w:rFonts w:hint="eastAsia" w:ascii="宋体" w:hAnsi="宋体" w:eastAsia="宋体" w:cs="宋体"/>
          <w:b/>
          <w:color w:val="000000" w:themeColor="text1"/>
          <w:shd w:val="clear" w:color="auto" w:fill="auto"/>
          <w14:textFill>
            <w14:solidFill>
              <w14:schemeClr w14:val="tx1"/>
            </w14:solidFill>
          </w14:textFill>
        </w:rPr>
      </w:pPr>
    </w:p>
    <w:p w14:paraId="09B0968C">
      <w:pPr>
        <w:rPr>
          <w:rFonts w:hint="eastAsia" w:ascii="宋体" w:hAnsi="宋体" w:eastAsia="宋体" w:cs="宋体"/>
          <w:b/>
          <w:color w:val="000000" w:themeColor="text1"/>
          <w:shd w:val="clear" w:color="auto" w:fill="auto"/>
          <w14:textFill>
            <w14:solidFill>
              <w14:schemeClr w14:val="tx1"/>
            </w14:solidFill>
          </w14:textFill>
        </w:rPr>
      </w:pPr>
    </w:p>
    <w:p w14:paraId="6021CE27">
      <w:pPr>
        <w:rPr>
          <w:rFonts w:hint="eastAsia" w:ascii="宋体" w:hAnsi="宋体" w:eastAsia="宋体" w:cs="宋体"/>
          <w:b/>
          <w:color w:val="000000" w:themeColor="text1"/>
          <w:shd w:val="clear" w:color="auto" w:fill="auto"/>
          <w14:textFill>
            <w14:solidFill>
              <w14:schemeClr w14:val="tx1"/>
            </w14:solidFill>
          </w14:textFill>
        </w:rPr>
      </w:pPr>
    </w:p>
    <w:p w14:paraId="6242388E">
      <w:pPr>
        <w:rPr>
          <w:rFonts w:hint="eastAsia" w:ascii="宋体" w:hAnsi="宋体" w:eastAsia="宋体" w:cs="宋体"/>
          <w:b/>
          <w:color w:val="000000" w:themeColor="text1"/>
          <w:shd w:val="clear" w:color="auto" w:fill="auto"/>
          <w14:textFill>
            <w14:solidFill>
              <w14:schemeClr w14:val="tx1"/>
            </w14:solidFill>
          </w14:textFill>
        </w:rPr>
      </w:pPr>
    </w:p>
    <w:p w14:paraId="61ACA79A">
      <w:pPr>
        <w:rPr>
          <w:rFonts w:hint="eastAsia" w:ascii="宋体" w:hAnsi="宋体" w:eastAsia="宋体" w:cs="宋体"/>
          <w:b/>
          <w:color w:val="000000" w:themeColor="text1"/>
          <w:shd w:val="clear" w:color="auto" w:fill="auto"/>
          <w14:textFill>
            <w14:solidFill>
              <w14:schemeClr w14:val="tx1"/>
            </w14:solidFill>
          </w14:textFill>
        </w:rPr>
      </w:pPr>
    </w:p>
    <w:p w14:paraId="61926871">
      <w:pPr>
        <w:rPr>
          <w:rFonts w:hint="eastAsia" w:ascii="宋体" w:hAnsi="宋体" w:eastAsia="宋体" w:cs="宋体"/>
          <w:b/>
          <w:color w:val="000000" w:themeColor="text1"/>
          <w:shd w:val="clear" w:color="auto" w:fill="auto"/>
          <w14:textFill>
            <w14:solidFill>
              <w14:schemeClr w14:val="tx1"/>
            </w14:solidFill>
          </w14:textFill>
        </w:rPr>
      </w:pPr>
    </w:p>
    <w:p w14:paraId="5EC782ED">
      <w:pPr>
        <w:rPr>
          <w:rFonts w:hint="eastAsia" w:ascii="宋体" w:hAnsi="宋体" w:eastAsia="宋体" w:cs="宋体"/>
          <w:b/>
          <w:color w:val="000000" w:themeColor="text1"/>
          <w:shd w:val="clear" w:color="auto" w:fill="auto"/>
          <w14:textFill>
            <w14:solidFill>
              <w14:schemeClr w14:val="tx1"/>
            </w14:solidFill>
          </w14:textFill>
        </w:rPr>
      </w:pPr>
    </w:p>
    <w:p w14:paraId="0D76BDE7">
      <w:pPr>
        <w:rPr>
          <w:rFonts w:hint="eastAsia" w:ascii="宋体" w:hAnsi="宋体" w:eastAsia="宋体" w:cs="宋体"/>
          <w:b/>
          <w:color w:val="000000" w:themeColor="text1"/>
          <w:shd w:val="clear" w:color="auto" w:fill="auto"/>
          <w14:textFill>
            <w14:solidFill>
              <w14:schemeClr w14:val="tx1"/>
            </w14:solidFill>
          </w14:textFill>
        </w:rPr>
      </w:pPr>
    </w:p>
    <w:p w14:paraId="14457BED">
      <w:pPr>
        <w:rPr>
          <w:rFonts w:hint="eastAsia" w:ascii="宋体" w:hAnsi="宋体" w:eastAsia="宋体" w:cs="宋体"/>
          <w:b/>
          <w:color w:val="000000" w:themeColor="text1"/>
          <w:shd w:val="clear" w:color="auto" w:fill="auto"/>
          <w14:textFill>
            <w14:solidFill>
              <w14:schemeClr w14:val="tx1"/>
            </w14:solidFill>
          </w14:textFill>
        </w:rPr>
      </w:pPr>
    </w:p>
    <w:p w14:paraId="59BE2C3C">
      <w:pPr>
        <w:rPr>
          <w:rFonts w:hint="eastAsia" w:ascii="宋体" w:hAnsi="宋体" w:eastAsia="宋体" w:cs="宋体"/>
          <w:b/>
          <w:color w:val="000000" w:themeColor="text1"/>
          <w:shd w:val="clear" w:color="auto" w:fill="auto"/>
          <w14:textFill>
            <w14:solidFill>
              <w14:schemeClr w14:val="tx1"/>
            </w14:solidFill>
          </w14:textFill>
        </w:rPr>
      </w:pPr>
    </w:p>
    <w:p w14:paraId="373179FD">
      <w:pPr>
        <w:rPr>
          <w:rFonts w:hint="eastAsia" w:ascii="宋体" w:hAnsi="宋体" w:eastAsia="宋体" w:cs="宋体"/>
          <w:b/>
          <w:color w:val="000000" w:themeColor="text1"/>
          <w:shd w:val="clear" w:color="auto" w:fill="auto"/>
          <w14:textFill>
            <w14:solidFill>
              <w14:schemeClr w14:val="tx1"/>
            </w14:solidFill>
          </w14:textFill>
        </w:rPr>
      </w:pPr>
    </w:p>
    <w:p w14:paraId="222E2322">
      <w:pPr>
        <w:rPr>
          <w:rFonts w:hint="eastAsia" w:ascii="宋体" w:hAnsi="宋体" w:eastAsia="宋体" w:cs="宋体"/>
          <w:b/>
          <w:color w:val="000000" w:themeColor="text1"/>
          <w:shd w:val="clear" w:color="auto" w:fill="auto"/>
          <w14:textFill>
            <w14:solidFill>
              <w14:schemeClr w14:val="tx1"/>
            </w14:solidFill>
          </w14:textFill>
        </w:rPr>
      </w:pPr>
    </w:p>
    <w:p w14:paraId="66CDEDB3">
      <w:pPr>
        <w:rPr>
          <w:rFonts w:hint="eastAsia" w:ascii="宋体" w:hAnsi="宋体" w:eastAsia="宋体" w:cs="宋体"/>
          <w:b/>
          <w:color w:val="000000" w:themeColor="text1"/>
          <w:shd w:val="clear" w:color="auto" w:fill="auto"/>
          <w14:textFill>
            <w14:solidFill>
              <w14:schemeClr w14:val="tx1"/>
            </w14:solidFill>
          </w14:textFill>
        </w:rPr>
      </w:pPr>
    </w:p>
    <w:p w14:paraId="6D8F57E1">
      <w:pPr>
        <w:rPr>
          <w:rFonts w:hint="eastAsia" w:ascii="宋体" w:hAnsi="宋体" w:eastAsia="宋体" w:cs="宋体"/>
          <w:b/>
          <w:color w:val="000000" w:themeColor="text1"/>
          <w:shd w:val="clear" w:color="auto" w:fill="auto"/>
          <w14:textFill>
            <w14:solidFill>
              <w14:schemeClr w14:val="tx1"/>
            </w14:solidFill>
          </w14:textFill>
        </w:rPr>
      </w:pPr>
    </w:p>
    <w:p w14:paraId="72150EAF">
      <w:pPr>
        <w:rPr>
          <w:rFonts w:hint="eastAsia" w:ascii="宋体" w:hAnsi="宋体" w:eastAsia="宋体" w:cs="宋体"/>
          <w:b/>
          <w:color w:val="000000" w:themeColor="text1"/>
          <w:shd w:val="clear" w:color="auto" w:fill="auto"/>
          <w14:textFill>
            <w14:solidFill>
              <w14:schemeClr w14:val="tx1"/>
            </w14:solidFill>
          </w14:textFill>
        </w:rPr>
      </w:pPr>
    </w:p>
    <w:p w14:paraId="00FDFD55">
      <w:pPr>
        <w:rPr>
          <w:rFonts w:hint="eastAsia" w:ascii="宋体" w:hAnsi="宋体" w:eastAsia="宋体" w:cs="宋体"/>
          <w:b/>
          <w:color w:val="000000" w:themeColor="text1"/>
          <w:shd w:val="clear" w:color="auto" w:fill="auto"/>
          <w14:textFill>
            <w14:solidFill>
              <w14:schemeClr w14:val="tx1"/>
            </w14:solidFill>
          </w14:textFill>
        </w:rPr>
      </w:pPr>
    </w:p>
    <w:p w14:paraId="287120F6">
      <w:pPr>
        <w:rPr>
          <w:rFonts w:hint="eastAsia" w:ascii="宋体" w:hAnsi="宋体" w:eastAsia="宋体" w:cs="宋体"/>
          <w:b/>
          <w:color w:val="000000" w:themeColor="text1"/>
          <w:shd w:val="clear" w:color="auto" w:fill="auto"/>
          <w14:textFill>
            <w14:solidFill>
              <w14:schemeClr w14:val="tx1"/>
            </w14:solidFill>
          </w14:textFill>
        </w:rPr>
      </w:pPr>
    </w:p>
    <w:p w14:paraId="0D36D996">
      <w:pPr>
        <w:rPr>
          <w:rFonts w:hint="eastAsia" w:ascii="宋体" w:hAnsi="宋体" w:eastAsia="宋体" w:cs="宋体"/>
          <w:b/>
          <w:color w:val="000000" w:themeColor="text1"/>
          <w:shd w:val="clear" w:color="auto" w:fill="auto"/>
          <w14:textFill>
            <w14:solidFill>
              <w14:schemeClr w14:val="tx1"/>
            </w14:solidFill>
          </w14:textFill>
        </w:rPr>
      </w:pPr>
    </w:p>
    <w:p w14:paraId="13A586AB">
      <w:pPr>
        <w:rPr>
          <w:rFonts w:hint="eastAsia" w:ascii="宋体" w:hAnsi="宋体" w:eastAsia="宋体" w:cs="宋体"/>
          <w:b/>
          <w:color w:val="000000" w:themeColor="text1"/>
          <w:shd w:val="clear" w:color="auto" w:fill="auto"/>
          <w14:textFill>
            <w14:solidFill>
              <w14:schemeClr w14:val="tx1"/>
            </w14:solidFill>
          </w14:textFill>
        </w:rPr>
      </w:pPr>
    </w:p>
    <w:p w14:paraId="6B86AC3A">
      <w:pPr>
        <w:rPr>
          <w:rFonts w:hint="eastAsia" w:ascii="宋体" w:hAnsi="宋体" w:eastAsia="宋体" w:cs="宋体"/>
          <w:b/>
          <w:color w:val="000000" w:themeColor="text1"/>
          <w:shd w:val="clear" w:color="auto" w:fill="auto"/>
          <w14:textFill>
            <w14:solidFill>
              <w14:schemeClr w14:val="tx1"/>
            </w14:solidFill>
          </w14:textFill>
        </w:rPr>
      </w:pPr>
    </w:p>
    <w:p w14:paraId="551A2F20">
      <w:pPr>
        <w:rPr>
          <w:rFonts w:hint="eastAsia" w:ascii="宋体" w:hAnsi="宋体" w:eastAsia="宋体" w:cs="宋体"/>
          <w:b/>
          <w:color w:val="000000" w:themeColor="text1"/>
          <w:shd w:val="clear" w:color="auto" w:fill="auto"/>
          <w14:textFill>
            <w14:solidFill>
              <w14:schemeClr w14:val="tx1"/>
            </w14:solidFill>
          </w14:textFill>
        </w:rPr>
      </w:pPr>
    </w:p>
    <w:p w14:paraId="19D1EF87">
      <w:pPr>
        <w:rPr>
          <w:rFonts w:hint="eastAsia" w:ascii="宋体" w:hAnsi="宋体" w:eastAsia="宋体" w:cs="宋体"/>
          <w:b/>
          <w:color w:val="000000" w:themeColor="text1"/>
          <w:shd w:val="clear" w:color="auto" w:fill="auto"/>
          <w14:textFill>
            <w14:solidFill>
              <w14:schemeClr w14:val="tx1"/>
            </w14:solidFill>
          </w14:textFill>
        </w:rPr>
      </w:pPr>
      <w:bookmarkStart w:id="189" w:name="_GoBack"/>
      <w:bookmarkEnd w:id="189"/>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12908"/>
      <w:bookmarkStart w:id="165" w:name="_Toc9883"/>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480979020"/>
      <w:bookmarkStart w:id="167" w:name="_Toc342913421"/>
      <w:bookmarkStart w:id="168" w:name="_Toc313888362"/>
      <w:bookmarkStart w:id="169" w:name="_Toc13844"/>
      <w:bookmarkStart w:id="170" w:name="_Toc313008358"/>
      <w:bookmarkStart w:id="171" w:name="_Toc485108798"/>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31463"/>
      <w:bookmarkStart w:id="185"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5F78CD1E-DCF7-40BD-9553-D3B8F0365BC1}"/>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BD7A22"/>
    <w:multiLevelType w:val="singleLevel"/>
    <w:tmpl w:val="D9BD7A22"/>
    <w:lvl w:ilvl="0" w:tentative="0">
      <w:start w:val="2"/>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74B19"/>
    <w:rsid w:val="02FE0C09"/>
    <w:rsid w:val="037759DB"/>
    <w:rsid w:val="03BB3ADF"/>
    <w:rsid w:val="03C2134C"/>
    <w:rsid w:val="04835763"/>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1C42B1A"/>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6B67983"/>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6D2638"/>
    <w:rsid w:val="1DD87EDC"/>
    <w:rsid w:val="1DDA4D59"/>
    <w:rsid w:val="1E8652AA"/>
    <w:rsid w:val="1E9D4968"/>
    <w:rsid w:val="1EB13D33"/>
    <w:rsid w:val="1F062593"/>
    <w:rsid w:val="1F08489B"/>
    <w:rsid w:val="1F2D0A6E"/>
    <w:rsid w:val="1F3A098C"/>
    <w:rsid w:val="1F3D23B3"/>
    <w:rsid w:val="1F6A74CC"/>
    <w:rsid w:val="1F6D6E4A"/>
    <w:rsid w:val="1F8009D9"/>
    <w:rsid w:val="1FCE723D"/>
    <w:rsid w:val="20084BEF"/>
    <w:rsid w:val="203372B2"/>
    <w:rsid w:val="204C6181"/>
    <w:rsid w:val="20A13E34"/>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6A6503"/>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1CA4358"/>
    <w:rsid w:val="31FA7479"/>
    <w:rsid w:val="32050A97"/>
    <w:rsid w:val="32284BF5"/>
    <w:rsid w:val="32C61A35"/>
    <w:rsid w:val="32DA1DD4"/>
    <w:rsid w:val="33323C73"/>
    <w:rsid w:val="3361798A"/>
    <w:rsid w:val="33861085"/>
    <w:rsid w:val="33C55E5D"/>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509A"/>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9435BF"/>
    <w:rsid w:val="62A30CCB"/>
    <w:rsid w:val="62F24507"/>
    <w:rsid w:val="6352606D"/>
    <w:rsid w:val="639436E3"/>
    <w:rsid w:val="6445282D"/>
    <w:rsid w:val="645A13DB"/>
    <w:rsid w:val="648C045C"/>
    <w:rsid w:val="656A40F1"/>
    <w:rsid w:val="658C5E23"/>
    <w:rsid w:val="65F9363E"/>
    <w:rsid w:val="667E25AF"/>
    <w:rsid w:val="66815672"/>
    <w:rsid w:val="67152E14"/>
    <w:rsid w:val="67770DF7"/>
    <w:rsid w:val="679C27B9"/>
    <w:rsid w:val="67B04F27"/>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7592</Words>
  <Characters>7729</Characters>
  <Lines>182</Lines>
  <Paragraphs>51</Paragraphs>
  <TotalTime>0</TotalTime>
  <ScaleCrop>false</ScaleCrop>
  <LinksUpToDate>false</LinksUpToDate>
  <CharactersWithSpaces>7801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2025-06-23T06:38:43Z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