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2025FW074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眼科准分子激光治疗仪全保服务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7"/>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3588"/>
      <w:bookmarkStart w:id="2" w:name="_Toc485108766"/>
      <w:bookmarkStart w:id="3" w:name="_Toc6921"/>
      <w:bookmarkStart w:id="4" w:name="_Toc25875"/>
      <w:bookmarkStart w:id="5"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眼科准分子激光治疗仪全保服务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313893526"/>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眼科准分子激光治疗仪全保服务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：自筹资金,项目预算：23万元。</w:t>
      </w:r>
    </w:p>
    <w:p w14:paraId="7AA96D60">
      <w:pPr>
        <w:pStyle w:val="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627B4DB4">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经营该采购项目范围的营业执照、税务登记证、组织机构代码证（或三证合一）及法定代表人授权委托书、授权人和被授权人身份证复印件（被授权代表身份证原件随身携带备查）。</w:t>
      </w:r>
    </w:p>
    <w:p w14:paraId="6B00345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须具备医疗器械经营许可证或二类备案凭证。</w:t>
      </w:r>
    </w:p>
    <w:p w14:paraId="54D434CB">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bookmarkStart w:id="189" w:name="_GoBack"/>
      <w:bookmarkEnd w:id="189"/>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4"/>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3"/>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4"/>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4"/>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本次报价须为人民币报价，包括完成本项目所需的：</w:t>
      </w:r>
      <w:r>
        <w:rPr>
          <w:rFonts w:hint="eastAsia" w:ascii="宋体" w:hAnsi="宋体" w:eastAsia="宋体" w:cs="宋体"/>
          <w:color w:val="000000" w:themeColor="text1"/>
          <w:sz w:val="24"/>
          <w:szCs w:val="24"/>
          <w:lang w:eastAsia="zh-CN"/>
          <w14:textFill>
            <w14:solidFill>
              <w14:schemeClr w14:val="tx1"/>
            </w14:solidFill>
          </w14:textFill>
        </w:rPr>
        <w:t>维保费</w:t>
      </w:r>
      <w:r>
        <w:rPr>
          <w:rFonts w:hint="eastAsia" w:ascii="宋体" w:hAnsi="宋体" w:eastAsia="宋体" w:cs="宋体"/>
          <w:color w:val="000000" w:themeColor="text1"/>
          <w:sz w:val="24"/>
          <w:szCs w:val="24"/>
          <w14:textFill>
            <w14:solidFill>
              <w14:schemeClr w14:val="tx1"/>
            </w14:solidFill>
          </w14:textFill>
        </w:rPr>
        <w:t>、运输费（含装卸费）、保险费、安装费、调试费、售后服务费、税费、培训费与其他施工单位的配合费等货到医院指定地点的所有费用。因成交供应商自身原因造成漏报、少报皆由其自行承担责任，医院不再补偿。</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9143"/>
      <w:bookmarkStart w:id="42" w:name="_Toc18122"/>
      <w:bookmarkStart w:id="43" w:name="_Toc102227319"/>
      <w:bookmarkStart w:id="44" w:name="_Toc179714298"/>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403569782"/>
      <w:bookmarkStart w:id="53"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342913395"/>
      <w:bookmarkStart w:id="56" w:name="_Toc3212"/>
      <w:bookmarkStart w:id="57" w:name="_Toc102227321"/>
      <w:bookmarkStart w:id="58" w:name="_Toc713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403569784"/>
      <w:bookmarkStart w:id="61"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403569785"/>
      <w:bookmarkStart w:id="65"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DB0EA24">
      <w:pPr>
        <w:pStyle w:val="3"/>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7" w:name="_Toc485108784"/>
      <w:bookmarkStart w:id="68" w:name="_Toc11770"/>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12789058"/>
      <w:bookmarkStart w:id="73"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27B4DA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1.设备品牌型号：</w:t>
      </w:r>
    </w:p>
    <w:p w14:paraId="627B4DA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眼科准分子激光治疗仪（鹰视准分子激光系统：ALLEGRETTO WAVE EYE-Q）。</w:t>
      </w:r>
    </w:p>
    <w:p w14:paraId="627B4DA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2.数量:壹台。</w:t>
      </w:r>
    </w:p>
    <w:p w14:paraId="627B4DA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3、维保服务时间:12个月。</w:t>
      </w:r>
    </w:p>
    <w:p w14:paraId="66B5E93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4.维保服务地点：重庆医科大学附属永川医院。</w:t>
      </w:r>
    </w:p>
    <w:p w14:paraId="627B4DB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5.维保范围:</w:t>
      </w:r>
      <w:r>
        <w:rPr>
          <w:rFonts w:hint="eastAsia" w:ascii="宋体" w:hAnsi="宋体" w:eastAsia="宋体" w:cs="宋体"/>
          <w:color w:val="FF0000"/>
          <w:sz w:val="24"/>
          <w:szCs w:val="24"/>
          <w:shd w:val="clear" w:color="auto" w:fill="auto"/>
          <w:lang w:val="en-US" w:eastAsia="zh-CN"/>
        </w:rPr>
        <w:t>设备整机全保（包括：整套设备的维修保养、检测、调试，并保证年开机率≧95%；免费各类原厂配件的更换，包括激光腔等所有零配件，每年含一瓶氟化氩气体及一个配套滤芯）</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w:t>
      </w:r>
    </w:p>
    <w:p w14:paraId="37D4F94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6.仪器因为外部因素（停用、召回、报废等），合同即刻中止，维保费用按实际服务天数计算。</w:t>
      </w:r>
    </w:p>
    <w:p w14:paraId="18561A00">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供应商必须具备800或者400客户服务专线报修电话，电话响应时间2小时，若电话不能解决的，工程师现场响应时间为48小时内。到达现场处理故障的工程师需为具有专业维修资质的工程师，提供同类型产品培训证书和工作关系证明或社保证明。若延迟到达现场则按1000元/天扣除同期维保款。</w:t>
      </w:r>
    </w:p>
    <w:p w14:paraId="627B4DB8">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8.每年不少于4次的定期维护（每季度至少1次），每次执行完成定期维护保养项目必须要有详细记录留存用户。</w:t>
      </w:r>
    </w:p>
    <w:p w14:paraId="627B4DB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开机率承诺：在服务期内保证95%的开机率（按一年365日计算），对于开机率低于约定的开机率的每一个百分点，维保合同期限将延长7个日历日。其他意外灾害等不可抗力和人为恶意以及由于航空管制等特殊情况下配件等待引起的时间不含在内。</w:t>
      </w:r>
    </w:p>
    <w:p w14:paraId="627B4DB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10.故障处置及备件更换：</w:t>
      </w:r>
    </w:p>
    <w:p w14:paraId="627B4DBB">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101．供应商所提供的备件必须原厂原装合格的零备件以满足设备运行要求，不会给设备带来安全隐患。</w:t>
      </w:r>
    </w:p>
    <w:p w14:paraId="627B4DBC">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10.2．所有故障处置与备件更换不限次数。所有类型的故障处置完毕后必须留工作记录给院方备案。</w:t>
      </w:r>
    </w:p>
    <w:p w14:paraId="627B4DC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11.参选供应商必须响应以上参数需求并提供证明材料。</w:t>
      </w:r>
    </w:p>
    <w:p w14:paraId="47E49C05">
      <w:pPr>
        <w:snapToGrid w:val="0"/>
        <w:spacing w:line="400" w:lineRule="exact"/>
        <w:ind w:firstLine="480" w:firstLineChars="200"/>
        <w:jc w:val="left"/>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73CB1183">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p w14:paraId="261FE3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F3FEF4D">
      <w:pPr>
        <w:pStyle w:val="2"/>
        <w:rPr>
          <w:rFonts w:hint="eastAsia" w:ascii="宋体" w:hAnsi="宋体" w:eastAsia="宋体" w:cs="宋体"/>
          <w:b/>
          <w:color w:val="000000" w:themeColor="text1"/>
          <w:sz w:val="36"/>
          <w:szCs w:val="36"/>
          <w:shd w:val="clear" w:color="auto" w:fill="auto"/>
          <w14:textFill>
            <w14:solidFill>
              <w14:schemeClr w14:val="tx1"/>
            </w14:solidFill>
          </w14:textFill>
        </w:rPr>
      </w:pPr>
    </w:p>
    <w:p w14:paraId="42DFD426">
      <w:pPr>
        <w:rPr>
          <w:rFonts w:hint="eastAsia"/>
          <w:color w:val="000000" w:themeColor="text1"/>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4" w:name="_Toc4364"/>
      <w:bookmarkStart w:id="75" w:name="_Toc1701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4"/>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9035DA6">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1付款方式：①每年度维保服务完成后，中选供应商提供一份完整的年度维保报告（电子版和纸字版各一份），需中选供应商、使用科室和设备科分管工程师同时签字确认，否则不予以付费</w:t>
      </w:r>
    </w:p>
    <w:p w14:paraId="02D89AD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每一年服务年度满后，凭发票、合同复印件、维护维俢报告60天内付当年维保费全款。如果出现大配件故障，停机时间≥一个月，维保费用按实际服务天数计算。若中选供应商服务期内未提供巡检保养服务或服务次数不足，采购人不予以付费。</w:t>
      </w:r>
    </w:p>
    <w:p w14:paraId="627B4D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2.中选供应商需签信息安全保密协议。</w:t>
      </w:r>
    </w:p>
    <w:p w14:paraId="627B4DC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3.在远程服务或系统升级服务时，中选供应商需对采购人的信息安全和数据安全负责，在服务工作中造成的影响或损失由中选供应商负责。</w:t>
      </w:r>
    </w:p>
    <w:p w14:paraId="5235ADB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3"/>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14840"/>
      <w:bookmarkStart w:id="84" w:name="_Toc485108794"/>
      <w:bookmarkStart w:id="85" w:name="_Toc15711"/>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3"/>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485108795"/>
      <w:bookmarkStart w:id="137" w:name="_Toc13696"/>
      <w:bookmarkStart w:id="138" w:name="_Toc29521"/>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4"/>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4"/>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008356"/>
      <w:bookmarkStart w:id="155" w:name="_Toc313888360"/>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336C80E">
      <w:pPr>
        <w:pStyle w:val="51"/>
        <w:spacing w:before="0" w:beforeAutospacing="0" w:after="0" w:afterAutospacing="0" w:line="560" w:lineRule="exact"/>
        <w:jc w:val="center"/>
        <w:rPr>
          <w:rFonts w:ascii="方正仿宋_GBK" w:hAnsi="方正仿宋_GBK" w:eastAsia="方正仿宋_GBK" w:cs="方正仿宋_GBK"/>
          <w:color w:val="000000" w:themeColor="text1"/>
          <w:sz w:val="32"/>
          <w:szCs w:val="32"/>
          <w14:textFill>
            <w14:solidFill>
              <w14:schemeClr w14:val="tx1"/>
            </w14:solidFill>
          </w14:textFill>
        </w:rPr>
      </w:pPr>
      <w:bookmarkStart w:id="159" w:name="_Toc485108797"/>
      <w:bookmarkStart w:id="160" w:name="_Toc313888361"/>
      <w:bookmarkStart w:id="161" w:name="_Toc480979019"/>
      <w:bookmarkStart w:id="162" w:name="_Toc342913420"/>
      <w:bookmarkStart w:id="163" w:name="_Toc313008357"/>
      <w:r>
        <w:rPr>
          <w:rFonts w:hint="eastAsia" w:ascii="方正仿宋_GBK" w:hAnsi="方正仿宋_GBK" w:eastAsia="方正仿宋_GBK" w:cs="方正仿宋_GBK"/>
          <w:color w:val="000000" w:themeColor="text1"/>
          <w:sz w:val="32"/>
          <w:szCs w:val="32"/>
          <w14:textFill>
            <w14:solidFill>
              <w14:schemeClr w14:val="tx1"/>
            </w14:solidFill>
          </w14:textFill>
        </w:rPr>
        <w:t>报价表</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4814"/>
        <w:gridCol w:w="2407"/>
      </w:tblGrid>
      <w:tr w14:paraId="035D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41B78708">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项目名称</w:t>
            </w:r>
          </w:p>
        </w:tc>
        <w:tc>
          <w:tcPr>
            <w:tcW w:w="4814" w:type="dxa"/>
          </w:tcPr>
          <w:p w14:paraId="01C8A20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报价</w:t>
            </w:r>
            <w:r>
              <w:rPr>
                <w:rFonts w:hint="eastAsia" w:cs="宋体"/>
                <w:color w:val="000000" w:themeColor="text1"/>
                <w:sz w:val="28"/>
                <w:szCs w:val="28"/>
                <w:shd w:val="clear" w:color="auto" w:fill="auto"/>
                <w:lang w:val="en-US" w:eastAsia="zh-CN"/>
                <w14:textFill>
                  <w14:solidFill>
                    <w14:schemeClr w14:val="tx1"/>
                  </w14:solidFill>
                </w14:textFill>
              </w:rPr>
              <w:t>（万元）</w:t>
            </w:r>
          </w:p>
        </w:tc>
        <w:tc>
          <w:tcPr>
            <w:tcW w:w="2407" w:type="dxa"/>
          </w:tcPr>
          <w:p w14:paraId="664B351D">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备注</w:t>
            </w:r>
          </w:p>
        </w:tc>
      </w:tr>
      <w:tr w14:paraId="69DA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Pr>
          <w:p w14:paraId="1F52D157">
            <w:pPr>
              <w:pStyle w:val="51"/>
              <w:spacing w:before="0" w:beforeAutospacing="0" w:after="0" w:afterAutospacing="0" w:line="480" w:lineRule="exact"/>
              <w:jc w:val="center"/>
              <w:rPr>
                <w:rFonts w:hint="eastAsia" w:ascii="宋体" w:hAnsi="宋体" w:eastAsia="宋体" w:cs="宋体"/>
                <w:color w:val="000000" w:themeColor="text1"/>
                <w:kern w:val="0"/>
                <w:sz w:val="28"/>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眼科准分子激光治疗仪全保服务</w:t>
            </w:r>
          </w:p>
        </w:tc>
        <w:tc>
          <w:tcPr>
            <w:tcW w:w="4814" w:type="dxa"/>
          </w:tcPr>
          <w:p w14:paraId="34C53D7A">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c>
          <w:tcPr>
            <w:tcW w:w="2407" w:type="dxa"/>
          </w:tcPr>
          <w:p w14:paraId="56F00D89">
            <w:pPr>
              <w:pStyle w:val="51"/>
              <w:spacing w:before="0" w:beforeAutospacing="0" w:after="0" w:afterAutospacing="0" w:line="480" w:lineRule="exact"/>
              <w:jc w:val="cente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p>
        </w:tc>
      </w:tr>
    </w:tbl>
    <w:p w14:paraId="5A0625A8">
      <w:pPr>
        <w:pStyle w:val="269"/>
        <w:spacing w:line="560" w:lineRule="exact"/>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注1.</w:t>
      </w:r>
      <w:r>
        <w:rPr>
          <w:rFonts w:hint="eastAsia" w:ascii="宋体" w:hAnsi="宋体" w:eastAsia="宋体" w:cs="宋体"/>
          <w:color w:val="000000" w:themeColor="text1"/>
          <w:sz w:val="24"/>
          <w:szCs w:val="24"/>
          <w14:textFill>
            <w14:solidFill>
              <w14:schemeClr w14:val="tx1"/>
            </w14:solidFill>
          </w14:textFill>
        </w:rPr>
        <w:t>本次报价须为人民币报价，包括完成本项目所需的：</w:t>
      </w:r>
      <w:r>
        <w:rPr>
          <w:rFonts w:hint="eastAsia" w:ascii="宋体" w:hAnsi="宋体" w:eastAsia="宋体" w:cs="宋体"/>
          <w:color w:val="000000" w:themeColor="text1"/>
          <w:sz w:val="24"/>
          <w:szCs w:val="24"/>
          <w:lang w:eastAsia="zh-CN"/>
          <w14:textFill>
            <w14:solidFill>
              <w14:schemeClr w14:val="tx1"/>
            </w14:solidFill>
          </w14:textFill>
        </w:rPr>
        <w:t>维保费</w:t>
      </w:r>
      <w:r>
        <w:rPr>
          <w:rFonts w:hint="eastAsia" w:ascii="宋体" w:hAnsi="宋体" w:eastAsia="宋体" w:cs="宋体"/>
          <w:color w:val="000000" w:themeColor="text1"/>
          <w:sz w:val="24"/>
          <w:szCs w:val="24"/>
          <w14:textFill>
            <w14:solidFill>
              <w14:schemeClr w14:val="tx1"/>
            </w14:solidFill>
          </w14:textFill>
        </w:rPr>
        <w:t>、运输费（含装卸费）、保险费、安装费、调试费、售后服务费、税费、培训费与其他施工单位的配合费等货到医院指定地点的所有费用。因成交供应商自身原因造成漏报、少报皆由其自行承担责任，</w:t>
      </w:r>
      <w:r>
        <w:rPr>
          <w:rFonts w:hint="eastAsia" w:ascii="宋体" w:hAnsi="宋体" w:eastAsia="宋体" w:cs="宋体"/>
          <w:color w:val="000000" w:themeColor="text1"/>
          <w:sz w:val="24"/>
          <w:szCs w:val="24"/>
          <w:lang w:eastAsia="zh-CN"/>
          <w14:textFill>
            <w14:solidFill>
              <w14:schemeClr w14:val="tx1"/>
            </w14:solidFill>
          </w14:textFill>
        </w:rPr>
        <w:t>采购人</w:t>
      </w:r>
      <w:r>
        <w:rPr>
          <w:rFonts w:hint="eastAsia" w:ascii="宋体" w:hAnsi="宋体" w:eastAsia="宋体" w:cs="宋体"/>
          <w:color w:val="000000" w:themeColor="text1"/>
          <w:sz w:val="24"/>
          <w:szCs w:val="24"/>
          <w14:textFill>
            <w14:solidFill>
              <w14:schemeClr w14:val="tx1"/>
            </w14:solidFill>
          </w14:textFill>
        </w:rPr>
        <w:t>不再补偿</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6021CE27">
      <w:pPr>
        <w:rPr>
          <w:rFonts w:hint="eastAsia" w:ascii="宋体" w:hAnsi="宋体" w:eastAsia="宋体" w:cs="宋体"/>
          <w:b/>
          <w:color w:val="000000" w:themeColor="text1"/>
          <w:shd w:val="clear" w:color="auto" w:fill="auto"/>
          <w14:textFill>
            <w14:solidFill>
              <w14:schemeClr w14:val="tx1"/>
            </w14:solidFill>
          </w14:textFill>
        </w:rPr>
      </w:pPr>
    </w:p>
    <w:p w14:paraId="6242388E">
      <w:pPr>
        <w:rPr>
          <w:rFonts w:hint="eastAsia" w:ascii="宋体" w:hAnsi="宋体" w:eastAsia="宋体" w:cs="宋体"/>
          <w:b/>
          <w:color w:val="000000" w:themeColor="text1"/>
          <w:shd w:val="clear" w:color="auto" w:fill="auto"/>
          <w14:textFill>
            <w14:solidFill>
              <w14:schemeClr w14:val="tx1"/>
            </w14:solidFill>
          </w14:textFill>
        </w:rPr>
      </w:pPr>
    </w:p>
    <w:p w14:paraId="61ACA79A">
      <w:pPr>
        <w:rPr>
          <w:rFonts w:hint="eastAsia" w:ascii="宋体" w:hAnsi="宋体" w:eastAsia="宋体" w:cs="宋体"/>
          <w:b/>
          <w:color w:val="000000" w:themeColor="text1"/>
          <w:shd w:val="clear" w:color="auto" w:fill="auto"/>
          <w14:textFill>
            <w14:solidFill>
              <w14:schemeClr w14:val="tx1"/>
            </w14:solidFill>
          </w14:textFill>
        </w:rPr>
      </w:pPr>
    </w:p>
    <w:p w14:paraId="61926871">
      <w:pPr>
        <w:rPr>
          <w:rFonts w:hint="eastAsia" w:ascii="宋体" w:hAnsi="宋体" w:eastAsia="宋体" w:cs="宋体"/>
          <w:b/>
          <w:color w:val="000000" w:themeColor="text1"/>
          <w:shd w:val="clear" w:color="auto" w:fill="auto"/>
          <w14:textFill>
            <w14:solidFill>
              <w14:schemeClr w14:val="tx1"/>
            </w14:solidFill>
          </w14:textFill>
        </w:rPr>
      </w:pPr>
    </w:p>
    <w:p w14:paraId="5EC782ED">
      <w:pPr>
        <w:rPr>
          <w:rFonts w:hint="eastAsia" w:ascii="宋体" w:hAnsi="宋体" w:eastAsia="宋体" w:cs="宋体"/>
          <w:b/>
          <w:color w:val="000000" w:themeColor="text1"/>
          <w:shd w:val="clear" w:color="auto" w:fill="auto"/>
          <w14:textFill>
            <w14:solidFill>
              <w14:schemeClr w14:val="tx1"/>
            </w14:solidFill>
          </w14:textFill>
        </w:rPr>
      </w:pPr>
    </w:p>
    <w:p w14:paraId="0D76BDE7">
      <w:pPr>
        <w:rPr>
          <w:rFonts w:hint="eastAsia" w:ascii="宋体" w:hAnsi="宋体" w:eastAsia="宋体" w:cs="宋体"/>
          <w:b/>
          <w:color w:val="000000" w:themeColor="text1"/>
          <w:shd w:val="clear" w:color="auto" w:fill="auto"/>
          <w14:textFill>
            <w14:solidFill>
              <w14:schemeClr w14:val="tx1"/>
            </w14:solidFill>
          </w14:textFill>
        </w:rPr>
      </w:pPr>
    </w:p>
    <w:p w14:paraId="14457BED">
      <w:pPr>
        <w:rPr>
          <w:rFonts w:hint="eastAsia" w:ascii="宋体" w:hAnsi="宋体" w:eastAsia="宋体" w:cs="宋体"/>
          <w:b/>
          <w:color w:val="000000" w:themeColor="text1"/>
          <w:shd w:val="clear" w:color="auto" w:fill="auto"/>
          <w14:textFill>
            <w14:solidFill>
              <w14:schemeClr w14:val="tx1"/>
            </w14:solidFill>
          </w14:textFill>
        </w:rPr>
      </w:pPr>
    </w:p>
    <w:p w14:paraId="59BE2C3C">
      <w:pPr>
        <w:rPr>
          <w:rFonts w:hint="eastAsia" w:ascii="宋体" w:hAnsi="宋体" w:eastAsia="宋体" w:cs="宋体"/>
          <w:b/>
          <w:color w:val="000000" w:themeColor="text1"/>
          <w:shd w:val="clear" w:color="auto" w:fill="auto"/>
          <w14:textFill>
            <w14:solidFill>
              <w14:schemeClr w14:val="tx1"/>
            </w14:solidFill>
          </w14:textFill>
        </w:rPr>
      </w:pPr>
    </w:p>
    <w:p w14:paraId="373179FD">
      <w:pPr>
        <w:rPr>
          <w:rFonts w:hint="eastAsia" w:ascii="宋体" w:hAnsi="宋体" w:eastAsia="宋体" w:cs="宋体"/>
          <w:b/>
          <w:color w:val="000000" w:themeColor="text1"/>
          <w:shd w:val="clear" w:color="auto" w:fill="auto"/>
          <w14:textFill>
            <w14:solidFill>
              <w14:schemeClr w14:val="tx1"/>
            </w14:solidFill>
          </w14:textFill>
        </w:rPr>
      </w:pPr>
    </w:p>
    <w:p w14:paraId="222E2322">
      <w:pPr>
        <w:rPr>
          <w:rFonts w:hint="eastAsia" w:ascii="宋体" w:hAnsi="宋体" w:eastAsia="宋体" w:cs="宋体"/>
          <w:b/>
          <w:color w:val="000000" w:themeColor="text1"/>
          <w:shd w:val="clear" w:color="auto" w:fill="auto"/>
          <w14:textFill>
            <w14:solidFill>
              <w14:schemeClr w14:val="tx1"/>
            </w14:solidFill>
          </w14:textFill>
        </w:rPr>
      </w:pPr>
    </w:p>
    <w:p w14:paraId="66CDEDB3">
      <w:pPr>
        <w:rPr>
          <w:rFonts w:hint="eastAsia" w:ascii="宋体" w:hAnsi="宋体" w:eastAsia="宋体" w:cs="宋体"/>
          <w:b/>
          <w:color w:val="000000" w:themeColor="text1"/>
          <w:shd w:val="clear" w:color="auto" w:fill="auto"/>
          <w14:textFill>
            <w14:solidFill>
              <w14:schemeClr w14:val="tx1"/>
            </w14:solidFill>
          </w14:textFill>
        </w:rPr>
      </w:pPr>
    </w:p>
    <w:p w14:paraId="6D8F57E1">
      <w:pPr>
        <w:rPr>
          <w:rFonts w:hint="eastAsia" w:ascii="宋体" w:hAnsi="宋体" w:eastAsia="宋体" w:cs="宋体"/>
          <w:b/>
          <w:color w:val="000000" w:themeColor="text1"/>
          <w:shd w:val="clear" w:color="auto" w:fill="auto"/>
          <w14:textFill>
            <w14:solidFill>
              <w14:schemeClr w14:val="tx1"/>
            </w14:solidFill>
          </w14:textFill>
        </w:rPr>
      </w:pPr>
    </w:p>
    <w:p w14:paraId="72150EAF">
      <w:pPr>
        <w:rPr>
          <w:rFonts w:hint="eastAsia" w:ascii="宋体" w:hAnsi="宋体" w:eastAsia="宋体" w:cs="宋体"/>
          <w:b/>
          <w:color w:val="000000" w:themeColor="text1"/>
          <w:shd w:val="clear" w:color="auto" w:fill="auto"/>
          <w14:textFill>
            <w14:solidFill>
              <w14:schemeClr w14:val="tx1"/>
            </w14:solidFill>
          </w14:textFill>
        </w:rPr>
      </w:pPr>
    </w:p>
    <w:p w14:paraId="00FDFD55">
      <w:pPr>
        <w:rPr>
          <w:rFonts w:hint="eastAsia" w:ascii="宋体" w:hAnsi="宋体" w:eastAsia="宋体" w:cs="宋体"/>
          <w:b/>
          <w:color w:val="000000" w:themeColor="text1"/>
          <w:shd w:val="clear" w:color="auto" w:fill="auto"/>
          <w14:textFill>
            <w14:solidFill>
              <w14:schemeClr w14:val="tx1"/>
            </w14:solidFill>
          </w14:textFill>
        </w:rPr>
      </w:pPr>
    </w:p>
    <w:p w14:paraId="287120F6">
      <w:pPr>
        <w:rPr>
          <w:rFonts w:hint="eastAsia" w:ascii="宋体" w:hAnsi="宋体" w:eastAsia="宋体" w:cs="宋体"/>
          <w:b/>
          <w:color w:val="000000" w:themeColor="text1"/>
          <w:shd w:val="clear" w:color="auto" w:fill="auto"/>
          <w14:textFill>
            <w14:solidFill>
              <w14:schemeClr w14:val="tx1"/>
            </w14:solidFill>
          </w14:textFill>
        </w:rPr>
      </w:pPr>
    </w:p>
    <w:p w14:paraId="0D36D996">
      <w:pPr>
        <w:rPr>
          <w:rFonts w:hint="eastAsia" w:ascii="宋体" w:hAnsi="宋体" w:eastAsia="宋体" w:cs="宋体"/>
          <w:b/>
          <w:color w:val="000000" w:themeColor="text1"/>
          <w:shd w:val="clear" w:color="auto" w:fill="auto"/>
          <w14:textFill>
            <w14:solidFill>
              <w14:schemeClr w14:val="tx1"/>
            </w14:solidFill>
          </w14:textFill>
        </w:rPr>
      </w:pPr>
    </w:p>
    <w:p w14:paraId="13A586AB">
      <w:pPr>
        <w:rPr>
          <w:rFonts w:hint="eastAsia" w:ascii="宋体" w:hAnsi="宋体" w:eastAsia="宋体" w:cs="宋体"/>
          <w:b/>
          <w:color w:val="000000" w:themeColor="text1"/>
          <w:shd w:val="clear" w:color="auto" w:fill="auto"/>
          <w14:textFill>
            <w14:solidFill>
              <w14:schemeClr w14:val="tx1"/>
            </w14:solidFill>
          </w14:textFill>
        </w:rPr>
      </w:pPr>
    </w:p>
    <w:p w14:paraId="6B86AC3A">
      <w:pPr>
        <w:rPr>
          <w:rFonts w:hint="eastAsia" w:ascii="宋体" w:hAnsi="宋体" w:eastAsia="宋体" w:cs="宋体"/>
          <w:b/>
          <w:color w:val="000000" w:themeColor="text1"/>
          <w:shd w:val="clear" w:color="auto" w:fill="auto"/>
          <w14:textFill>
            <w14:solidFill>
              <w14:schemeClr w14:val="tx1"/>
            </w14:solidFill>
          </w14:textFill>
        </w:rPr>
      </w:pPr>
    </w:p>
    <w:p w14:paraId="652500CB">
      <w:pPr>
        <w:rPr>
          <w:rFonts w:hint="eastAsia" w:ascii="宋体" w:hAnsi="宋体" w:eastAsia="宋体" w:cs="宋体"/>
          <w:b/>
          <w:color w:val="000000" w:themeColor="text1"/>
          <w:shd w:val="clear" w:color="auto" w:fill="auto"/>
          <w14:textFill>
            <w14:solidFill>
              <w14:schemeClr w14:val="tx1"/>
            </w14:solidFill>
          </w14:textFill>
        </w:rPr>
      </w:pPr>
    </w:p>
    <w:p w14:paraId="34C065D0">
      <w:pPr>
        <w:pStyle w:val="2"/>
        <w:rPr>
          <w:rFonts w:hint="eastAsia" w:ascii="宋体" w:hAnsi="宋体" w:eastAsia="宋体" w:cs="宋体"/>
          <w:b/>
          <w:color w:val="000000" w:themeColor="text1"/>
          <w:shd w:val="clear" w:color="auto" w:fill="auto"/>
          <w14:textFill>
            <w14:solidFill>
              <w14:schemeClr w14:val="tx1"/>
            </w14:solidFill>
          </w14:textFill>
        </w:rPr>
      </w:pPr>
    </w:p>
    <w:p w14:paraId="2B3132EC">
      <w:pPr>
        <w:rPr>
          <w:rFonts w:hint="eastAsia" w:ascii="宋体" w:hAnsi="宋体" w:eastAsia="宋体" w:cs="宋体"/>
          <w:b/>
          <w:color w:val="000000" w:themeColor="text1"/>
          <w:shd w:val="clear" w:color="auto" w:fill="auto"/>
          <w14:textFill>
            <w14:solidFill>
              <w14:schemeClr w14:val="tx1"/>
            </w14:solidFill>
          </w14:textFill>
        </w:rPr>
      </w:pPr>
    </w:p>
    <w:p w14:paraId="7D34CFAD">
      <w:pPr>
        <w:pStyle w:val="2"/>
        <w:rPr>
          <w:rFonts w:hint="eastAsia" w:ascii="宋体" w:hAnsi="宋体" w:eastAsia="宋体" w:cs="宋体"/>
          <w:b/>
          <w:color w:val="000000" w:themeColor="text1"/>
          <w:shd w:val="clear" w:color="auto" w:fill="auto"/>
          <w14:textFill>
            <w14:solidFill>
              <w14:schemeClr w14:val="tx1"/>
            </w14:solidFill>
          </w14:textFill>
        </w:rPr>
      </w:pPr>
    </w:p>
    <w:p w14:paraId="5E963320">
      <w:pPr>
        <w:rPr>
          <w:rFonts w:hint="eastAsia"/>
          <w:color w:val="000000" w:themeColor="text1"/>
          <w14:textFill>
            <w14:solidFill>
              <w14:schemeClr w14:val="tx1"/>
            </w14:solidFill>
          </w14:textFill>
        </w:rPr>
      </w:pPr>
    </w:p>
    <w:p w14:paraId="773FB95E">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313888362"/>
      <w:bookmarkStart w:id="167" w:name="_Toc342913421"/>
      <w:bookmarkStart w:id="168" w:name="_Toc313008358"/>
      <w:bookmarkStart w:id="169" w:name="_Toc485108798"/>
      <w:bookmarkStart w:id="170" w:name="_Toc480979020"/>
      <w:bookmarkStart w:id="171" w:name="_Toc13844"/>
      <w:bookmarkStart w:id="172"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8B85BBA7-F846-498D-BFB6-BBCE7EE03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25F5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C167EC"/>
    <w:rsid w:val="0E0E625A"/>
    <w:rsid w:val="0E38674E"/>
    <w:rsid w:val="0E483041"/>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132F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14C85"/>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2B3FF6"/>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508D0"/>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DE1D00"/>
    <w:rsid w:val="3FE1690B"/>
    <w:rsid w:val="40113C23"/>
    <w:rsid w:val="403F2E01"/>
    <w:rsid w:val="404A2E64"/>
    <w:rsid w:val="40AB0EC9"/>
    <w:rsid w:val="40C2612C"/>
    <w:rsid w:val="40E52488"/>
    <w:rsid w:val="41007A8F"/>
    <w:rsid w:val="415869FC"/>
    <w:rsid w:val="41670862"/>
    <w:rsid w:val="41AB14E8"/>
    <w:rsid w:val="41AC0B4D"/>
    <w:rsid w:val="41D4500D"/>
    <w:rsid w:val="41D67141"/>
    <w:rsid w:val="41EE2D7D"/>
    <w:rsid w:val="41F534A6"/>
    <w:rsid w:val="41F5463E"/>
    <w:rsid w:val="42030507"/>
    <w:rsid w:val="420A020E"/>
    <w:rsid w:val="420A1906"/>
    <w:rsid w:val="423F7EC6"/>
    <w:rsid w:val="42720834"/>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A479B9"/>
    <w:rsid w:val="51D77CAA"/>
    <w:rsid w:val="52173BDE"/>
    <w:rsid w:val="5228244C"/>
    <w:rsid w:val="529620AE"/>
    <w:rsid w:val="52EB291F"/>
    <w:rsid w:val="52ED493F"/>
    <w:rsid w:val="52F55822"/>
    <w:rsid w:val="531F0FF7"/>
    <w:rsid w:val="5331627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23318"/>
    <w:rsid w:val="6E0E1C83"/>
    <w:rsid w:val="6E45126B"/>
    <w:rsid w:val="6EA047F7"/>
    <w:rsid w:val="6EFB5292"/>
    <w:rsid w:val="6F062BB9"/>
    <w:rsid w:val="6F185329"/>
    <w:rsid w:val="6F213E8F"/>
    <w:rsid w:val="6F5C5735"/>
    <w:rsid w:val="70E64A50"/>
    <w:rsid w:val="71231A63"/>
    <w:rsid w:val="714B6E37"/>
    <w:rsid w:val="71C72BEE"/>
    <w:rsid w:val="72AA2579"/>
    <w:rsid w:val="73614D85"/>
    <w:rsid w:val="7363682B"/>
    <w:rsid w:val="739465A0"/>
    <w:rsid w:val="73A82490"/>
    <w:rsid w:val="73AA3664"/>
    <w:rsid w:val="73B34AD5"/>
    <w:rsid w:val="73D42B6E"/>
    <w:rsid w:val="743B3E3F"/>
    <w:rsid w:val="74E41D61"/>
    <w:rsid w:val="75C31803"/>
    <w:rsid w:val="765A00C6"/>
    <w:rsid w:val="76995E63"/>
    <w:rsid w:val="76A10290"/>
    <w:rsid w:val="77452BA0"/>
    <w:rsid w:val="774923FD"/>
    <w:rsid w:val="777E28EC"/>
    <w:rsid w:val="77B52272"/>
    <w:rsid w:val="78120C80"/>
    <w:rsid w:val="783A1618"/>
    <w:rsid w:val="788222E3"/>
    <w:rsid w:val="7908485F"/>
    <w:rsid w:val="7936053E"/>
    <w:rsid w:val="793F0B2C"/>
    <w:rsid w:val="79455C17"/>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124"/>
    <w:autoRedefine/>
    <w:qFormat/>
    <w:uiPriority w:val="0"/>
    <w:rPr>
      <w:rFonts w:ascii="仿宋_GB2312" w:hAnsi="Times New Roman" w:eastAsia="仿宋_GB2312" w:cs="Times New Roman"/>
      <w:sz w:val="32"/>
      <w:szCs w:val="20"/>
    </w:rPr>
  </w:style>
  <w:style w:type="paragraph" w:styleId="12">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4">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autoRedefine/>
    <w:qFormat/>
    <w:uiPriority w:val="0"/>
    <w:pPr>
      <w:spacing w:before="120"/>
    </w:pPr>
    <w:rPr>
      <w:rFonts w:ascii="Arial" w:hAnsi="Arial" w:eastAsia="宋体" w:cs="Times New Roman"/>
      <w:sz w:val="24"/>
      <w:szCs w:val="20"/>
    </w:rPr>
  </w:style>
  <w:style w:type="paragraph" w:styleId="20">
    <w:name w:val="annotation text"/>
    <w:basedOn w:val="1"/>
    <w:link w:val="131"/>
    <w:autoRedefine/>
    <w:unhideWhenUsed/>
    <w:qFormat/>
    <w:uiPriority w:val="0"/>
    <w:pPr>
      <w:jc w:val="left"/>
    </w:pPr>
  </w:style>
  <w:style w:type="paragraph" w:styleId="21">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20"/>
    <w:next w:val="20"/>
    <w:link w:val="80"/>
    <w:autoRedefine/>
    <w:qFormat/>
    <w:uiPriority w:val="0"/>
    <w:rPr>
      <w:sz w:val="24"/>
    </w:rPr>
  </w:style>
  <w:style w:type="paragraph" w:styleId="56">
    <w:name w:val="Body Text First Indent"/>
    <w:basedOn w:val="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3"/>
    <w:autoRedefine/>
    <w:qFormat/>
    <w:uiPriority w:val="0"/>
    <w:rPr>
      <w:rFonts w:ascii="宋体" w:hAnsi="Times New Roman" w:eastAsia="宋体" w:cs="Times New Roman"/>
      <w:sz w:val="28"/>
      <w:szCs w:val="20"/>
    </w:rPr>
  </w:style>
  <w:style w:type="character" w:customStyle="1" w:styleId="70">
    <w:name w:val="标题 2 Char"/>
    <w:basedOn w:val="60"/>
    <w:link w:val="4"/>
    <w:autoRedefine/>
    <w:qFormat/>
    <w:uiPriority w:val="0"/>
    <w:rPr>
      <w:rFonts w:ascii="Arial" w:hAnsi="Arial" w:eastAsia="黑体" w:cs="Times New Roman"/>
      <w:b/>
      <w:sz w:val="32"/>
      <w:szCs w:val="20"/>
    </w:rPr>
  </w:style>
  <w:style w:type="character" w:customStyle="1" w:styleId="71">
    <w:name w:val="标题 3 Char"/>
    <w:basedOn w:val="60"/>
    <w:link w:val="5"/>
    <w:autoRedefine/>
    <w:qFormat/>
    <w:uiPriority w:val="0"/>
    <w:rPr>
      <w:rFonts w:ascii="Times New Roman" w:hAnsi="Times New Roman" w:eastAsia="宋体" w:cs="Times New Roman"/>
      <w:b/>
      <w:sz w:val="32"/>
      <w:szCs w:val="20"/>
    </w:rPr>
  </w:style>
  <w:style w:type="character" w:customStyle="1" w:styleId="72">
    <w:name w:val="标题 4 Char"/>
    <w:basedOn w:val="60"/>
    <w:link w:val="6"/>
    <w:autoRedefine/>
    <w:qFormat/>
    <w:uiPriority w:val="0"/>
    <w:rPr>
      <w:rFonts w:ascii="Arial" w:hAnsi="Arial" w:eastAsia="黑体" w:cs="Times New Roman"/>
      <w:b/>
      <w:sz w:val="28"/>
      <w:szCs w:val="20"/>
    </w:rPr>
  </w:style>
  <w:style w:type="character" w:customStyle="1" w:styleId="73">
    <w:name w:val="标题 5 Char"/>
    <w:basedOn w:val="60"/>
    <w:link w:val="7"/>
    <w:autoRedefine/>
    <w:qFormat/>
    <w:uiPriority w:val="0"/>
    <w:rPr>
      <w:rFonts w:ascii="Times New Roman" w:hAnsi="Times New Roman" w:eastAsia="宋体" w:cs="Times New Roman"/>
      <w:b/>
      <w:sz w:val="28"/>
      <w:szCs w:val="20"/>
    </w:rPr>
  </w:style>
  <w:style w:type="character" w:customStyle="1" w:styleId="74">
    <w:name w:val="标题 6 Char"/>
    <w:basedOn w:val="60"/>
    <w:link w:val="8"/>
    <w:autoRedefine/>
    <w:qFormat/>
    <w:uiPriority w:val="0"/>
    <w:rPr>
      <w:rFonts w:ascii="Arial" w:hAnsi="Arial" w:eastAsia="黑体" w:cs="Times New Roman"/>
      <w:b/>
      <w:sz w:val="24"/>
      <w:szCs w:val="20"/>
    </w:rPr>
  </w:style>
  <w:style w:type="character" w:customStyle="1" w:styleId="75">
    <w:name w:val="标题 7 Char"/>
    <w:basedOn w:val="60"/>
    <w:link w:val="9"/>
    <w:autoRedefine/>
    <w:qFormat/>
    <w:uiPriority w:val="0"/>
    <w:rPr>
      <w:rFonts w:ascii="Arial" w:hAnsi="Arial" w:eastAsia="黑体" w:cs="Times New Roman"/>
      <w:b/>
      <w:sz w:val="24"/>
      <w:szCs w:val="20"/>
    </w:rPr>
  </w:style>
  <w:style w:type="character" w:customStyle="1" w:styleId="76">
    <w:name w:val="标题 8 Char"/>
    <w:basedOn w:val="60"/>
    <w:link w:val="10"/>
    <w:autoRedefine/>
    <w:qFormat/>
    <w:uiPriority w:val="0"/>
    <w:rPr>
      <w:rFonts w:ascii="Arial" w:hAnsi="Arial" w:eastAsia="黑体" w:cs="Times New Roman"/>
      <w:b/>
      <w:sz w:val="24"/>
      <w:szCs w:val="20"/>
    </w:rPr>
  </w:style>
  <w:style w:type="character" w:customStyle="1" w:styleId="77">
    <w:name w:val="标题 9 Char"/>
    <w:basedOn w:val="60"/>
    <w:link w:val="11"/>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8"/>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1"/>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20"/>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3"/>
    <w:next w:val="3"/>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autoRedefine/>
    <w:qFormat/>
    <w:uiPriority w:val="0"/>
    <w:pPr>
      <w:ind w:firstLine="480" w:firstLineChars="200"/>
    </w:pPr>
  </w:style>
  <w:style w:type="paragraph" w:customStyle="1" w:styleId="238">
    <w:name w:val="可研正文"/>
    <w:basedOn w:val="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5"/>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6"/>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4940</Words>
  <Characters>5040</Characters>
  <Lines>182</Lines>
  <Paragraphs>51</Paragraphs>
  <TotalTime>14</TotalTime>
  <ScaleCrop>false</ScaleCrop>
  <LinksUpToDate>false</LinksUpToDate>
  <CharactersWithSpaces>5103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2025-07-06T07:01:55Z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