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2025FW079</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304不锈钢防水配电箱改造服务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七月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3588"/>
      <w:bookmarkStart w:id="1" w:name="_Toc11641050"/>
      <w:bookmarkStart w:id="2" w:name="_Toc12789052"/>
      <w:bookmarkStart w:id="3" w:name="_Toc6921"/>
      <w:bookmarkStart w:id="4" w:name="_Toc25875"/>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304不锈钢防水配电箱改造服务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3893526"/>
      <w:bookmarkStart w:id="10" w:name="_Toc317775175"/>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304不锈钢防水配电箱改造服务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w:t>
      </w:r>
      <w:r>
        <w:rPr>
          <w:rFonts w:hint="eastAsia" w:eastAsia="方正仿宋_GBK"/>
          <w:sz w:val="28"/>
          <w:szCs w:val="28"/>
        </w:rPr>
        <w:t>医院自筹</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,预算金额：4万元。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w:t>
      </w:r>
      <w:bookmarkStart w:id="189" w:name="_GoBack"/>
      <w:bookmarkEnd w:id="189"/>
      <w:r>
        <w:rPr>
          <w:rFonts w:hint="eastAsia" w:ascii="宋体" w:hAnsi="宋体" w:eastAsia="宋体" w:cs="宋体"/>
          <w:color w:val="000000" w:themeColor="text1"/>
          <w:sz w:val="24"/>
          <w:szCs w:val="24"/>
          <w:shd w:val="clear" w:color="auto" w:fill="auto"/>
          <w14:textFill>
            <w14:solidFill>
              <w14:schemeClr w14:val="tx1"/>
            </w14:solidFill>
          </w14:textFill>
        </w:rPr>
        <w:t>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1.参选</w:t>
      </w:r>
      <w:r>
        <w:rPr>
          <w:rFonts w:hint="eastAsia" w:ascii="宋体" w:hAnsi="宋体" w:eastAsia="宋体" w:cs="宋体"/>
          <w:color w:val="FF0000"/>
          <w:sz w:val="24"/>
          <w:szCs w:val="24"/>
          <w:shd w:val="clear" w:color="auto" w:fill="auto"/>
        </w:rPr>
        <w:t>报价包含但不限于货款、拆旧费、箱体改造费、辅材、安装费、调试费、人工费、税金等所有费用。报价表见附件。</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9"/>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342913393"/>
      <w:bookmarkStart w:id="42" w:name="_Toc179714298"/>
      <w:bookmarkStart w:id="43" w:name="_Toc19143"/>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414F146D">
      <w:pPr>
        <w:snapToGrid w:val="0"/>
        <w:spacing w:line="400" w:lineRule="exact"/>
        <w:ind w:firstLine="480" w:firstLineChars="200"/>
        <w:jc w:val="left"/>
        <w:rPr>
          <w:rFonts w:hint="eastAsia" w:ascii="宋体" w:hAnsi="宋体" w:eastAsia="宋体" w:cs="宋体"/>
          <w:color w:val="FF0000"/>
          <w:sz w:val="24"/>
          <w:szCs w:val="24"/>
          <w:shd w:val="clear" w:color="auto" w:fill="auto"/>
        </w:rPr>
      </w:pPr>
      <w:bookmarkStart w:id="74" w:name="_Toc17014"/>
      <w:bookmarkStart w:id="75" w:name="_Toc4364"/>
      <w:r>
        <w:rPr>
          <w:rFonts w:hint="eastAsia" w:ascii="宋体" w:hAnsi="宋体" w:eastAsia="宋体" w:cs="宋体"/>
          <w:color w:val="FF0000"/>
          <w:sz w:val="24"/>
          <w:szCs w:val="24"/>
          <w:shd w:val="clear" w:color="auto" w:fill="auto"/>
        </w:rPr>
        <w:t>1．改造范围：萱花院区食堂、大安院区食堂、兴龙湖教学部食堂。</w:t>
      </w:r>
    </w:p>
    <w:p w14:paraId="216537F5">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．服务方将现有24个配电箱更换成304不锈钢防水配电箱，门板须加装防水条，箱体开孔后须密封，配电箱材质厚度不低于1.0mm，箱内空开、电线等材料利旧，如不能利旧需自行勘查现场。</w:t>
      </w:r>
    </w:p>
    <w:p w14:paraId="67F67981">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．改造时间段须按照采购方要求进行，不得影响食堂运行。</w:t>
      </w:r>
    </w:p>
    <w:p w14:paraId="70DACEBD">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．施工人员须具备相应的从业资质，开展各项工作须符合国家及行业的相关标准、规程及要求。作业时须佩戴相应安全防护用品。</w:t>
      </w:r>
      <w:r>
        <w:rPr>
          <w:rFonts w:hint="eastAsia" w:ascii="宋体" w:hAnsi="宋体" w:eastAsia="宋体" w:cs="宋体"/>
          <w:color w:val="FF0000"/>
          <w:sz w:val="24"/>
          <w:szCs w:val="24"/>
          <w:shd w:val="clear" w:color="auto" w:fill="auto"/>
          <w:lang w:val="en-US" w:eastAsia="zh-CN"/>
        </w:rPr>
        <w:t>(提供施工人员的相关证件，并加盖公章)</w:t>
      </w:r>
    </w:p>
    <w:p w14:paraId="01AF8EED">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．在施工过程中，服务方应采取有效的安全措施，保证施工人员和其他人员的人身安全，并承担因安全事故导致的一切经济和法律责任。如有损坏财产须照价赔偿。</w:t>
      </w:r>
    </w:p>
    <w:p w14:paraId="7B762AB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6470D8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19DC19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5D0984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058649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D11564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01409D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AE5F7E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CA1908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F0AAEB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1A02A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AA1526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EFB1E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CF8CEE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20EE60A">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8592EB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0211EE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E8F56F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125AB8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B0CE516">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．质保期限：1年及以上。</w:t>
      </w:r>
    </w:p>
    <w:p w14:paraId="19628978">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．产品质量：采购的产品为正规厂家生产的全新合格产品，产品质量须符合国家相关的产品质量标准及要求，提供产品检验报告或合格证明。</w:t>
      </w:r>
    </w:p>
    <w:p w14:paraId="436CB549">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．现场勘查：服务方自行勘查现场，确定配电箱尺寸及所需材料，联系人：周老师，电话15923802440。</w:t>
      </w:r>
    </w:p>
    <w:p w14:paraId="1E826CC9">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．工期要求：服务方须在合同签订后1个月内完成所有改造工作，并完成调试，保证正常运行。</w:t>
      </w:r>
    </w:p>
    <w:p w14:paraId="584E329F">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．施工要求：在施工前由采购方相关部门提供施工许可审批，取得院内施工许可后方可施工。如需动火动焊需取得采购方管理审批手续。</w:t>
      </w:r>
    </w:p>
    <w:p w14:paraId="7F1BC7B3">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rPr>
        <w:t>．验收方式：设施安装调试完成后，双方组织共同验收，服务方需移交检验报告或产品合格证等材料，以及所用材料清单，验收完成后双方人员签字确认。</w:t>
      </w:r>
    </w:p>
    <w:p w14:paraId="200D7BEA">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rPr>
        <w:t>．付款方式：合同签订后，服务方向采购方转账支付合同金额的8%作为履约保证金。服务方按期完成安装验收合格后，提供合法发票，经采购方审核无误后60日内以转账方式向供货方支付合同价款，履约保证金在质保期满后60日内无息支付。</w:t>
      </w:r>
    </w:p>
    <w:p w14:paraId="34C71468">
      <w:pPr>
        <w:snapToGrid w:val="0"/>
        <w:spacing w:line="400" w:lineRule="exact"/>
        <w:ind w:firstLine="480" w:firstLineChars="200"/>
        <w:jc w:val="left"/>
        <w:rPr>
          <w:rFonts w:eastAsia="方正仿宋_GBK"/>
          <w:sz w:val="28"/>
          <w:szCs w:val="28"/>
        </w:rPr>
      </w:pPr>
      <w:r>
        <w:rPr>
          <w:rFonts w:hint="eastAsia" w:ascii="宋体" w:hAnsi="宋体" w:eastAsia="宋体" w:cs="宋体"/>
          <w:color w:val="FF0000"/>
          <w:sz w:val="24"/>
          <w:szCs w:val="24"/>
          <w:shd w:val="clear" w:color="auto" w:fill="auto"/>
          <w:lang w:val="en-US" w:eastAsia="zh-CN"/>
        </w:rPr>
        <w:t>8</w:t>
      </w:r>
      <w:r>
        <w:rPr>
          <w:rFonts w:hint="eastAsia" w:ascii="宋体" w:hAnsi="宋体" w:eastAsia="宋体" w:cs="宋体"/>
          <w:color w:val="FF0000"/>
          <w:sz w:val="24"/>
          <w:szCs w:val="24"/>
          <w:shd w:val="clear" w:color="auto" w:fill="auto"/>
        </w:rPr>
        <w:t>．售后服务：维修响应时间为2小时，4小时内应安排维修人员到达现场维修。质保期内免费维修，质保期外提供售后维修服务的，维修只收取配件费。服务方提供有效的维修联系人和电话，如有变更，应及时通知采购方。</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54718207"/>
      <w:bookmarkStart w:id="11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485108795"/>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42913419"/>
      <w:bookmarkStart w:id="152" w:name="_Toc480979018"/>
      <w:bookmarkStart w:id="153" w:name="_Toc485108796"/>
      <w:bookmarkStart w:id="154" w:name="_Toc313888360"/>
      <w:bookmarkStart w:id="155" w:name="_Toc313008356"/>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7846842">
      <w:pPr>
        <w:pStyle w:val="52"/>
        <w:spacing w:before="0" w:beforeAutospacing="0" w:after="0" w:afterAutospacing="0" w:line="560" w:lineRule="exact"/>
        <w:jc w:val="center"/>
        <w:rPr>
          <w:sz w:val="32"/>
          <w:szCs w:val="32"/>
        </w:rPr>
      </w:pPr>
      <w:bookmarkStart w:id="159" w:name="_Toc480979019"/>
      <w:bookmarkStart w:id="160" w:name="_Toc313888361"/>
      <w:bookmarkStart w:id="161" w:name="_Toc342913420"/>
      <w:bookmarkStart w:id="162" w:name="_Toc313008357"/>
      <w:bookmarkStart w:id="163" w:name="_Toc485108797"/>
      <w:r>
        <w:rPr>
          <w:rFonts w:hint="eastAsia"/>
          <w:sz w:val="32"/>
          <w:szCs w:val="32"/>
        </w:rPr>
        <w:t>报价表</w:t>
      </w:r>
    </w:p>
    <w:tbl>
      <w:tblPr>
        <w:tblStyle w:val="59"/>
        <w:tblW w:w="10288" w:type="dxa"/>
        <w:jc w:val="center"/>
        <w:tblLayout w:type="autofit"/>
        <w:tblCellMar>
          <w:top w:w="0" w:type="dxa"/>
          <w:left w:w="108" w:type="dxa"/>
          <w:bottom w:w="0" w:type="dxa"/>
          <w:right w:w="108" w:type="dxa"/>
        </w:tblCellMar>
      </w:tblPr>
      <w:tblGrid>
        <w:gridCol w:w="708"/>
        <w:gridCol w:w="1480"/>
        <w:gridCol w:w="2160"/>
        <w:gridCol w:w="760"/>
        <w:gridCol w:w="760"/>
        <w:gridCol w:w="978"/>
        <w:gridCol w:w="1418"/>
        <w:gridCol w:w="2024"/>
      </w:tblGrid>
      <w:tr w14:paraId="0818366F">
        <w:tblPrEx>
          <w:tblCellMar>
            <w:top w:w="0" w:type="dxa"/>
            <w:left w:w="108" w:type="dxa"/>
            <w:bottom w:w="0" w:type="dxa"/>
            <w:right w:w="108" w:type="dxa"/>
          </w:tblCellMar>
        </w:tblPrEx>
        <w:trPr>
          <w:trHeight w:val="435"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DFFBF7">
            <w:pPr>
              <w:widowControl/>
              <w:jc w:val="center"/>
              <w:rPr>
                <w:rFonts w:ascii="宋体" w:hAnsi="宋体" w:cs="宋体"/>
                <w:kern w:val="0"/>
                <w:sz w:val="24"/>
              </w:rPr>
            </w:pPr>
            <w:r>
              <w:rPr>
                <w:rFonts w:hint="eastAsia" w:ascii="宋体" w:hAnsi="宋体" w:cs="宋体"/>
                <w:kern w:val="0"/>
                <w:sz w:val="24"/>
              </w:rPr>
              <w:t>序号</w:t>
            </w:r>
          </w:p>
        </w:tc>
        <w:tc>
          <w:tcPr>
            <w:tcW w:w="1480" w:type="dxa"/>
            <w:tcBorders>
              <w:top w:val="single" w:color="auto" w:sz="4" w:space="0"/>
              <w:left w:val="nil"/>
              <w:bottom w:val="single" w:color="auto" w:sz="4" w:space="0"/>
              <w:right w:val="single" w:color="auto" w:sz="4" w:space="0"/>
            </w:tcBorders>
            <w:shd w:val="clear" w:color="auto" w:fill="auto"/>
            <w:noWrap/>
            <w:vAlign w:val="center"/>
          </w:tcPr>
          <w:p w14:paraId="01C06856">
            <w:pPr>
              <w:widowControl/>
              <w:jc w:val="center"/>
              <w:rPr>
                <w:rFonts w:ascii="宋体" w:hAnsi="宋体" w:cs="宋体"/>
                <w:kern w:val="0"/>
                <w:sz w:val="24"/>
              </w:rPr>
            </w:pPr>
            <w:r>
              <w:rPr>
                <w:rFonts w:hint="eastAsia" w:ascii="宋体" w:hAnsi="宋体" w:cs="宋体"/>
                <w:kern w:val="0"/>
                <w:sz w:val="24"/>
              </w:rPr>
              <w:t>名称</w:t>
            </w:r>
          </w:p>
        </w:tc>
        <w:tc>
          <w:tcPr>
            <w:tcW w:w="2160" w:type="dxa"/>
            <w:tcBorders>
              <w:top w:val="single" w:color="auto" w:sz="4" w:space="0"/>
              <w:left w:val="nil"/>
              <w:bottom w:val="single" w:color="auto" w:sz="4" w:space="0"/>
              <w:right w:val="single" w:color="auto" w:sz="4" w:space="0"/>
            </w:tcBorders>
            <w:shd w:val="clear" w:color="auto" w:fill="auto"/>
            <w:noWrap/>
            <w:vAlign w:val="center"/>
          </w:tcPr>
          <w:p w14:paraId="1C3B59B2">
            <w:pPr>
              <w:widowControl/>
              <w:jc w:val="center"/>
              <w:rPr>
                <w:rFonts w:ascii="宋体" w:hAnsi="宋体" w:cs="宋体"/>
                <w:kern w:val="0"/>
                <w:sz w:val="24"/>
              </w:rPr>
            </w:pPr>
            <w:r>
              <w:rPr>
                <w:rFonts w:hint="eastAsia" w:ascii="宋体" w:hAnsi="宋体" w:cs="宋体"/>
                <w:kern w:val="0"/>
                <w:sz w:val="24"/>
              </w:rPr>
              <w:t>规格及型号</w:t>
            </w:r>
          </w:p>
        </w:tc>
        <w:tc>
          <w:tcPr>
            <w:tcW w:w="760" w:type="dxa"/>
            <w:tcBorders>
              <w:top w:val="single" w:color="auto" w:sz="4" w:space="0"/>
              <w:left w:val="nil"/>
              <w:bottom w:val="single" w:color="auto" w:sz="4" w:space="0"/>
              <w:right w:val="single" w:color="auto" w:sz="4" w:space="0"/>
            </w:tcBorders>
            <w:shd w:val="clear" w:color="auto" w:fill="auto"/>
            <w:noWrap/>
            <w:vAlign w:val="center"/>
          </w:tcPr>
          <w:p w14:paraId="707569AD">
            <w:pPr>
              <w:widowControl/>
              <w:jc w:val="center"/>
              <w:rPr>
                <w:rFonts w:ascii="宋体" w:hAnsi="宋体" w:cs="宋体"/>
                <w:kern w:val="0"/>
                <w:sz w:val="24"/>
              </w:rPr>
            </w:pPr>
            <w:r>
              <w:rPr>
                <w:rFonts w:hint="eastAsia" w:ascii="宋体" w:hAnsi="宋体" w:cs="宋体"/>
                <w:kern w:val="0"/>
                <w:sz w:val="24"/>
              </w:rPr>
              <w:t>单位</w:t>
            </w:r>
            <w:r>
              <w:rPr>
                <w:kern w:val="0"/>
                <w:sz w:val="24"/>
              </w:rPr>
              <w:t xml:space="preserve"> </w:t>
            </w:r>
          </w:p>
        </w:tc>
        <w:tc>
          <w:tcPr>
            <w:tcW w:w="760" w:type="dxa"/>
            <w:tcBorders>
              <w:top w:val="single" w:color="auto" w:sz="4" w:space="0"/>
              <w:left w:val="nil"/>
              <w:bottom w:val="single" w:color="auto" w:sz="4" w:space="0"/>
              <w:right w:val="single" w:color="auto" w:sz="4" w:space="0"/>
            </w:tcBorders>
            <w:shd w:val="clear" w:color="auto" w:fill="auto"/>
            <w:noWrap/>
            <w:vAlign w:val="center"/>
          </w:tcPr>
          <w:p w14:paraId="0019E445">
            <w:pPr>
              <w:widowControl/>
              <w:jc w:val="center"/>
              <w:rPr>
                <w:rFonts w:ascii="宋体" w:hAnsi="宋体" w:cs="宋体"/>
                <w:kern w:val="0"/>
                <w:sz w:val="24"/>
              </w:rPr>
            </w:pPr>
            <w:r>
              <w:rPr>
                <w:rFonts w:hint="eastAsia" w:ascii="宋体" w:hAnsi="宋体" w:cs="宋体"/>
                <w:kern w:val="0"/>
                <w:sz w:val="24"/>
              </w:rPr>
              <w:t>数量</w:t>
            </w:r>
          </w:p>
        </w:tc>
        <w:tc>
          <w:tcPr>
            <w:tcW w:w="978" w:type="dxa"/>
            <w:tcBorders>
              <w:top w:val="single" w:color="auto" w:sz="4" w:space="0"/>
              <w:left w:val="nil"/>
              <w:bottom w:val="single" w:color="auto" w:sz="4" w:space="0"/>
              <w:right w:val="single" w:color="auto" w:sz="4" w:space="0"/>
            </w:tcBorders>
            <w:shd w:val="clear" w:color="auto" w:fill="auto"/>
            <w:noWrap/>
            <w:vAlign w:val="center"/>
          </w:tcPr>
          <w:p w14:paraId="4A6ED3E2">
            <w:pPr>
              <w:widowControl/>
              <w:jc w:val="center"/>
              <w:rPr>
                <w:rFonts w:ascii="宋体" w:hAnsi="宋体" w:cs="宋体"/>
                <w:kern w:val="0"/>
                <w:sz w:val="24"/>
              </w:rPr>
            </w:pPr>
            <w:r>
              <w:rPr>
                <w:rFonts w:hint="eastAsia" w:ascii="宋体" w:hAnsi="宋体" w:cs="宋体"/>
                <w:kern w:val="0"/>
                <w:sz w:val="24"/>
              </w:rPr>
              <w:t>单价(元）</w:t>
            </w: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23FD1C90">
            <w:pPr>
              <w:widowControl/>
              <w:jc w:val="center"/>
              <w:rPr>
                <w:rFonts w:ascii="宋体" w:hAnsi="宋体" w:cs="宋体"/>
                <w:kern w:val="0"/>
                <w:sz w:val="24"/>
              </w:rPr>
            </w:pPr>
            <w:r>
              <w:rPr>
                <w:rFonts w:hint="eastAsia" w:ascii="宋体" w:hAnsi="宋体" w:cs="宋体"/>
                <w:kern w:val="0"/>
                <w:sz w:val="24"/>
              </w:rPr>
              <w:t>总价（元）</w:t>
            </w:r>
          </w:p>
        </w:tc>
        <w:tc>
          <w:tcPr>
            <w:tcW w:w="2024" w:type="dxa"/>
            <w:tcBorders>
              <w:top w:val="single" w:color="auto" w:sz="4" w:space="0"/>
              <w:left w:val="nil"/>
              <w:bottom w:val="single" w:color="auto" w:sz="4" w:space="0"/>
              <w:right w:val="single" w:color="auto" w:sz="4" w:space="0"/>
            </w:tcBorders>
            <w:shd w:val="clear" w:color="auto" w:fill="auto"/>
            <w:noWrap/>
            <w:vAlign w:val="center"/>
          </w:tcPr>
          <w:p w14:paraId="47FF312C">
            <w:pPr>
              <w:widowControl/>
              <w:jc w:val="center"/>
              <w:rPr>
                <w:rFonts w:ascii="宋体" w:hAnsi="宋体" w:cs="宋体"/>
                <w:kern w:val="0"/>
                <w:sz w:val="24"/>
              </w:rPr>
            </w:pPr>
            <w:r>
              <w:rPr>
                <w:rFonts w:hint="eastAsia" w:ascii="宋体" w:hAnsi="宋体" w:cs="宋体"/>
                <w:kern w:val="0"/>
                <w:sz w:val="24"/>
              </w:rPr>
              <w:t>备  注</w:t>
            </w:r>
          </w:p>
        </w:tc>
      </w:tr>
      <w:tr w14:paraId="00BFD53F">
        <w:tblPrEx>
          <w:tblCellMar>
            <w:top w:w="0" w:type="dxa"/>
            <w:left w:w="108" w:type="dxa"/>
            <w:bottom w:w="0" w:type="dxa"/>
            <w:right w:w="108" w:type="dxa"/>
          </w:tblCellMar>
        </w:tblPrEx>
        <w:trPr>
          <w:trHeight w:val="282" w:hRule="atLeast"/>
          <w:jc w:val="center"/>
        </w:trPr>
        <w:tc>
          <w:tcPr>
            <w:tcW w:w="708" w:type="dxa"/>
            <w:tcBorders>
              <w:top w:val="nil"/>
              <w:left w:val="single" w:color="auto" w:sz="4" w:space="0"/>
              <w:bottom w:val="single" w:color="auto" w:sz="4" w:space="0"/>
              <w:right w:val="single" w:color="auto" w:sz="4" w:space="0"/>
            </w:tcBorders>
            <w:shd w:val="clear" w:color="auto" w:fill="auto"/>
            <w:noWrap/>
            <w:vAlign w:val="center"/>
          </w:tcPr>
          <w:p w14:paraId="070B43D6">
            <w:pPr>
              <w:widowControl/>
              <w:jc w:val="center"/>
              <w:rPr>
                <w:rFonts w:ascii="宋体" w:hAnsi="宋体" w:cs="宋体"/>
                <w:kern w:val="0"/>
                <w:sz w:val="20"/>
                <w:szCs w:val="20"/>
              </w:rPr>
            </w:pPr>
            <w:r>
              <w:rPr>
                <w:rFonts w:hint="eastAsia" w:ascii="宋体" w:hAnsi="宋体" w:cs="宋体"/>
                <w:kern w:val="0"/>
                <w:sz w:val="20"/>
                <w:szCs w:val="20"/>
              </w:rPr>
              <w:t>1</w:t>
            </w:r>
          </w:p>
        </w:tc>
        <w:tc>
          <w:tcPr>
            <w:tcW w:w="1480" w:type="dxa"/>
            <w:tcBorders>
              <w:top w:val="nil"/>
              <w:left w:val="nil"/>
              <w:bottom w:val="single" w:color="auto" w:sz="4" w:space="0"/>
              <w:right w:val="single" w:color="auto" w:sz="4" w:space="0"/>
            </w:tcBorders>
            <w:shd w:val="clear" w:color="auto" w:fill="auto"/>
            <w:noWrap/>
            <w:vAlign w:val="center"/>
          </w:tcPr>
          <w:p w14:paraId="27ACB2EA">
            <w:pPr>
              <w:widowControl/>
              <w:jc w:val="left"/>
              <w:rPr>
                <w:rFonts w:ascii="宋体" w:hAnsi="宋体" w:cs="宋体"/>
                <w:kern w:val="0"/>
                <w:sz w:val="20"/>
                <w:szCs w:val="20"/>
              </w:rPr>
            </w:pPr>
            <w:r>
              <w:rPr>
                <w:rFonts w:ascii="宋体" w:hAnsi="宋体" w:cs="宋体"/>
                <w:kern w:val="0"/>
                <w:sz w:val="20"/>
                <w:szCs w:val="20"/>
              </w:rPr>
              <w:t>…</w:t>
            </w:r>
          </w:p>
        </w:tc>
        <w:tc>
          <w:tcPr>
            <w:tcW w:w="2160" w:type="dxa"/>
            <w:tcBorders>
              <w:top w:val="nil"/>
              <w:left w:val="nil"/>
              <w:bottom w:val="single" w:color="auto" w:sz="4" w:space="0"/>
              <w:right w:val="single" w:color="auto" w:sz="4" w:space="0"/>
            </w:tcBorders>
            <w:shd w:val="clear" w:color="auto" w:fill="auto"/>
            <w:noWrap/>
            <w:vAlign w:val="center"/>
          </w:tcPr>
          <w:p w14:paraId="718F47E7">
            <w:pPr>
              <w:widowControl/>
              <w:jc w:val="center"/>
              <w:rPr>
                <w:rFonts w:ascii="宋体" w:hAnsi="宋体" w:cs="宋体"/>
                <w:kern w:val="0"/>
                <w:sz w:val="20"/>
                <w:szCs w:val="20"/>
              </w:rPr>
            </w:pPr>
          </w:p>
        </w:tc>
        <w:tc>
          <w:tcPr>
            <w:tcW w:w="760" w:type="dxa"/>
            <w:tcBorders>
              <w:top w:val="nil"/>
              <w:left w:val="nil"/>
              <w:bottom w:val="single" w:color="auto" w:sz="4" w:space="0"/>
              <w:right w:val="single" w:color="auto" w:sz="4" w:space="0"/>
            </w:tcBorders>
            <w:shd w:val="clear" w:color="auto" w:fill="auto"/>
            <w:noWrap/>
            <w:vAlign w:val="center"/>
          </w:tcPr>
          <w:p w14:paraId="7D7743E1">
            <w:pPr>
              <w:widowControl/>
              <w:jc w:val="center"/>
              <w:rPr>
                <w:rFonts w:ascii="宋体" w:hAnsi="宋体" w:cs="宋体"/>
                <w:kern w:val="0"/>
                <w:sz w:val="20"/>
                <w:szCs w:val="20"/>
              </w:rPr>
            </w:pPr>
          </w:p>
        </w:tc>
        <w:tc>
          <w:tcPr>
            <w:tcW w:w="760" w:type="dxa"/>
            <w:tcBorders>
              <w:top w:val="nil"/>
              <w:left w:val="nil"/>
              <w:bottom w:val="single" w:color="auto" w:sz="4" w:space="0"/>
              <w:right w:val="single" w:color="auto" w:sz="4" w:space="0"/>
            </w:tcBorders>
            <w:shd w:val="clear" w:color="auto" w:fill="auto"/>
            <w:noWrap/>
            <w:vAlign w:val="center"/>
          </w:tcPr>
          <w:p w14:paraId="5498C9B6">
            <w:pPr>
              <w:widowControl/>
              <w:jc w:val="center"/>
              <w:rPr>
                <w:rFonts w:ascii="宋体" w:hAnsi="宋体" w:cs="宋体"/>
                <w:kern w:val="0"/>
                <w:sz w:val="20"/>
                <w:szCs w:val="20"/>
              </w:rPr>
            </w:pPr>
          </w:p>
        </w:tc>
        <w:tc>
          <w:tcPr>
            <w:tcW w:w="978" w:type="dxa"/>
            <w:tcBorders>
              <w:top w:val="nil"/>
              <w:left w:val="nil"/>
              <w:bottom w:val="single" w:color="auto" w:sz="4" w:space="0"/>
              <w:right w:val="single" w:color="auto" w:sz="4" w:space="0"/>
            </w:tcBorders>
            <w:shd w:val="clear" w:color="auto" w:fill="auto"/>
            <w:noWrap/>
            <w:vAlign w:val="center"/>
          </w:tcPr>
          <w:p w14:paraId="570864F7">
            <w:pPr>
              <w:widowControl/>
              <w:jc w:val="center"/>
              <w:rPr>
                <w:rFonts w:ascii="宋体" w:hAnsi="宋体" w:cs="宋体"/>
                <w:kern w:val="0"/>
                <w:sz w:val="20"/>
                <w:szCs w:val="20"/>
              </w:rPr>
            </w:pPr>
          </w:p>
        </w:tc>
        <w:tc>
          <w:tcPr>
            <w:tcW w:w="1418" w:type="dxa"/>
            <w:tcBorders>
              <w:top w:val="nil"/>
              <w:left w:val="nil"/>
              <w:bottom w:val="single" w:color="auto" w:sz="4" w:space="0"/>
              <w:right w:val="single" w:color="auto" w:sz="4" w:space="0"/>
            </w:tcBorders>
            <w:shd w:val="clear" w:color="auto" w:fill="auto"/>
            <w:noWrap/>
            <w:vAlign w:val="center"/>
          </w:tcPr>
          <w:p w14:paraId="4EDBBFFA">
            <w:pPr>
              <w:widowControl/>
              <w:jc w:val="center"/>
              <w:rPr>
                <w:rFonts w:ascii="宋体" w:hAnsi="宋体" w:cs="宋体"/>
                <w:kern w:val="0"/>
                <w:sz w:val="20"/>
                <w:szCs w:val="20"/>
              </w:rPr>
            </w:pPr>
          </w:p>
        </w:tc>
        <w:tc>
          <w:tcPr>
            <w:tcW w:w="2024" w:type="dxa"/>
            <w:tcBorders>
              <w:top w:val="nil"/>
              <w:left w:val="nil"/>
              <w:bottom w:val="single" w:color="auto" w:sz="4" w:space="0"/>
              <w:right w:val="single" w:color="auto" w:sz="4" w:space="0"/>
            </w:tcBorders>
            <w:shd w:val="clear" w:color="auto" w:fill="auto"/>
            <w:noWrap/>
            <w:vAlign w:val="center"/>
          </w:tcPr>
          <w:p w14:paraId="57437EA2">
            <w:pPr>
              <w:widowControl/>
              <w:ind w:firstLine="100" w:firstLineChars="50"/>
              <w:rPr>
                <w:rFonts w:ascii="宋体" w:hAnsi="宋体" w:cs="宋体"/>
                <w:kern w:val="0"/>
                <w:sz w:val="20"/>
                <w:szCs w:val="20"/>
              </w:rPr>
            </w:pPr>
          </w:p>
        </w:tc>
      </w:tr>
      <w:tr w14:paraId="0A9D98E6">
        <w:tblPrEx>
          <w:tblCellMar>
            <w:top w:w="0" w:type="dxa"/>
            <w:left w:w="108" w:type="dxa"/>
            <w:bottom w:w="0" w:type="dxa"/>
            <w:right w:w="108" w:type="dxa"/>
          </w:tblCellMar>
        </w:tblPrEx>
        <w:trPr>
          <w:trHeight w:val="282" w:hRule="atLeast"/>
          <w:jc w:val="center"/>
        </w:trPr>
        <w:tc>
          <w:tcPr>
            <w:tcW w:w="708" w:type="dxa"/>
            <w:tcBorders>
              <w:top w:val="nil"/>
              <w:left w:val="single" w:color="auto" w:sz="4" w:space="0"/>
              <w:bottom w:val="single" w:color="auto" w:sz="4" w:space="0"/>
              <w:right w:val="single" w:color="auto" w:sz="4" w:space="0"/>
            </w:tcBorders>
            <w:shd w:val="clear" w:color="auto" w:fill="auto"/>
            <w:noWrap/>
            <w:vAlign w:val="center"/>
          </w:tcPr>
          <w:p w14:paraId="489B0902">
            <w:pPr>
              <w:widowControl/>
              <w:jc w:val="center"/>
              <w:rPr>
                <w:rFonts w:ascii="宋体" w:hAnsi="宋体" w:cs="宋体"/>
                <w:kern w:val="0"/>
                <w:sz w:val="20"/>
                <w:szCs w:val="20"/>
              </w:rPr>
            </w:pPr>
          </w:p>
        </w:tc>
        <w:tc>
          <w:tcPr>
            <w:tcW w:w="1480" w:type="dxa"/>
            <w:tcBorders>
              <w:top w:val="nil"/>
              <w:left w:val="nil"/>
              <w:bottom w:val="single" w:color="auto" w:sz="4" w:space="0"/>
              <w:right w:val="single" w:color="auto" w:sz="4" w:space="0"/>
            </w:tcBorders>
            <w:shd w:val="clear" w:color="auto" w:fill="auto"/>
            <w:noWrap/>
            <w:vAlign w:val="center"/>
          </w:tcPr>
          <w:p w14:paraId="78A6D547">
            <w:pPr>
              <w:widowControl/>
              <w:jc w:val="left"/>
              <w:rPr>
                <w:rFonts w:ascii="宋体" w:hAnsi="宋体" w:cs="宋体"/>
                <w:kern w:val="0"/>
                <w:sz w:val="20"/>
                <w:szCs w:val="20"/>
              </w:rPr>
            </w:pPr>
          </w:p>
        </w:tc>
        <w:tc>
          <w:tcPr>
            <w:tcW w:w="2160" w:type="dxa"/>
            <w:tcBorders>
              <w:top w:val="nil"/>
              <w:left w:val="nil"/>
              <w:bottom w:val="single" w:color="auto" w:sz="4" w:space="0"/>
              <w:right w:val="single" w:color="auto" w:sz="4" w:space="0"/>
            </w:tcBorders>
            <w:shd w:val="clear" w:color="auto" w:fill="auto"/>
            <w:noWrap/>
            <w:vAlign w:val="center"/>
          </w:tcPr>
          <w:p w14:paraId="541EB080">
            <w:pPr>
              <w:widowControl/>
              <w:jc w:val="center"/>
              <w:rPr>
                <w:rFonts w:ascii="宋体" w:hAnsi="宋体" w:cs="宋体"/>
                <w:kern w:val="0"/>
                <w:sz w:val="20"/>
                <w:szCs w:val="20"/>
              </w:rPr>
            </w:pPr>
          </w:p>
        </w:tc>
        <w:tc>
          <w:tcPr>
            <w:tcW w:w="760" w:type="dxa"/>
            <w:tcBorders>
              <w:top w:val="nil"/>
              <w:left w:val="nil"/>
              <w:bottom w:val="single" w:color="auto" w:sz="4" w:space="0"/>
              <w:right w:val="single" w:color="auto" w:sz="4" w:space="0"/>
            </w:tcBorders>
            <w:shd w:val="clear" w:color="auto" w:fill="auto"/>
            <w:noWrap/>
            <w:vAlign w:val="center"/>
          </w:tcPr>
          <w:p w14:paraId="4598BF0C">
            <w:pPr>
              <w:widowControl/>
              <w:jc w:val="center"/>
              <w:rPr>
                <w:rFonts w:ascii="宋体" w:hAnsi="宋体" w:cs="宋体"/>
                <w:kern w:val="0"/>
                <w:sz w:val="20"/>
                <w:szCs w:val="20"/>
              </w:rPr>
            </w:pPr>
          </w:p>
        </w:tc>
        <w:tc>
          <w:tcPr>
            <w:tcW w:w="760" w:type="dxa"/>
            <w:tcBorders>
              <w:top w:val="nil"/>
              <w:left w:val="nil"/>
              <w:bottom w:val="single" w:color="auto" w:sz="4" w:space="0"/>
              <w:right w:val="single" w:color="auto" w:sz="4" w:space="0"/>
            </w:tcBorders>
            <w:shd w:val="clear" w:color="auto" w:fill="auto"/>
            <w:noWrap/>
            <w:vAlign w:val="center"/>
          </w:tcPr>
          <w:p w14:paraId="3E84FFBB">
            <w:pPr>
              <w:widowControl/>
              <w:jc w:val="center"/>
              <w:rPr>
                <w:rFonts w:ascii="宋体" w:hAnsi="宋体" w:cs="宋体"/>
                <w:kern w:val="0"/>
                <w:sz w:val="20"/>
                <w:szCs w:val="20"/>
              </w:rPr>
            </w:pPr>
          </w:p>
        </w:tc>
        <w:tc>
          <w:tcPr>
            <w:tcW w:w="978" w:type="dxa"/>
            <w:tcBorders>
              <w:top w:val="nil"/>
              <w:left w:val="nil"/>
              <w:bottom w:val="single" w:color="auto" w:sz="4" w:space="0"/>
              <w:right w:val="single" w:color="auto" w:sz="4" w:space="0"/>
            </w:tcBorders>
            <w:shd w:val="clear" w:color="auto" w:fill="auto"/>
            <w:noWrap/>
            <w:vAlign w:val="center"/>
          </w:tcPr>
          <w:p w14:paraId="796C2C7D">
            <w:pPr>
              <w:widowControl/>
              <w:jc w:val="center"/>
              <w:rPr>
                <w:rFonts w:ascii="宋体" w:hAnsi="宋体" w:cs="宋体"/>
                <w:kern w:val="0"/>
                <w:sz w:val="20"/>
                <w:szCs w:val="20"/>
              </w:rPr>
            </w:pPr>
          </w:p>
        </w:tc>
        <w:tc>
          <w:tcPr>
            <w:tcW w:w="1418" w:type="dxa"/>
            <w:tcBorders>
              <w:top w:val="nil"/>
              <w:left w:val="nil"/>
              <w:bottom w:val="single" w:color="auto" w:sz="4" w:space="0"/>
              <w:right w:val="single" w:color="auto" w:sz="4" w:space="0"/>
            </w:tcBorders>
            <w:shd w:val="clear" w:color="auto" w:fill="auto"/>
            <w:noWrap/>
            <w:vAlign w:val="center"/>
          </w:tcPr>
          <w:p w14:paraId="7E97CBC5">
            <w:pPr>
              <w:widowControl/>
              <w:jc w:val="center"/>
              <w:rPr>
                <w:rFonts w:ascii="宋体" w:hAnsi="宋体" w:cs="宋体"/>
                <w:kern w:val="0"/>
                <w:sz w:val="20"/>
                <w:szCs w:val="20"/>
              </w:rPr>
            </w:pPr>
          </w:p>
        </w:tc>
        <w:tc>
          <w:tcPr>
            <w:tcW w:w="2024" w:type="dxa"/>
            <w:tcBorders>
              <w:top w:val="nil"/>
              <w:left w:val="nil"/>
              <w:bottom w:val="single" w:color="auto" w:sz="4" w:space="0"/>
              <w:right w:val="single" w:color="auto" w:sz="4" w:space="0"/>
            </w:tcBorders>
            <w:shd w:val="clear" w:color="auto" w:fill="auto"/>
            <w:noWrap/>
          </w:tcPr>
          <w:p w14:paraId="3D77BF1A">
            <w:pPr>
              <w:ind w:firstLine="105" w:firstLineChars="50"/>
            </w:pPr>
          </w:p>
        </w:tc>
      </w:tr>
      <w:tr w14:paraId="1B5A3172">
        <w:tblPrEx>
          <w:tblCellMar>
            <w:top w:w="0" w:type="dxa"/>
            <w:left w:w="108" w:type="dxa"/>
            <w:bottom w:w="0" w:type="dxa"/>
            <w:right w:w="108" w:type="dxa"/>
          </w:tblCellMar>
        </w:tblPrEx>
        <w:trPr>
          <w:trHeight w:val="282" w:hRule="atLeast"/>
          <w:jc w:val="center"/>
        </w:trPr>
        <w:tc>
          <w:tcPr>
            <w:tcW w:w="708" w:type="dxa"/>
            <w:tcBorders>
              <w:top w:val="nil"/>
              <w:left w:val="single" w:color="auto" w:sz="4" w:space="0"/>
              <w:bottom w:val="single" w:color="auto" w:sz="4" w:space="0"/>
              <w:right w:val="single" w:color="auto" w:sz="4" w:space="0"/>
            </w:tcBorders>
            <w:shd w:val="clear" w:color="auto" w:fill="auto"/>
            <w:noWrap/>
            <w:vAlign w:val="center"/>
          </w:tcPr>
          <w:p w14:paraId="009A4B1A">
            <w:pPr>
              <w:widowControl/>
              <w:jc w:val="center"/>
              <w:rPr>
                <w:rFonts w:ascii="宋体" w:hAnsi="宋体" w:cs="宋体"/>
                <w:kern w:val="0"/>
                <w:sz w:val="20"/>
                <w:szCs w:val="20"/>
              </w:rPr>
            </w:pPr>
          </w:p>
        </w:tc>
        <w:tc>
          <w:tcPr>
            <w:tcW w:w="1480" w:type="dxa"/>
            <w:tcBorders>
              <w:top w:val="nil"/>
              <w:left w:val="nil"/>
              <w:bottom w:val="single" w:color="auto" w:sz="4" w:space="0"/>
              <w:right w:val="single" w:color="auto" w:sz="4" w:space="0"/>
            </w:tcBorders>
            <w:shd w:val="clear" w:color="auto" w:fill="auto"/>
            <w:noWrap/>
            <w:vAlign w:val="center"/>
          </w:tcPr>
          <w:p w14:paraId="76D93CDB">
            <w:pPr>
              <w:widowControl/>
              <w:jc w:val="left"/>
              <w:rPr>
                <w:rFonts w:ascii="宋体" w:hAnsi="宋体" w:cs="宋体"/>
                <w:kern w:val="0"/>
                <w:sz w:val="20"/>
                <w:szCs w:val="20"/>
              </w:rPr>
            </w:pPr>
          </w:p>
        </w:tc>
        <w:tc>
          <w:tcPr>
            <w:tcW w:w="2160" w:type="dxa"/>
            <w:tcBorders>
              <w:top w:val="nil"/>
              <w:left w:val="nil"/>
              <w:bottom w:val="single" w:color="auto" w:sz="4" w:space="0"/>
              <w:right w:val="single" w:color="auto" w:sz="4" w:space="0"/>
            </w:tcBorders>
            <w:shd w:val="clear" w:color="auto" w:fill="auto"/>
            <w:noWrap/>
            <w:vAlign w:val="center"/>
          </w:tcPr>
          <w:p w14:paraId="39B8E79D">
            <w:pPr>
              <w:widowControl/>
              <w:jc w:val="center"/>
              <w:rPr>
                <w:rFonts w:ascii="宋体" w:hAnsi="宋体" w:cs="宋体"/>
                <w:kern w:val="0"/>
                <w:sz w:val="20"/>
                <w:szCs w:val="20"/>
              </w:rPr>
            </w:pPr>
          </w:p>
        </w:tc>
        <w:tc>
          <w:tcPr>
            <w:tcW w:w="760" w:type="dxa"/>
            <w:tcBorders>
              <w:top w:val="nil"/>
              <w:left w:val="nil"/>
              <w:bottom w:val="single" w:color="auto" w:sz="4" w:space="0"/>
              <w:right w:val="single" w:color="auto" w:sz="4" w:space="0"/>
            </w:tcBorders>
            <w:shd w:val="clear" w:color="auto" w:fill="auto"/>
            <w:noWrap/>
            <w:vAlign w:val="center"/>
          </w:tcPr>
          <w:p w14:paraId="43401A3C">
            <w:pPr>
              <w:widowControl/>
              <w:jc w:val="center"/>
              <w:rPr>
                <w:rFonts w:ascii="宋体" w:hAnsi="宋体" w:cs="宋体"/>
                <w:kern w:val="0"/>
                <w:sz w:val="20"/>
                <w:szCs w:val="20"/>
              </w:rPr>
            </w:pPr>
          </w:p>
        </w:tc>
        <w:tc>
          <w:tcPr>
            <w:tcW w:w="760" w:type="dxa"/>
            <w:tcBorders>
              <w:top w:val="nil"/>
              <w:left w:val="nil"/>
              <w:bottom w:val="single" w:color="auto" w:sz="4" w:space="0"/>
              <w:right w:val="single" w:color="auto" w:sz="4" w:space="0"/>
            </w:tcBorders>
            <w:shd w:val="clear" w:color="auto" w:fill="auto"/>
            <w:noWrap/>
            <w:vAlign w:val="center"/>
          </w:tcPr>
          <w:p w14:paraId="242CEAE0">
            <w:pPr>
              <w:widowControl/>
              <w:jc w:val="center"/>
              <w:rPr>
                <w:rFonts w:ascii="宋体" w:hAnsi="宋体" w:cs="宋体"/>
                <w:kern w:val="0"/>
                <w:sz w:val="20"/>
                <w:szCs w:val="20"/>
              </w:rPr>
            </w:pPr>
          </w:p>
        </w:tc>
        <w:tc>
          <w:tcPr>
            <w:tcW w:w="978" w:type="dxa"/>
            <w:tcBorders>
              <w:top w:val="nil"/>
              <w:left w:val="nil"/>
              <w:bottom w:val="single" w:color="auto" w:sz="4" w:space="0"/>
              <w:right w:val="single" w:color="auto" w:sz="4" w:space="0"/>
            </w:tcBorders>
            <w:shd w:val="clear" w:color="auto" w:fill="auto"/>
            <w:noWrap/>
            <w:vAlign w:val="center"/>
          </w:tcPr>
          <w:p w14:paraId="6FB25543">
            <w:pPr>
              <w:widowControl/>
              <w:jc w:val="center"/>
              <w:rPr>
                <w:rFonts w:ascii="宋体" w:hAnsi="宋体" w:cs="宋体"/>
                <w:kern w:val="0"/>
                <w:sz w:val="20"/>
                <w:szCs w:val="20"/>
              </w:rPr>
            </w:pPr>
          </w:p>
        </w:tc>
        <w:tc>
          <w:tcPr>
            <w:tcW w:w="1418" w:type="dxa"/>
            <w:tcBorders>
              <w:top w:val="nil"/>
              <w:left w:val="nil"/>
              <w:bottom w:val="single" w:color="auto" w:sz="4" w:space="0"/>
              <w:right w:val="single" w:color="auto" w:sz="4" w:space="0"/>
            </w:tcBorders>
            <w:shd w:val="clear" w:color="auto" w:fill="auto"/>
            <w:noWrap/>
            <w:vAlign w:val="center"/>
          </w:tcPr>
          <w:p w14:paraId="3E2DBAEF">
            <w:pPr>
              <w:widowControl/>
              <w:jc w:val="center"/>
              <w:rPr>
                <w:rFonts w:ascii="宋体" w:hAnsi="宋体" w:cs="宋体"/>
                <w:kern w:val="0"/>
                <w:sz w:val="20"/>
                <w:szCs w:val="20"/>
              </w:rPr>
            </w:pPr>
          </w:p>
        </w:tc>
        <w:tc>
          <w:tcPr>
            <w:tcW w:w="2024" w:type="dxa"/>
            <w:tcBorders>
              <w:top w:val="nil"/>
              <w:left w:val="nil"/>
              <w:bottom w:val="single" w:color="auto" w:sz="4" w:space="0"/>
              <w:right w:val="single" w:color="auto" w:sz="4" w:space="0"/>
            </w:tcBorders>
            <w:shd w:val="clear" w:color="auto" w:fill="auto"/>
            <w:noWrap/>
          </w:tcPr>
          <w:p w14:paraId="0D76BA68">
            <w:pPr>
              <w:ind w:firstLine="105" w:firstLineChars="50"/>
            </w:pPr>
          </w:p>
        </w:tc>
      </w:tr>
      <w:tr w14:paraId="68A00513">
        <w:tblPrEx>
          <w:tblCellMar>
            <w:top w:w="0" w:type="dxa"/>
            <w:left w:w="108" w:type="dxa"/>
            <w:bottom w:w="0" w:type="dxa"/>
            <w:right w:w="108" w:type="dxa"/>
          </w:tblCellMar>
        </w:tblPrEx>
        <w:trPr>
          <w:trHeight w:val="462" w:hRule="atLeast"/>
          <w:jc w:val="center"/>
        </w:trPr>
        <w:tc>
          <w:tcPr>
            <w:tcW w:w="708" w:type="dxa"/>
            <w:tcBorders>
              <w:top w:val="nil"/>
              <w:left w:val="single" w:color="auto" w:sz="4" w:space="0"/>
              <w:bottom w:val="single" w:color="auto" w:sz="4" w:space="0"/>
              <w:right w:val="single" w:color="auto" w:sz="4" w:space="0"/>
            </w:tcBorders>
            <w:shd w:val="clear" w:color="auto" w:fill="auto"/>
            <w:noWrap/>
            <w:vAlign w:val="center"/>
          </w:tcPr>
          <w:p w14:paraId="41CB4299">
            <w:pPr>
              <w:widowControl/>
              <w:jc w:val="center"/>
              <w:rPr>
                <w:rFonts w:ascii="宋体" w:hAnsi="宋体" w:cs="宋体"/>
                <w:kern w:val="0"/>
                <w:sz w:val="20"/>
                <w:szCs w:val="20"/>
              </w:rPr>
            </w:pPr>
          </w:p>
        </w:tc>
        <w:tc>
          <w:tcPr>
            <w:tcW w:w="3640" w:type="dxa"/>
            <w:gridSpan w:val="2"/>
            <w:tcBorders>
              <w:top w:val="single" w:color="auto" w:sz="4" w:space="0"/>
              <w:left w:val="nil"/>
              <w:bottom w:val="single" w:color="auto" w:sz="4" w:space="0"/>
              <w:right w:val="single" w:color="auto" w:sz="4" w:space="0"/>
            </w:tcBorders>
            <w:shd w:val="clear" w:color="auto" w:fill="auto"/>
            <w:noWrap/>
            <w:vAlign w:val="center"/>
          </w:tcPr>
          <w:p w14:paraId="747DD0B9">
            <w:pPr>
              <w:widowControl/>
              <w:jc w:val="left"/>
              <w:rPr>
                <w:rFonts w:ascii="宋体" w:hAnsi="宋体" w:cs="宋体"/>
                <w:kern w:val="0"/>
                <w:sz w:val="20"/>
                <w:szCs w:val="20"/>
              </w:rPr>
            </w:pPr>
          </w:p>
        </w:tc>
        <w:tc>
          <w:tcPr>
            <w:tcW w:w="760" w:type="dxa"/>
            <w:tcBorders>
              <w:top w:val="nil"/>
              <w:left w:val="nil"/>
              <w:bottom w:val="single" w:color="auto" w:sz="4" w:space="0"/>
              <w:right w:val="single" w:color="auto" w:sz="4" w:space="0"/>
            </w:tcBorders>
            <w:shd w:val="clear" w:color="auto" w:fill="auto"/>
            <w:noWrap/>
            <w:vAlign w:val="center"/>
          </w:tcPr>
          <w:p w14:paraId="1C0AF2F8">
            <w:pPr>
              <w:widowControl/>
              <w:jc w:val="center"/>
              <w:rPr>
                <w:rFonts w:ascii="宋体" w:hAnsi="宋体" w:cs="宋体"/>
                <w:kern w:val="0"/>
                <w:sz w:val="20"/>
                <w:szCs w:val="20"/>
              </w:rPr>
            </w:pPr>
          </w:p>
        </w:tc>
        <w:tc>
          <w:tcPr>
            <w:tcW w:w="760" w:type="dxa"/>
            <w:tcBorders>
              <w:top w:val="nil"/>
              <w:left w:val="nil"/>
              <w:bottom w:val="single" w:color="auto" w:sz="4" w:space="0"/>
              <w:right w:val="single" w:color="auto" w:sz="4" w:space="0"/>
            </w:tcBorders>
            <w:shd w:val="clear" w:color="auto" w:fill="auto"/>
            <w:noWrap/>
            <w:vAlign w:val="center"/>
          </w:tcPr>
          <w:p w14:paraId="1E199E97">
            <w:pPr>
              <w:widowControl/>
              <w:jc w:val="center"/>
              <w:rPr>
                <w:rFonts w:ascii="宋体" w:hAnsi="宋体" w:cs="宋体"/>
                <w:kern w:val="0"/>
                <w:sz w:val="20"/>
                <w:szCs w:val="20"/>
              </w:rPr>
            </w:pPr>
          </w:p>
        </w:tc>
        <w:tc>
          <w:tcPr>
            <w:tcW w:w="978" w:type="dxa"/>
            <w:tcBorders>
              <w:top w:val="nil"/>
              <w:left w:val="nil"/>
              <w:bottom w:val="single" w:color="auto" w:sz="4" w:space="0"/>
              <w:right w:val="single" w:color="auto" w:sz="4" w:space="0"/>
            </w:tcBorders>
            <w:shd w:val="clear" w:color="auto" w:fill="auto"/>
            <w:noWrap/>
            <w:vAlign w:val="center"/>
          </w:tcPr>
          <w:p w14:paraId="4746500D">
            <w:pPr>
              <w:widowControl/>
              <w:jc w:val="center"/>
              <w:rPr>
                <w:rFonts w:ascii="宋体" w:hAnsi="宋体" w:cs="宋体"/>
                <w:kern w:val="0"/>
                <w:sz w:val="20"/>
                <w:szCs w:val="20"/>
              </w:rPr>
            </w:pPr>
          </w:p>
        </w:tc>
        <w:tc>
          <w:tcPr>
            <w:tcW w:w="1418" w:type="dxa"/>
            <w:tcBorders>
              <w:top w:val="nil"/>
              <w:left w:val="nil"/>
              <w:bottom w:val="single" w:color="auto" w:sz="4" w:space="0"/>
              <w:right w:val="single" w:color="auto" w:sz="4" w:space="0"/>
            </w:tcBorders>
            <w:shd w:val="clear" w:color="auto" w:fill="auto"/>
            <w:vAlign w:val="center"/>
          </w:tcPr>
          <w:p w14:paraId="439EBF89">
            <w:pPr>
              <w:widowControl/>
              <w:jc w:val="center"/>
              <w:rPr>
                <w:rFonts w:ascii="宋体" w:hAnsi="宋体" w:cs="宋体"/>
                <w:kern w:val="0"/>
                <w:sz w:val="20"/>
                <w:szCs w:val="20"/>
              </w:rPr>
            </w:pPr>
          </w:p>
        </w:tc>
        <w:tc>
          <w:tcPr>
            <w:tcW w:w="2024" w:type="dxa"/>
            <w:tcBorders>
              <w:top w:val="nil"/>
              <w:left w:val="nil"/>
              <w:bottom w:val="single" w:color="auto" w:sz="4" w:space="0"/>
              <w:right w:val="single" w:color="auto" w:sz="4" w:space="0"/>
            </w:tcBorders>
            <w:shd w:val="clear" w:color="auto" w:fill="auto"/>
            <w:noWrap/>
            <w:vAlign w:val="center"/>
          </w:tcPr>
          <w:p w14:paraId="64C94429">
            <w:pPr>
              <w:widowControl/>
              <w:jc w:val="center"/>
              <w:rPr>
                <w:rFonts w:ascii="宋体" w:hAnsi="宋体" w:cs="宋体"/>
                <w:kern w:val="0"/>
                <w:sz w:val="20"/>
                <w:szCs w:val="20"/>
              </w:rPr>
            </w:pPr>
          </w:p>
        </w:tc>
      </w:tr>
      <w:tr w14:paraId="6608CCD7">
        <w:tblPrEx>
          <w:tblCellMar>
            <w:top w:w="0" w:type="dxa"/>
            <w:left w:w="108" w:type="dxa"/>
            <w:bottom w:w="0" w:type="dxa"/>
            <w:right w:w="108" w:type="dxa"/>
          </w:tblCellMar>
        </w:tblPrEx>
        <w:trPr>
          <w:trHeight w:val="360" w:hRule="atLeast"/>
          <w:jc w:val="center"/>
        </w:trPr>
        <w:tc>
          <w:tcPr>
            <w:tcW w:w="21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FB68341">
            <w:pPr>
              <w:widowControl/>
              <w:jc w:val="center"/>
              <w:rPr>
                <w:bCs/>
                <w:kern w:val="0"/>
                <w:sz w:val="20"/>
                <w:szCs w:val="20"/>
              </w:rPr>
            </w:pPr>
            <w:r>
              <w:rPr>
                <w:rFonts w:hint="eastAsia" w:ascii="宋体" w:hAnsi="宋体"/>
                <w:bCs/>
                <w:kern w:val="0"/>
                <w:sz w:val="20"/>
                <w:szCs w:val="20"/>
              </w:rPr>
              <w:t>总  价（元）</w:t>
            </w:r>
          </w:p>
        </w:tc>
        <w:tc>
          <w:tcPr>
            <w:tcW w:w="6076" w:type="dxa"/>
            <w:gridSpan w:val="5"/>
            <w:tcBorders>
              <w:top w:val="single" w:color="auto" w:sz="4" w:space="0"/>
              <w:left w:val="nil"/>
              <w:bottom w:val="single" w:color="auto" w:sz="4" w:space="0"/>
              <w:right w:val="single" w:color="auto" w:sz="4" w:space="0"/>
            </w:tcBorders>
            <w:shd w:val="clear" w:color="auto" w:fill="auto"/>
            <w:noWrap/>
            <w:vAlign w:val="center"/>
          </w:tcPr>
          <w:p w14:paraId="3E9984DB">
            <w:pPr>
              <w:widowControl/>
              <w:jc w:val="center"/>
              <w:rPr>
                <w:rFonts w:ascii="宋体" w:hAnsi="宋体" w:cs="宋体"/>
                <w:b/>
                <w:bCs/>
                <w:kern w:val="0"/>
                <w:sz w:val="20"/>
                <w:szCs w:val="20"/>
              </w:rPr>
            </w:pPr>
            <w:r>
              <w:rPr>
                <w:rFonts w:hint="eastAsia" w:ascii="宋体" w:hAnsi="宋体" w:cs="宋体"/>
                <w:kern w:val="0"/>
                <w:sz w:val="20"/>
                <w:szCs w:val="20"/>
              </w:rPr>
              <w:t>　</w:t>
            </w:r>
          </w:p>
        </w:tc>
        <w:tc>
          <w:tcPr>
            <w:tcW w:w="2024" w:type="dxa"/>
            <w:tcBorders>
              <w:top w:val="single" w:color="auto" w:sz="4" w:space="0"/>
              <w:left w:val="nil"/>
              <w:bottom w:val="single" w:color="auto" w:sz="4" w:space="0"/>
              <w:right w:val="single" w:color="auto" w:sz="4" w:space="0"/>
            </w:tcBorders>
            <w:shd w:val="clear" w:color="auto" w:fill="auto"/>
            <w:noWrap/>
            <w:vAlign w:val="center"/>
          </w:tcPr>
          <w:p w14:paraId="4484E888">
            <w:pPr>
              <w:widowControl/>
              <w:jc w:val="center"/>
              <w:rPr>
                <w:rFonts w:ascii="宋体" w:hAnsi="宋体" w:cs="宋体"/>
                <w:kern w:val="0"/>
                <w:sz w:val="20"/>
                <w:szCs w:val="20"/>
              </w:rPr>
            </w:pPr>
            <w:r>
              <w:rPr>
                <w:rFonts w:hint="eastAsia" w:ascii="宋体" w:hAnsi="宋体" w:cs="宋体"/>
                <w:kern w:val="0"/>
                <w:sz w:val="20"/>
                <w:szCs w:val="20"/>
              </w:rPr>
              <w:t>　</w:t>
            </w:r>
          </w:p>
        </w:tc>
      </w:tr>
      <w:tr w14:paraId="598F1E5B">
        <w:tblPrEx>
          <w:tblCellMar>
            <w:top w:w="0" w:type="dxa"/>
            <w:left w:w="108" w:type="dxa"/>
            <w:bottom w:w="0" w:type="dxa"/>
            <w:right w:w="108" w:type="dxa"/>
          </w:tblCellMar>
        </w:tblPrEx>
        <w:trPr>
          <w:trHeight w:val="360" w:hRule="atLeast"/>
          <w:jc w:val="center"/>
        </w:trPr>
        <w:tc>
          <w:tcPr>
            <w:tcW w:w="21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6C0BD28">
            <w:pPr>
              <w:widowControl/>
              <w:jc w:val="center"/>
              <w:rPr>
                <w:rFonts w:ascii="宋体" w:hAnsi="宋体"/>
                <w:bCs/>
                <w:kern w:val="0"/>
                <w:sz w:val="20"/>
                <w:szCs w:val="20"/>
              </w:rPr>
            </w:pPr>
            <w:r>
              <w:rPr>
                <w:rFonts w:hint="eastAsia" w:ascii="宋体" w:hAnsi="宋体"/>
                <w:bCs/>
                <w:kern w:val="0"/>
                <w:sz w:val="20"/>
                <w:szCs w:val="20"/>
              </w:rPr>
              <w:t>到货期（天）</w:t>
            </w:r>
          </w:p>
        </w:tc>
        <w:tc>
          <w:tcPr>
            <w:tcW w:w="6076" w:type="dxa"/>
            <w:gridSpan w:val="5"/>
            <w:tcBorders>
              <w:top w:val="single" w:color="auto" w:sz="4" w:space="0"/>
              <w:left w:val="nil"/>
              <w:bottom w:val="single" w:color="auto" w:sz="4" w:space="0"/>
              <w:right w:val="single" w:color="auto" w:sz="4" w:space="0"/>
            </w:tcBorders>
            <w:shd w:val="clear" w:color="auto" w:fill="auto"/>
            <w:noWrap/>
            <w:vAlign w:val="center"/>
          </w:tcPr>
          <w:p w14:paraId="3E752BE4">
            <w:pPr>
              <w:widowControl/>
              <w:jc w:val="center"/>
              <w:rPr>
                <w:rFonts w:ascii="宋体" w:hAnsi="宋体" w:cs="宋体"/>
                <w:b/>
                <w:bCs/>
                <w:kern w:val="0"/>
                <w:sz w:val="20"/>
                <w:szCs w:val="20"/>
              </w:rPr>
            </w:pPr>
          </w:p>
        </w:tc>
        <w:tc>
          <w:tcPr>
            <w:tcW w:w="2024" w:type="dxa"/>
            <w:tcBorders>
              <w:top w:val="single" w:color="auto" w:sz="4" w:space="0"/>
              <w:left w:val="nil"/>
              <w:bottom w:val="single" w:color="auto" w:sz="4" w:space="0"/>
              <w:right w:val="single" w:color="auto" w:sz="4" w:space="0"/>
            </w:tcBorders>
            <w:shd w:val="clear" w:color="auto" w:fill="auto"/>
            <w:noWrap/>
            <w:vAlign w:val="center"/>
          </w:tcPr>
          <w:p w14:paraId="2D4AB585">
            <w:pPr>
              <w:widowControl/>
              <w:jc w:val="center"/>
              <w:rPr>
                <w:rFonts w:ascii="宋体" w:hAnsi="宋体" w:cs="宋体"/>
                <w:kern w:val="0"/>
                <w:sz w:val="20"/>
                <w:szCs w:val="20"/>
              </w:rPr>
            </w:pPr>
          </w:p>
        </w:tc>
      </w:tr>
      <w:tr w14:paraId="300BF64A">
        <w:tblPrEx>
          <w:tblCellMar>
            <w:top w:w="0" w:type="dxa"/>
            <w:left w:w="108" w:type="dxa"/>
            <w:bottom w:w="0" w:type="dxa"/>
            <w:right w:w="108" w:type="dxa"/>
          </w:tblCellMar>
        </w:tblPrEx>
        <w:trPr>
          <w:trHeight w:val="360" w:hRule="atLeast"/>
          <w:jc w:val="center"/>
        </w:trPr>
        <w:tc>
          <w:tcPr>
            <w:tcW w:w="21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85CD16B">
            <w:pPr>
              <w:widowControl/>
              <w:jc w:val="center"/>
              <w:rPr>
                <w:rFonts w:ascii="宋体" w:hAnsi="宋体"/>
                <w:bCs/>
                <w:kern w:val="0"/>
                <w:sz w:val="20"/>
                <w:szCs w:val="20"/>
              </w:rPr>
            </w:pPr>
            <w:r>
              <w:rPr>
                <w:rFonts w:hint="eastAsia" w:ascii="宋体" w:hAnsi="宋体"/>
                <w:bCs/>
                <w:kern w:val="0"/>
                <w:sz w:val="20"/>
                <w:szCs w:val="20"/>
              </w:rPr>
              <w:t>质保期（年）</w:t>
            </w:r>
          </w:p>
        </w:tc>
        <w:tc>
          <w:tcPr>
            <w:tcW w:w="6076" w:type="dxa"/>
            <w:gridSpan w:val="5"/>
            <w:tcBorders>
              <w:top w:val="single" w:color="auto" w:sz="4" w:space="0"/>
              <w:left w:val="nil"/>
              <w:bottom w:val="single" w:color="auto" w:sz="4" w:space="0"/>
              <w:right w:val="single" w:color="auto" w:sz="4" w:space="0"/>
            </w:tcBorders>
            <w:shd w:val="clear" w:color="auto" w:fill="auto"/>
            <w:noWrap/>
            <w:vAlign w:val="center"/>
          </w:tcPr>
          <w:p w14:paraId="5BDAD2C8">
            <w:pPr>
              <w:widowControl/>
              <w:jc w:val="center"/>
              <w:rPr>
                <w:rFonts w:ascii="宋体" w:hAnsi="宋体" w:cs="宋体"/>
                <w:b/>
                <w:bCs/>
                <w:kern w:val="0"/>
                <w:sz w:val="20"/>
                <w:szCs w:val="20"/>
              </w:rPr>
            </w:pPr>
          </w:p>
        </w:tc>
        <w:tc>
          <w:tcPr>
            <w:tcW w:w="2024" w:type="dxa"/>
            <w:tcBorders>
              <w:top w:val="single" w:color="auto" w:sz="4" w:space="0"/>
              <w:left w:val="nil"/>
              <w:bottom w:val="single" w:color="auto" w:sz="4" w:space="0"/>
              <w:right w:val="single" w:color="auto" w:sz="4" w:space="0"/>
            </w:tcBorders>
            <w:shd w:val="clear" w:color="auto" w:fill="auto"/>
            <w:noWrap/>
            <w:vAlign w:val="center"/>
          </w:tcPr>
          <w:p w14:paraId="74D5257C">
            <w:pPr>
              <w:widowControl/>
              <w:jc w:val="center"/>
              <w:rPr>
                <w:rFonts w:ascii="宋体" w:hAnsi="宋体" w:cs="宋体"/>
                <w:kern w:val="0"/>
                <w:sz w:val="20"/>
                <w:szCs w:val="20"/>
              </w:rPr>
            </w:pPr>
          </w:p>
        </w:tc>
      </w:tr>
    </w:tbl>
    <w:p w14:paraId="1C813957">
      <w:pPr>
        <w:pStyle w:val="52"/>
        <w:spacing w:before="0" w:beforeAutospacing="0" w:after="0" w:afterAutospacing="0" w:line="480" w:lineRule="exact"/>
        <w:ind w:firstLine="420" w:firstLineChars="150"/>
        <w:rPr>
          <w:rFonts w:hint="eastAsia" w:eastAsia="宋体" w:cs="MS Shell Dlg"/>
          <w:sz w:val="28"/>
          <w:szCs w:val="28"/>
          <w:lang w:eastAsia="zh-CN"/>
        </w:rPr>
      </w:pPr>
      <w:r>
        <w:rPr>
          <w:rFonts w:hint="eastAsia" w:cs="MS Shell Dlg"/>
          <w:sz w:val="28"/>
          <w:szCs w:val="28"/>
        </w:rPr>
        <w:t>注：</w:t>
      </w:r>
      <w:r>
        <w:rPr>
          <w:rFonts w:hint="eastAsia" w:ascii="宋体" w:hAnsi="宋体" w:eastAsia="宋体" w:cs="宋体"/>
          <w:color w:val="FF0000"/>
          <w:sz w:val="24"/>
          <w:szCs w:val="24"/>
          <w:shd w:val="clear" w:color="auto" w:fill="auto"/>
          <w:lang w:val="en-US" w:eastAsia="zh-CN"/>
        </w:rPr>
        <w:t>参选</w:t>
      </w:r>
      <w:r>
        <w:rPr>
          <w:rFonts w:hint="eastAsia" w:ascii="宋体" w:hAnsi="宋体" w:eastAsia="宋体" w:cs="宋体"/>
          <w:color w:val="FF0000"/>
          <w:sz w:val="24"/>
          <w:szCs w:val="24"/>
          <w:shd w:val="clear" w:color="auto" w:fill="auto"/>
        </w:rPr>
        <w:t>报价包含但不限于货款、拆旧费、箱体改造费、辅材、安装费、调试费、人工费、税金等所有费用。</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0A0D4184">
      <w:pPr>
        <w:outlineLvl w:val="0"/>
        <w:rPr>
          <w:rFonts w:hint="eastAsia" w:ascii="宋体" w:hAnsi="宋体" w:eastAsia="宋体" w:cs="宋体"/>
          <w:b/>
          <w:color w:val="000000" w:themeColor="text1"/>
          <w:shd w:val="clear" w:color="auto" w:fill="auto"/>
          <w14:textFill>
            <w14:solidFill>
              <w14:schemeClr w14:val="tx1"/>
            </w14:solidFill>
          </w14:textFill>
        </w:rPr>
      </w:pPr>
    </w:p>
    <w:p w14:paraId="7259C3F7">
      <w:pPr>
        <w:outlineLvl w:val="0"/>
        <w:rPr>
          <w:rFonts w:hint="eastAsia" w:ascii="宋体" w:hAnsi="宋体" w:eastAsia="宋体" w:cs="宋体"/>
          <w:b/>
          <w:color w:val="000000" w:themeColor="text1"/>
          <w:shd w:val="clear" w:color="auto" w:fill="auto"/>
          <w14:textFill>
            <w14:solidFill>
              <w14:schemeClr w14:val="tx1"/>
            </w14:solidFill>
          </w14:textFill>
        </w:rPr>
      </w:pPr>
    </w:p>
    <w:p w14:paraId="1F2DFD6D">
      <w:pPr>
        <w:outlineLvl w:val="0"/>
        <w:rPr>
          <w:rFonts w:hint="eastAsia" w:ascii="宋体" w:hAnsi="宋体" w:eastAsia="宋体" w:cs="宋体"/>
          <w:b/>
          <w:color w:val="000000" w:themeColor="text1"/>
          <w:shd w:val="clear" w:color="auto" w:fill="auto"/>
          <w14:textFill>
            <w14:solidFill>
              <w14:schemeClr w14:val="tx1"/>
            </w14:solidFill>
          </w14:textFill>
        </w:rPr>
      </w:pPr>
    </w:p>
    <w:p w14:paraId="269A7FA2">
      <w:pPr>
        <w:outlineLvl w:val="0"/>
        <w:rPr>
          <w:rFonts w:hint="eastAsia" w:ascii="宋体" w:hAnsi="宋体" w:eastAsia="宋体" w:cs="宋体"/>
          <w:b/>
          <w:color w:val="000000" w:themeColor="text1"/>
          <w:shd w:val="clear" w:color="auto" w:fill="auto"/>
          <w14:textFill>
            <w14:solidFill>
              <w14:schemeClr w14:val="tx1"/>
            </w14:solidFill>
          </w14:textFill>
        </w:rPr>
      </w:pPr>
    </w:p>
    <w:p w14:paraId="5A111048">
      <w:pPr>
        <w:outlineLvl w:val="0"/>
        <w:rPr>
          <w:rFonts w:hint="eastAsia" w:ascii="宋体" w:hAnsi="宋体" w:eastAsia="宋体" w:cs="宋体"/>
          <w:b/>
          <w:color w:val="000000" w:themeColor="text1"/>
          <w:shd w:val="clear" w:color="auto" w:fill="auto"/>
          <w14:textFill>
            <w14:solidFill>
              <w14:schemeClr w14:val="tx1"/>
            </w14:solidFill>
          </w14:textFill>
        </w:rPr>
      </w:pPr>
    </w:p>
    <w:p w14:paraId="2A5EE9A5">
      <w:pPr>
        <w:outlineLvl w:val="0"/>
        <w:rPr>
          <w:rFonts w:hint="eastAsia" w:ascii="宋体" w:hAnsi="宋体" w:eastAsia="宋体" w:cs="宋体"/>
          <w:b/>
          <w:color w:val="000000" w:themeColor="text1"/>
          <w:shd w:val="clear" w:color="auto" w:fill="auto"/>
          <w14:textFill>
            <w14:solidFill>
              <w14:schemeClr w14:val="tx1"/>
            </w14:solidFill>
          </w14:textFill>
        </w:rPr>
      </w:pPr>
    </w:p>
    <w:p w14:paraId="5A8C33DE">
      <w:pPr>
        <w:outlineLvl w:val="0"/>
        <w:rPr>
          <w:rFonts w:hint="eastAsia" w:ascii="宋体" w:hAnsi="宋体" w:eastAsia="宋体" w:cs="宋体"/>
          <w:b/>
          <w:color w:val="000000" w:themeColor="text1"/>
          <w:shd w:val="clear" w:color="auto" w:fill="auto"/>
          <w14:textFill>
            <w14:solidFill>
              <w14:schemeClr w14:val="tx1"/>
            </w14:solidFill>
          </w14:textFill>
        </w:rPr>
      </w:pPr>
    </w:p>
    <w:p w14:paraId="2782FABA">
      <w:pPr>
        <w:outlineLvl w:val="0"/>
        <w:rPr>
          <w:rFonts w:hint="eastAsia" w:ascii="宋体" w:hAnsi="宋体" w:eastAsia="宋体" w:cs="宋体"/>
          <w:b/>
          <w:color w:val="000000" w:themeColor="text1"/>
          <w:shd w:val="clear" w:color="auto" w:fill="auto"/>
          <w14:textFill>
            <w14:solidFill>
              <w14:schemeClr w14:val="tx1"/>
            </w14:solidFill>
          </w14:textFill>
        </w:rPr>
      </w:pPr>
    </w:p>
    <w:p w14:paraId="18A39689">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664FABDA">
      <w:pPr>
        <w:outlineLvl w:val="0"/>
        <w:rPr>
          <w:rFonts w:hint="eastAsia" w:ascii="宋体" w:hAnsi="宋体" w:eastAsia="宋体" w:cs="宋体"/>
          <w:b/>
          <w:color w:val="000000" w:themeColor="text1"/>
          <w:shd w:val="clear" w:color="auto" w:fill="auto"/>
          <w14:textFill>
            <w14:solidFill>
              <w14:schemeClr w14:val="tx1"/>
            </w14:solidFill>
          </w14:textFill>
        </w:rPr>
      </w:pPr>
    </w:p>
    <w:p w14:paraId="698F3352">
      <w:pPr>
        <w:outlineLvl w:val="0"/>
        <w:rPr>
          <w:rFonts w:hint="eastAsia" w:ascii="宋体" w:hAnsi="宋体" w:eastAsia="宋体" w:cs="宋体"/>
          <w:b/>
          <w:color w:val="000000" w:themeColor="text1"/>
          <w:shd w:val="clear" w:color="auto" w:fill="auto"/>
          <w14:textFill>
            <w14:solidFill>
              <w14:schemeClr w14:val="tx1"/>
            </w14:solidFill>
          </w14:textFill>
        </w:rPr>
      </w:pPr>
    </w:p>
    <w:p w14:paraId="31089B38">
      <w:pPr>
        <w:outlineLvl w:val="0"/>
        <w:rPr>
          <w:rFonts w:hint="eastAsia" w:ascii="宋体" w:hAnsi="宋体" w:eastAsia="宋体" w:cs="宋体"/>
          <w:b/>
          <w:color w:val="000000" w:themeColor="text1"/>
          <w:shd w:val="clear" w:color="auto" w:fill="auto"/>
          <w14:textFill>
            <w14:solidFill>
              <w14:schemeClr w14:val="tx1"/>
            </w14:solidFill>
          </w14:textFill>
        </w:rPr>
      </w:pPr>
    </w:p>
    <w:p w14:paraId="7AE83C77">
      <w:pPr>
        <w:outlineLvl w:val="0"/>
        <w:rPr>
          <w:rFonts w:hint="eastAsia" w:ascii="宋体" w:hAnsi="宋体" w:eastAsia="宋体" w:cs="宋体"/>
          <w:b/>
          <w:color w:val="000000" w:themeColor="text1"/>
          <w:shd w:val="clear" w:color="auto" w:fill="auto"/>
          <w14:textFill>
            <w14:solidFill>
              <w14:schemeClr w14:val="tx1"/>
            </w14:solidFill>
          </w14:textFill>
        </w:rPr>
      </w:pPr>
    </w:p>
    <w:p w14:paraId="4DCC9108">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F1D27AB5-8AEB-4640-A3D0-AC837ABA3981}"/>
  </w:font>
  <w:font w:name="MS Shell Dlg">
    <w:altName w:val="Microsoft Sans Serif"/>
    <w:panose1 w:val="020B0604020202020204"/>
    <w:charset w:val="00"/>
    <w:family w:val="swiss"/>
    <w:pitch w:val="default"/>
    <w:sig w:usb0="00000000" w:usb1="00000000" w:usb2="00000008" w:usb3="00000000" w:csb0="000101FF" w:csb1="00000000"/>
    <w:embedRegular r:id="rId2" w:fontKey="{73AA4556-278C-4CB8-BB49-0E07D3E118D5}"/>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4A7245"/>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79508E"/>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BC0756"/>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7E25AF"/>
    <w:rsid w:val="66815672"/>
    <w:rsid w:val="67042ACB"/>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FC3BBF"/>
    <w:rsid w:val="6E0E1C83"/>
    <w:rsid w:val="6E45126B"/>
    <w:rsid w:val="6EA047F7"/>
    <w:rsid w:val="6EFB5292"/>
    <w:rsid w:val="6F062BB9"/>
    <w:rsid w:val="6F185329"/>
    <w:rsid w:val="6F213E8F"/>
    <w:rsid w:val="70783234"/>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2335FF"/>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10781</Words>
  <Characters>11008</Characters>
  <Lines>182</Lines>
  <Paragraphs>51</Paragraphs>
  <TotalTime>0</TotalTime>
  <ScaleCrop>false</ScaleCrop>
  <LinksUpToDate>false</LinksUpToDate>
  <CharactersWithSpaces>11079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2025-07-25T02:46:35Z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