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2025FW085</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检验科全自动化学发光免疫分析仪移机服务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八月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color w:val="000000" w:themeColor="text1"/>
          <w:kern w:val="2"/>
          <w:sz w:val="44"/>
          <w:szCs w:val="44"/>
          <w:lang w:val="en-US" w:eastAsia="zh-CN" w:bidi="ar-SA"/>
          <w14:textFill>
            <w14:solidFill>
              <w14:schemeClr w14:val="tx1"/>
            </w14:solidFill>
          </w14:textFill>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color w:val="000000" w:themeColor="text1"/>
              <w:sz w:val="44"/>
              <w:szCs w:val="44"/>
              <w14:textFill>
                <w14:solidFill>
                  <w14:schemeClr w14:val="tx1"/>
                </w14:solidFill>
              </w14:textFill>
            </w:rPr>
          </w:pPr>
          <w:r>
            <w:rPr>
              <w:rFonts w:ascii="宋体" w:hAnsi="宋体" w:eastAsia="宋体"/>
              <w:color w:val="000000" w:themeColor="text1"/>
              <w:sz w:val="44"/>
              <w:szCs w:val="44"/>
              <w14:textFill>
                <w14:solidFill>
                  <w14:schemeClr w14:val="tx1"/>
                </w14:solidFill>
              </w14:textFill>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_Toc23588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_Toc23588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_Toc25322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_Toc25322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_Toc7206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_Toc7206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_Toc17014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_Toc17014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_Toc26989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_Toc26989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_Toc14085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_Toc14085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_Toc5685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zCs w:val="24"/>
              <w:shd w:val="clear" w:color="auto" w:fill="auto"/>
              <w:lang w:eastAsia="zh-CN"/>
              <w14:textFill>
                <w14:solidFill>
                  <w14:schemeClr w14:val="tx1"/>
                </w14:solidFill>
              </w14:textFill>
            </w:rPr>
            <w:t>（一）</w:t>
          </w:r>
          <w:r>
            <w:rPr>
              <w:rFonts w:hint="eastAsia" w:ascii="宋体" w:hAnsi="宋体" w:eastAsia="宋体" w:cs="宋体"/>
              <w:color w:val="000000" w:themeColor="text1"/>
              <w:szCs w:val="24"/>
              <w:shd w:val="clear" w:color="auto" w:fill="auto"/>
              <w14:textFill>
                <w14:solidFill>
                  <w14:schemeClr w14:val="tx1"/>
                </w14:solidFill>
              </w14:textFill>
            </w:rPr>
            <w:t>其他应提供的资料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_Toc5685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_Toc12908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（二）</w:t>
          </w:r>
          <w:r>
            <w:rPr>
              <w:rFonts w:hint="eastAsia" w:ascii="宋体" w:hAnsi="宋体" w:eastAsia="宋体" w:cs="宋体"/>
              <w:color w:val="000000" w:themeColor="text1"/>
              <w:shd w:val="clear" w:color="auto" w:fill="auto"/>
              <w14:textFill>
                <w14:solidFill>
                  <w14:schemeClr w14:val="tx1"/>
                </w14:solidFill>
              </w14:textFill>
            </w:rPr>
            <w:t>服务部分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_Toc12908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_Toc15203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（三）</w:t>
          </w:r>
          <w:r>
            <w:rPr>
              <w:rFonts w:hint="eastAsia" w:ascii="宋体" w:hAnsi="宋体" w:eastAsia="宋体" w:cs="宋体"/>
              <w:color w:val="000000" w:themeColor="text1"/>
              <w:shd w:val="clear" w:color="auto" w:fill="auto"/>
              <w14:textFill>
                <w14:solidFill>
                  <w14:schemeClr w14:val="tx1"/>
                </w14:solidFill>
              </w14:textFill>
            </w:rPr>
            <w:t>商务部分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_Toc15203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_Toc9941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（四）</w:t>
          </w:r>
          <w:r>
            <w:rPr>
              <w:rFonts w:hint="eastAsia" w:ascii="宋体" w:hAnsi="宋体" w:eastAsia="宋体" w:cs="宋体"/>
              <w:color w:val="000000" w:themeColor="text1"/>
              <w:shd w:val="clear" w:color="auto" w:fill="auto"/>
              <w14:textFill>
                <w14:solidFill>
                  <w14:schemeClr w14:val="tx1"/>
                </w14:solidFill>
              </w14:textFill>
            </w:rPr>
            <w:t>资格条件及其他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_Toc9941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1641050"/>
      <w:bookmarkStart w:id="1" w:name="_Toc25875"/>
      <w:bookmarkStart w:id="2" w:name="_Toc6921"/>
      <w:bookmarkStart w:id="3" w:name="_Toc485108766"/>
      <w:bookmarkStart w:id="4" w:name="_Toc23588"/>
      <w:bookmarkStart w:id="5" w:name="_Toc12789052"/>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检验科全自动化学发光免疫分析仪移机服务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485108767"/>
      <w:bookmarkStart w:id="9" w:name="_Toc317775175"/>
      <w:bookmarkStart w:id="10" w:name="_Toc313893526"/>
      <w:bookmarkStart w:id="11" w:name="_Toc28443"/>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检验科全自动化学发光免疫分析仪移机服务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6609"/>
      <w:bookmarkStart w:id="13"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：医院自筹,预算金额：31000元。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485108774"/>
      <w:bookmarkStart w:id="19" w:name="_Toc102227313"/>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w:t>
      </w:r>
      <w:bookmarkStart w:id="189" w:name="_GoBack"/>
      <w:bookmarkEnd w:id="189"/>
      <w:r>
        <w:rPr>
          <w:rFonts w:hint="eastAsia" w:ascii="宋体" w:hAnsi="宋体" w:eastAsia="宋体" w:cs="宋体"/>
          <w:b/>
          <w:bCs/>
          <w:color w:val="000000" w:themeColor="text1"/>
          <w:sz w:val="24"/>
          <w:szCs w:val="24"/>
          <w:shd w:val="clear" w:color="auto" w:fill="auto"/>
          <w14:textFill>
            <w14:solidFill>
              <w14:schemeClr w14:val="tx1"/>
            </w14:solidFill>
          </w14:textFill>
        </w:rPr>
        <w:t>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373860294"/>
      <w:bookmarkStart w:id="24" w:name="_Toc54171062"/>
      <w:bookmarkStart w:id="25" w:name="_Toc54718176"/>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390"/>
      <w:bookmarkStart w:id="29" w:name="_Toc913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10478"/>
      <w:bookmarkStart w:id="33"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4A731115">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FF0000"/>
          <w:sz w:val="24"/>
          <w:szCs w:val="24"/>
          <w:shd w:val="clear" w:color="auto" w:fill="auto"/>
          <w:lang w:val="en-US" w:eastAsia="zh-CN"/>
        </w:rPr>
        <w:t>报价为包干价，包含货物费、服务费、人工费、车费、住宿费、餐饮费、材料费、保险费、代理费、税金费用等的费用，均由成交供应商承担</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3"/>
      <w:bookmarkStart w:id="38" w:name="OLE_LINK8"/>
      <w:bookmarkStart w:id="39" w:name="OLE_LINK9"/>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403569780"/>
      <w:bookmarkStart w:id="41" w:name="_Toc102227319"/>
      <w:bookmarkStart w:id="42" w:name="_Toc19143"/>
      <w:bookmarkStart w:id="43" w:name="_Toc342913393"/>
      <w:bookmarkStart w:id="44" w:name="_Toc179714298"/>
      <w:bookmarkStart w:id="45" w:name="_Toc18122"/>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14247"/>
      <w:bookmarkStart w:id="48" w:name="_Toc403569781"/>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14816"/>
      <w:bookmarkStart w:id="52" w:name="_Toc29340"/>
      <w:bookmarkStart w:id="53" w:name="_Toc403569782"/>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342913395"/>
      <w:bookmarkStart w:id="55" w:name="_Toc7135"/>
      <w:bookmarkStart w:id="56" w:name="_Toc102227321"/>
      <w:bookmarkStart w:id="57" w:name="_Toc403569783"/>
      <w:bookmarkStart w:id="58" w:name="_Toc3212"/>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2880"/>
      <w:bookmarkStart w:id="60" w:name="_Toc17413"/>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6381"/>
      <w:bookmarkStart w:id="64" w:name="_Toc342913396"/>
      <w:bookmarkStart w:id="65" w:name="_Toc403569785"/>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11770"/>
      <w:bookmarkStart w:id="68"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7206"/>
      <w:bookmarkStart w:id="70" w:name="_Toc26684"/>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12789058"/>
      <w:bookmarkStart w:id="72" w:name="_Toc28327"/>
      <w:bookmarkStart w:id="73"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21A6DF00">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1、数量：1台，设备品牌：罗氏，设备型号为：Cobas pro e 801。</w:t>
      </w:r>
    </w:p>
    <w:p w14:paraId="6078517D">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2、现场</w:t>
      </w:r>
      <w:r>
        <w:rPr>
          <w:rFonts w:hint="default" w:ascii="宋体" w:hAnsi="宋体" w:eastAsia="宋体" w:cs="宋体"/>
          <w:color w:val="FF0000"/>
          <w:sz w:val="24"/>
          <w:szCs w:val="24"/>
          <w:shd w:val="clear" w:color="auto" w:fill="auto"/>
          <w:lang w:val="en-US" w:eastAsia="zh-CN"/>
        </w:rPr>
        <w:t>移机</w:t>
      </w:r>
      <w:r>
        <w:rPr>
          <w:rFonts w:hint="eastAsia" w:ascii="宋体" w:hAnsi="宋体" w:eastAsia="宋体" w:cs="宋体"/>
          <w:color w:val="FF0000"/>
          <w:sz w:val="24"/>
          <w:szCs w:val="24"/>
          <w:shd w:val="clear" w:color="auto" w:fill="auto"/>
          <w:lang w:val="en-US" w:eastAsia="zh-CN"/>
        </w:rPr>
        <w:t>工程师需经过原厂培训</w:t>
      </w:r>
      <w:r>
        <w:rPr>
          <w:rFonts w:hint="default" w:ascii="宋体" w:hAnsi="宋体" w:eastAsia="宋体" w:cs="宋体"/>
          <w:color w:val="FF0000"/>
          <w:sz w:val="24"/>
          <w:szCs w:val="24"/>
          <w:shd w:val="clear" w:color="auto" w:fill="auto"/>
          <w:lang w:val="en-US" w:eastAsia="zh-CN"/>
        </w:rPr>
        <w:t>或原厂授权</w:t>
      </w:r>
      <w:r>
        <w:rPr>
          <w:rFonts w:hint="eastAsia" w:ascii="宋体" w:hAnsi="宋体" w:eastAsia="宋体" w:cs="宋体"/>
          <w:color w:val="FF0000"/>
          <w:sz w:val="24"/>
          <w:szCs w:val="24"/>
          <w:shd w:val="clear" w:color="auto" w:fill="auto"/>
          <w:lang w:val="en-US" w:eastAsia="zh-CN"/>
        </w:rPr>
        <w:t>，提供培训证书</w:t>
      </w:r>
      <w:r>
        <w:rPr>
          <w:rFonts w:hint="default" w:ascii="宋体" w:hAnsi="宋体" w:eastAsia="宋体" w:cs="宋体"/>
          <w:color w:val="FF0000"/>
          <w:sz w:val="24"/>
          <w:szCs w:val="24"/>
          <w:shd w:val="clear" w:color="auto" w:fill="auto"/>
          <w:lang w:val="en-US" w:eastAsia="zh-CN"/>
        </w:rPr>
        <w:t>或相关能力资质证明</w:t>
      </w:r>
      <w:r>
        <w:rPr>
          <w:rFonts w:hint="eastAsia" w:ascii="宋体" w:hAnsi="宋体" w:eastAsia="宋体" w:cs="宋体"/>
          <w:color w:val="FF0000"/>
          <w:sz w:val="24"/>
          <w:szCs w:val="24"/>
          <w:shd w:val="clear" w:color="auto" w:fill="auto"/>
          <w:lang w:val="en-US" w:eastAsia="zh-CN"/>
        </w:rPr>
        <w:t>。</w:t>
      </w:r>
    </w:p>
    <w:p w14:paraId="378ECA72">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3、供应商负责设备拆卸、运输、安装、调试及性能验证，并提供设备搬运和安装所必需的专用工具。</w:t>
      </w:r>
    </w:p>
    <w:p w14:paraId="10E0F372">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4、保证设备移机后能正常使用，达到设备移机前的状态。</w:t>
      </w:r>
    </w:p>
    <w:p w14:paraId="2B7BEFEA">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5、移机地点：从重医附属永川医院萱花院区移动至兴龙湖院区。</w:t>
      </w:r>
    </w:p>
    <w:p w14:paraId="007E97B4">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7A16E33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2B9D9FD">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82E2DA2">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123EFFF9">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4B553758">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bookmarkStart w:id="74" w:name="_Toc17014"/>
      <w:bookmarkStart w:id="75" w:name="_Toc4364"/>
    </w:p>
    <w:p w14:paraId="14310CDD">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A86E34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0C52ADB">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10FF923">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7B9B400">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E9B5156">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792D4433">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4062E89">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D09305D">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17146F7">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4546605">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E3DB259">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FB1F04D">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5113778">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BD6CD1D">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15E62F6">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1641055"/>
      <w:bookmarkStart w:id="77" w:name="_Toc12789059"/>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7358"/>
      <w:bookmarkStart w:id="80" w:name="_Toc485108793"/>
      <w:bookmarkStart w:id="81"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5112B17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1、移机期限：合同签订后</w:t>
      </w:r>
      <w:r>
        <w:rPr>
          <w:rFonts w:hint="default" w:ascii="宋体" w:hAnsi="宋体" w:eastAsia="宋体" w:cs="宋体"/>
          <w:color w:val="FF0000"/>
          <w:sz w:val="24"/>
          <w:szCs w:val="24"/>
          <w:shd w:val="clear" w:color="auto" w:fill="auto"/>
          <w:lang w:val="en-US" w:eastAsia="zh-CN"/>
        </w:rPr>
        <w:t>7个工作日</w:t>
      </w:r>
      <w:r>
        <w:rPr>
          <w:rFonts w:hint="eastAsia" w:ascii="宋体" w:hAnsi="宋体" w:eastAsia="宋体" w:cs="宋体"/>
          <w:color w:val="FF0000"/>
          <w:sz w:val="24"/>
          <w:szCs w:val="24"/>
          <w:shd w:val="clear" w:color="auto" w:fill="auto"/>
          <w:lang w:val="en-US" w:eastAsia="zh-CN"/>
        </w:rPr>
        <w:t>内完成移机。</w:t>
      </w:r>
    </w:p>
    <w:p w14:paraId="153B4CA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2、质保期限：</w:t>
      </w:r>
      <w:r>
        <w:rPr>
          <w:rFonts w:hint="default" w:ascii="宋体" w:hAnsi="宋体" w:eastAsia="宋体" w:cs="宋体"/>
          <w:color w:val="FF0000"/>
          <w:sz w:val="24"/>
          <w:szCs w:val="24"/>
          <w:shd w:val="clear" w:color="auto" w:fill="auto"/>
          <w:lang w:val="en-US" w:eastAsia="zh-CN"/>
        </w:rPr>
        <w:t>移机后</w:t>
      </w:r>
      <w:r>
        <w:rPr>
          <w:rFonts w:hint="eastAsia" w:ascii="宋体" w:hAnsi="宋体" w:eastAsia="宋体" w:cs="宋体"/>
          <w:color w:val="FF0000"/>
          <w:sz w:val="24"/>
          <w:szCs w:val="24"/>
          <w:shd w:val="clear" w:color="auto" w:fill="auto"/>
          <w:lang w:val="en-US" w:eastAsia="zh-CN"/>
        </w:rPr>
        <w:t>3个月内正常使用（设备自身器件老化坏损</w:t>
      </w:r>
      <w:r>
        <w:rPr>
          <w:rFonts w:hint="default" w:ascii="宋体" w:hAnsi="宋体" w:eastAsia="宋体" w:cs="宋体"/>
          <w:color w:val="FF0000"/>
          <w:sz w:val="24"/>
          <w:szCs w:val="24"/>
          <w:shd w:val="clear" w:color="auto" w:fill="auto"/>
          <w:lang w:val="en-US" w:eastAsia="zh-CN"/>
        </w:rPr>
        <w:t>或不可抗力等因素</w:t>
      </w:r>
      <w:r>
        <w:rPr>
          <w:rFonts w:hint="eastAsia" w:ascii="宋体" w:hAnsi="宋体" w:eastAsia="宋体" w:cs="宋体"/>
          <w:color w:val="FF0000"/>
          <w:sz w:val="24"/>
          <w:szCs w:val="24"/>
          <w:shd w:val="clear" w:color="auto" w:fill="auto"/>
          <w:lang w:val="en-US" w:eastAsia="zh-CN"/>
        </w:rPr>
        <w:t>除外）。</w:t>
      </w:r>
    </w:p>
    <w:p w14:paraId="61B4AE3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3、移机完成后，</w:t>
      </w:r>
      <w:r>
        <w:rPr>
          <w:rFonts w:hint="default" w:ascii="宋体" w:hAnsi="宋体" w:eastAsia="宋体" w:cs="宋体"/>
          <w:color w:val="FF0000"/>
          <w:sz w:val="24"/>
          <w:szCs w:val="24"/>
          <w:shd w:val="clear" w:color="auto" w:fill="auto"/>
          <w:lang w:val="en-US" w:eastAsia="zh-CN"/>
        </w:rPr>
        <w:t>移机服务</w:t>
      </w:r>
      <w:r>
        <w:rPr>
          <w:rFonts w:hint="eastAsia" w:ascii="宋体" w:hAnsi="宋体" w:eastAsia="宋体" w:cs="宋体"/>
          <w:color w:val="FF0000"/>
          <w:sz w:val="24"/>
          <w:szCs w:val="24"/>
          <w:shd w:val="clear" w:color="auto" w:fill="auto"/>
          <w:lang w:val="en-US" w:eastAsia="zh-CN"/>
        </w:rPr>
        <w:t>确认</w:t>
      </w:r>
      <w:r>
        <w:rPr>
          <w:rFonts w:hint="default" w:ascii="宋体" w:hAnsi="宋体" w:eastAsia="宋体" w:cs="宋体"/>
          <w:color w:val="FF0000"/>
          <w:sz w:val="24"/>
          <w:szCs w:val="24"/>
          <w:shd w:val="clear" w:color="auto" w:fill="auto"/>
          <w:lang w:val="en-US" w:eastAsia="zh-CN"/>
        </w:rPr>
        <w:t>单</w:t>
      </w:r>
      <w:r>
        <w:rPr>
          <w:rFonts w:hint="eastAsia" w:ascii="宋体" w:hAnsi="宋体" w:eastAsia="宋体" w:cs="宋体"/>
          <w:color w:val="FF0000"/>
          <w:sz w:val="24"/>
          <w:szCs w:val="24"/>
          <w:shd w:val="clear" w:color="auto" w:fill="auto"/>
          <w:lang w:val="en-US" w:eastAsia="zh-CN"/>
        </w:rPr>
        <w:t>需由</w:t>
      </w:r>
      <w:r>
        <w:rPr>
          <w:rFonts w:hint="default" w:ascii="宋体" w:hAnsi="宋体" w:eastAsia="宋体" w:cs="宋体"/>
          <w:color w:val="FF0000"/>
          <w:sz w:val="24"/>
          <w:szCs w:val="24"/>
          <w:shd w:val="clear" w:color="auto" w:fill="auto"/>
          <w:lang w:val="en-US" w:eastAsia="zh-CN"/>
        </w:rPr>
        <w:t>设备科分管工程师和使用科室相关人员签字</w:t>
      </w:r>
      <w:r>
        <w:rPr>
          <w:rFonts w:hint="eastAsia" w:ascii="宋体" w:hAnsi="宋体" w:eastAsia="宋体" w:cs="宋体"/>
          <w:color w:val="FF0000"/>
          <w:sz w:val="24"/>
          <w:szCs w:val="24"/>
          <w:shd w:val="clear" w:color="auto" w:fill="auto"/>
          <w:lang w:val="en-US" w:eastAsia="zh-CN"/>
        </w:rPr>
        <w:t>确认。移机后至少提供1次巡检服务，巡检报告需服务单位、使用科室和设备科工程师机签字确认。</w:t>
      </w:r>
    </w:p>
    <w:p w14:paraId="1FA2B8A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FF0000"/>
          <w:sz w:val="24"/>
          <w:szCs w:val="24"/>
          <w:shd w:val="clear" w:color="auto" w:fill="auto"/>
          <w:lang w:val="en-US" w:eastAsia="zh-CN"/>
        </w:rPr>
        <w:t>4、付款方式：服务完成后，成交供应商凭合法有效的发票与服务完成单据，经采购人审核无误后，60天内付款。</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14840"/>
      <w:bookmarkStart w:id="83" w:name="_Toc403569796"/>
      <w:bookmarkStart w:id="84" w:name="_Toc15711"/>
      <w:bookmarkStart w:id="85" w:name="_Toc485108794"/>
      <w:bookmarkStart w:id="86" w:name="_Toc26989"/>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30815"/>
      <w:bookmarkStart w:id="9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17879"/>
      <w:bookmarkStart w:id="9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54718204"/>
      <w:bookmarkStart w:id="100"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54718206"/>
      <w:bookmarkStart w:id="109"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54718207"/>
      <w:bookmarkStart w:id="113"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1"/>
      <w:bookmarkStart w:id="118"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31719"/>
      <w:bookmarkStart w:id="122" w:name="_Toc54718210"/>
      <w:bookmarkStart w:id="123" w:name="_Toc26580"/>
      <w:bookmarkStart w:id="124"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12789072"/>
      <w:bookmarkStart w:id="136" w:name="_Toc14085"/>
      <w:bookmarkStart w:id="137" w:name="_Toc485108795"/>
      <w:bookmarkStart w:id="138" w:name="_Toc29521"/>
      <w:bookmarkStart w:id="139" w:name="_Toc13696"/>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5685"/>
      <w:bookmarkStart w:id="148" w:name="_Toc19884"/>
      <w:bookmarkStart w:id="149"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342913419"/>
      <w:bookmarkStart w:id="152" w:name="_Toc480979018"/>
      <w:bookmarkStart w:id="153" w:name="_Toc485108796"/>
      <w:bookmarkStart w:id="154" w:name="_Toc313888360"/>
      <w:bookmarkStart w:id="155" w:name="_Toc313008356"/>
      <w:bookmarkStart w:id="156" w:name="_Toc5565"/>
      <w:bookmarkStart w:id="157" w:name="_Toc12789073"/>
      <w:bookmarkStart w:id="158"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99817B3">
      <w:pPr>
        <w:pStyle w:val="52"/>
        <w:spacing w:before="0" w:beforeAutospacing="0" w:after="0" w:afterAutospacing="0" w:line="480" w:lineRule="auto"/>
        <w:jc w:val="center"/>
        <w:rPr>
          <w:rFonts w:hint="eastAsia"/>
          <w:color w:val="000000" w:themeColor="text1"/>
          <w:sz w:val="32"/>
          <w:szCs w:val="36"/>
          <w14:textFill>
            <w14:solidFill>
              <w14:schemeClr w14:val="tx1"/>
            </w14:solidFill>
          </w14:textFill>
        </w:rPr>
      </w:pPr>
      <w:bookmarkStart w:id="159" w:name="_Toc480979019"/>
      <w:bookmarkStart w:id="160" w:name="_Toc313888361"/>
      <w:bookmarkStart w:id="161" w:name="_Toc342913420"/>
      <w:bookmarkStart w:id="162" w:name="_Toc313008357"/>
      <w:bookmarkStart w:id="163" w:name="_Toc485108797"/>
      <w:r>
        <w:rPr>
          <w:rFonts w:hint="eastAsia"/>
          <w:color w:val="000000" w:themeColor="text1"/>
          <w:sz w:val="32"/>
          <w:szCs w:val="36"/>
          <w14:textFill>
            <w14:solidFill>
              <w14:schemeClr w14:val="tx1"/>
            </w14:solidFill>
          </w14:textFill>
        </w:rPr>
        <w:t>报价表</w:t>
      </w:r>
    </w:p>
    <w:tbl>
      <w:tblPr>
        <w:tblStyle w:val="60"/>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2602"/>
        <w:gridCol w:w="5668"/>
        <w:gridCol w:w="679"/>
      </w:tblGrid>
      <w:tr w14:paraId="31AE4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346" w:type="pct"/>
            <w:vAlign w:val="center"/>
          </w:tcPr>
          <w:p w14:paraId="1E4DC746">
            <w:pPr>
              <w:snapToGrid w:val="0"/>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序号</w:t>
            </w:r>
          </w:p>
        </w:tc>
        <w:tc>
          <w:tcPr>
            <w:tcW w:w="1353" w:type="pct"/>
            <w:vAlign w:val="center"/>
          </w:tcPr>
          <w:p w14:paraId="58EC0510">
            <w:pPr>
              <w:snapToGrid w:val="0"/>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服务名称</w:t>
            </w:r>
          </w:p>
        </w:tc>
        <w:tc>
          <w:tcPr>
            <w:tcW w:w="2947" w:type="pct"/>
            <w:vAlign w:val="center"/>
          </w:tcPr>
          <w:p w14:paraId="6242D1C9">
            <w:pPr>
              <w:snapToGrid w:val="0"/>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价格（元）</w:t>
            </w:r>
          </w:p>
        </w:tc>
        <w:tc>
          <w:tcPr>
            <w:tcW w:w="353" w:type="pct"/>
            <w:vAlign w:val="center"/>
          </w:tcPr>
          <w:p w14:paraId="218BC72A">
            <w:pPr>
              <w:snapToGrid w:val="0"/>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6AB8F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346" w:type="pct"/>
            <w:vAlign w:val="center"/>
          </w:tcPr>
          <w:p w14:paraId="1FF76C72">
            <w:pPr>
              <w:snapToGrid w:val="0"/>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p>
        </w:tc>
        <w:tc>
          <w:tcPr>
            <w:tcW w:w="1353" w:type="pct"/>
            <w:vAlign w:val="center"/>
          </w:tcPr>
          <w:p w14:paraId="2FDAEC43">
            <w:pPr>
              <w:snapToGrid w:val="0"/>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检验科全自动化学发光免疫分析仪移机服务</w:t>
            </w:r>
          </w:p>
        </w:tc>
        <w:tc>
          <w:tcPr>
            <w:tcW w:w="2947" w:type="pct"/>
            <w:vAlign w:val="center"/>
          </w:tcPr>
          <w:p w14:paraId="5C89F394">
            <w:pPr>
              <w:snapToGrid w:val="0"/>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p>
        </w:tc>
        <w:tc>
          <w:tcPr>
            <w:tcW w:w="353" w:type="pct"/>
            <w:vAlign w:val="center"/>
          </w:tcPr>
          <w:p w14:paraId="1CF475C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p>
        </w:tc>
      </w:tr>
      <w:tr w14:paraId="29565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1699" w:type="pct"/>
            <w:gridSpan w:val="2"/>
            <w:vAlign w:val="center"/>
          </w:tcPr>
          <w:p w14:paraId="1453E08B">
            <w:pPr>
              <w:snapToGrid w:val="0"/>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工期（天）:</w:t>
            </w:r>
          </w:p>
        </w:tc>
        <w:tc>
          <w:tcPr>
            <w:tcW w:w="2947" w:type="pct"/>
            <w:vAlign w:val="center"/>
          </w:tcPr>
          <w:p w14:paraId="471C9D1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tc>
        <w:tc>
          <w:tcPr>
            <w:tcW w:w="353" w:type="pct"/>
            <w:vAlign w:val="center"/>
          </w:tcPr>
          <w:p w14:paraId="7B080E7D">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tc>
      </w:tr>
      <w:tr w14:paraId="0DC6B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1699" w:type="pct"/>
            <w:gridSpan w:val="2"/>
            <w:vAlign w:val="center"/>
          </w:tcPr>
          <w:p w14:paraId="5A818467">
            <w:pPr>
              <w:snapToGrid w:val="0"/>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质保期（年）：</w:t>
            </w:r>
          </w:p>
        </w:tc>
        <w:tc>
          <w:tcPr>
            <w:tcW w:w="2947" w:type="pct"/>
            <w:vAlign w:val="center"/>
          </w:tcPr>
          <w:p w14:paraId="51D7249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tc>
        <w:tc>
          <w:tcPr>
            <w:tcW w:w="353" w:type="pct"/>
            <w:vAlign w:val="center"/>
          </w:tcPr>
          <w:p w14:paraId="61BBBF9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tc>
      </w:tr>
    </w:tbl>
    <w:p w14:paraId="1C813957">
      <w:pPr>
        <w:pStyle w:val="52"/>
        <w:spacing w:before="0" w:beforeAutospacing="0" w:after="0" w:afterAutospacing="0" w:line="480" w:lineRule="exact"/>
        <w:ind w:firstLine="420" w:firstLineChars="150"/>
        <w:rPr>
          <w:rFonts w:hint="eastAsia" w:eastAsia="宋体" w:cs="MS Shell Dlg"/>
          <w:color w:val="000000" w:themeColor="text1"/>
          <w:sz w:val="28"/>
          <w:szCs w:val="28"/>
          <w:lang w:eastAsia="zh-CN"/>
          <w14:textFill>
            <w14:solidFill>
              <w14:schemeClr w14:val="tx1"/>
            </w14:solidFill>
          </w14:textFill>
        </w:rPr>
      </w:pPr>
      <w:r>
        <w:rPr>
          <w:rFonts w:hint="eastAsia" w:cs="MS Shell Dlg"/>
          <w:color w:val="000000" w:themeColor="text1"/>
          <w:sz w:val="28"/>
          <w:szCs w:val="28"/>
          <w14:textFill>
            <w14:solidFill>
              <w14:schemeClr w14:val="tx1"/>
            </w14:solidFill>
          </w14:textFill>
        </w:rPr>
        <w:t>注：</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报价为包干价，包含货物费、服务费、人工费、车费、住宿费、餐饮费、材料费、保险费、代理费、税金费用等的费用，均由成交供应商承担。</w:t>
      </w:r>
    </w:p>
    <w:p w14:paraId="1878383B">
      <w:pPr>
        <w:rPr>
          <w:rFonts w:hint="eastAsia" w:ascii="宋体" w:hAnsi="宋体" w:eastAsia="宋体" w:cs="宋体"/>
          <w:b/>
          <w:color w:val="000000" w:themeColor="text1"/>
          <w:shd w:val="clear" w:color="auto" w:fill="auto"/>
          <w14:textFill>
            <w14:solidFill>
              <w14:schemeClr w14:val="tx1"/>
            </w14:solidFill>
          </w14:textFill>
        </w:rPr>
      </w:pPr>
    </w:p>
    <w:p w14:paraId="48343238">
      <w:pPr>
        <w:rPr>
          <w:rFonts w:hint="eastAsia" w:ascii="宋体" w:hAnsi="宋体" w:eastAsia="宋体" w:cs="宋体"/>
          <w:b/>
          <w:color w:val="000000" w:themeColor="text1"/>
          <w:shd w:val="clear" w:color="auto" w:fill="auto"/>
          <w14:textFill>
            <w14:solidFill>
              <w14:schemeClr w14:val="tx1"/>
            </w14:solidFill>
          </w14:textFill>
        </w:rPr>
      </w:pPr>
    </w:p>
    <w:p w14:paraId="0DC178AD">
      <w:pPr>
        <w:rPr>
          <w:rFonts w:hint="eastAsia" w:ascii="宋体" w:hAnsi="宋体" w:eastAsia="宋体" w:cs="宋体"/>
          <w:b/>
          <w:color w:val="000000" w:themeColor="text1"/>
          <w:shd w:val="clear" w:color="auto" w:fill="auto"/>
          <w14:textFill>
            <w14:solidFill>
              <w14:schemeClr w14:val="tx1"/>
            </w14:solidFill>
          </w14:textFill>
        </w:rPr>
      </w:pPr>
    </w:p>
    <w:p w14:paraId="68157868">
      <w:pPr>
        <w:rPr>
          <w:rFonts w:hint="eastAsia" w:ascii="宋体" w:hAnsi="宋体" w:eastAsia="宋体" w:cs="宋体"/>
          <w:b/>
          <w:color w:val="000000" w:themeColor="text1"/>
          <w:shd w:val="clear" w:color="auto" w:fill="auto"/>
          <w14:textFill>
            <w14:solidFill>
              <w14:schemeClr w14:val="tx1"/>
            </w14:solidFill>
          </w14:textFill>
        </w:rPr>
      </w:pPr>
    </w:p>
    <w:p w14:paraId="0335DAC4">
      <w:pPr>
        <w:rPr>
          <w:rFonts w:hint="eastAsia" w:ascii="宋体" w:hAnsi="宋体" w:eastAsia="宋体" w:cs="宋体"/>
          <w:b/>
          <w:color w:val="000000" w:themeColor="text1"/>
          <w:shd w:val="clear" w:color="auto" w:fill="auto"/>
          <w14:textFill>
            <w14:solidFill>
              <w14:schemeClr w14:val="tx1"/>
            </w14:solidFill>
          </w14:textFill>
        </w:rPr>
      </w:pPr>
    </w:p>
    <w:p w14:paraId="52105755">
      <w:pPr>
        <w:rPr>
          <w:rFonts w:hint="eastAsia" w:ascii="宋体" w:hAnsi="宋体" w:eastAsia="宋体" w:cs="宋体"/>
          <w:b/>
          <w:color w:val="000000" w:themeColor="text1"/>
          <w:shd w:val="clear" w:color="auto" w:fill="auto"/>
          <w14:textFill>
            <w14:solidFill>
              <w14:schemeClr w14:val="tx1"/>
            </w14:solidFill>
          </w14:textFill>
        </w:rPr>
      </w:pPr>
    </w:p>
    <w:p w14:paraId="09326B87">
      <w:pPr>
        <w:rPr>
          <w:rFonts w:hint="eastAsia" w:ascii="宋体" w:hAnsi="宋体" w:eastAsia="宋体" w:cs="宋体"/>
          <w:b/>
          <w:color w:val="000000" w:themeColor="text1"/>
          <w:shd w:val="clear" w:color="auto" w:fill="auto"/>
          <w14:textFill>
            <w14:solidFill>
              <w14:schemeClr w14:val="tx1"/>
            </w14:solidFill>
          </w14:textFill>
        </w:rPr>
      </w:pPr>
    </w:p>
    <w:p w14:paraId="08B77225">
      <w:pPr>
        <w:rPr>
          <w:rFonts w:hint="eastAsia" w:ascii="宋体" w:hAnsi="宋体" w:eastAsia="宋体" w:cs="宋体"/>
          <w:b/>
          <w:color w:val="000000" w:themeColor="text1"/>
          <w:shd w:val="clear" w:color="auto" w:fill="auto"/>
          <w14:textFill>
            <w14:solidFill>
              <w14:schemeClr w14:val="tx1"/>
            </w14:solidFill>
          </w14:textFill>
        </w:rPr>
      </w:pPr>
    </w:p>
    <w:p w14:paraId="015D3B6C">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4" w:name="_Toc9883"/>
      <w:bookmarkStart w:id="165" w:name="_Toc12908"/>
    </w:p>
    <w:p w14:paraId="061383A8">
      <w:pPr>
        <w:outlineLvl w:val="0"/>
        <w:rPr>
          <w:rFonts w:hint="eastAsia" w:ascii="宋体" w:hAnsi="宋体" w:eastAsia="宋体" w:cs="宋体"/>
          <w:b/>
          <w:color w:val="000000" w:themeColor="text1"/>
          <w:shd w:val="clear" w:color="auto" w:fill="auto"/>
          <w14:textFill>
            <w14:solidFill>
              <w14:schemeClr w14:val="tx1"/>
            </w14:solidFill>
          </w14:textFill>
        </w:rPr>
      </w:pPr>
    </w:p>
    <w:p w14:paraId="4FBE3865">
      <w:pPr>
        <w:outlineLvl w:val="0"/>
        <w:rPr>
          <w:rFonts w:hint="eastAsia" w:ascii="宋体" w:hAnsi="宋体" w:eastAsia="宋体" w:cs="宋体"/>
          <w:b/>
          <w:color w:val="000000" w:themeColor="text1"/>
          <w:shd w:val="clear" w:color="auto" w:fill="auto"/>
          <w14:textFill>
            <w14:solidFill>
              <w14:schemeClr w14:val="tx1"/>
            </w14:solidFill>
          </w14:textFill>
        </w:rPr>
      </w:pPr>
    </w:p>
    <w:p w14:paraId="424290A1">
      <w:pPr>
        <w:outlineLvl w:val="0"/>
        <w:rPr>
          <w:rFonts w:hint="eastAsia" w:ascii="宋体" w:hAnsi="宋体" w:eastAsia="宋体" w:cs="宋体"/>
          <w:b/>
          <w:color w:val="000000" w:themeColor="text1"/>
          <w:shd w:val="clear" w:color="auto" w:fill="auto"/>
          <w14:textFill>
            <w14:solidFill>
              <w14:schemeClr w14:val="tx1"/>
            </w14:solidFill>
          </w14:textFill>
        </w:rPr>
      </w:pPr>
    </w:p>
    <w:p w14:paraId="163D9784">
      <w:pPr>
        <w:outlineLvl w:val="0"/>
        <w:rPr>
          <w:rFonts w:hint="eastAsia" w:ascii="宋体" w:hAnsi="宋体" w:eastAsia="宋体" w:cs="宋体"/>
          <w:b/>
          <w:color w:val="000000" w:themeColor="text1"/>
          <w:shd w:val="clear" w:color="auto" w:fill="auto"/>
          <w14:textFill>
            <w14:solidFill>
              <w14:schemeClr w14:val="tx1"/>
            </w14:solidFill>
          </w14:textFill>
        </w:rPr>
      </w:pPr>
    </w:p>
    <w:p w14:paraId="7337E677">
      <w:pPr>
        <w:outlineLvl w:val="0"/>
        <w:rPr>
          <w:rFonts w:hint="eastAsia" w:ascii="宋体" w:hAnsi="宋体" w:eastAsia="宋体" w:cs="宋体"/>
          <w:b/>
          <w:color w:val="000000" w:themeColor="text1"/>
          <w:shd w:val="clear" w:color="auto" w:fill="auto"/>
          <w14:textFill>
            <w14:solidFill>
              <w14:schemeClr w14:val="tx1"/>
            </w14:solidFill>
          </w14:textFill>
        </w:rPr>
      </w:pPr>
    </w:p>
    <w:p w14:paraId="15C42E5C">
      <w:pPr>
        <w:outlineLvl w:val="0"/>
        <w:rPr>
          <w:rFonts w:hint="eastAsia" w:ascii="宋体" w:hAnsi="宋体" w:eastAsia="宋体" w:cs="宋体"/>
          <w:b/>
          <w:color w:val="000000" w:themeColor="text1"/>
          <w:shd w:val="clear" w:color="auto" w:fill="auto"/>
          <w14:textFill>
            <w14:solidFill>
              <w14:schemeClr w14:val="tx1"/>
            </w14:solidFill>
          </w14:textFill>
        </w:rPr>
      </w:pPr>
    </w:p>
    <w:p w14:paraId="69D4A9A3">
      <w:pPr>
        <w:outlineLvl w:val="0"/>
        <w:rPr>
          <w:rFonts w:hint="eastAsia" w:ascii="宋体" w:hAnsi="宋体" w:eastAsia="宋体" w:cs="宋体"/>
          <w:b/>
          <w:color w:val="000000" w:themeColor="text1"/>
          <w:shd w:val="clear" w:color="auto" w:fill="auto"/>
          <w14:textFill>
            <w14:solidFill>
              <w14:schemeClr w14:val="tx1"/>
            </w14:solidFill>
          </w14:textFill>
        </w:rPr>
      </w:pPr>
    </w:p>
    <w:p w14:paraId="340F0CFA">
      <w:pPr>
        <w:outlineLvl w:val="0"/>
        <w:rPr>
          <w:rFonts w:hint="eastAsia" w:ascii="宋体" w:hAnsi="宋体" w:eastAsia="宋体" w:cs="宋体"/>
          <w:b/>
          <w:color w:val="000000" w:themeColor="text1"/>
          <w:shd w:val="clear" w:color="auto" w:fill="auto"/>
          <w14:textFill>
            <w14:solidFill>
              <w14:schemeClr w14:val="tx1"/>
            </w14:solidFill>
          </w14:textFill>
        </w:rPr>
      </w:pPr>
    </w:p>
    <w:p w14:paraId="45281410">
      <w:pPr>
        <w:outlineLvl w:val="0"/>
        <w:rPr>
          <w:rFonts w:hint="eastAsia" w:ascii="宋体" w:hAnsi="宋体" w:eastAsia="宋体" w:cs="宋体"/>
          <w:b/>
          <w:color w:val="000000" w:themeColor="text1"/>
          <w:shd w:val="clear" w:color="auto" w:fill="auto"/>
          <w14:textFill>
            <w14:solidFill>
              <w14:schemeClr w14:val="tx1"/>
            </w14:solidFill>
          </w14:textFill>
        </w:rPr>
      </w:pPr>
    </w:p>
    <w:p w14:paraId="323C9209">
      <w:pPr>
        <w:outlineLvl w:val="0"/>
        <w:rPr>
          <w:rFonts w:hint="eastAsia" w:ascii="宋体" w:hAnsi="宋体" w:eastAsia="宋体" w:cs="宋体"/>
          <w:b/>
          <w:color w:val="000000" w:themeColor="text1"/>
          <w:shd w:val="clear" w:color="auto" w:fill="auto"/>
          <w14:textFill>
            <w14:solidFill>
              <w14:schemeClr w14:val="tx1"/>
            </w14:solidFill>
          </w14:textFill>
        </w:rPr>
      </w:pPr>
    </w:p>
    <w:p w14:paraId="1CE1F296">
      <w:pPr>
        <w:outlineLvl w:val="0"/>
        <w:rPr>
          <w:rFonts w:hint="eastAsia" w:ascii="宋体" w:hAnsi="宋体" w:eastAsia="宋体" w:cs="宋体"/>
          <w:b/>
          <w:color w:val="000000" w:themeColor="text1"/>
          <w:shd w:val="clear" w:color="auto" w:fill="auto"/>
          <w14:textFill>
            <w14:solidFill>
              <w14:schemeClr w14:val="tx1"/>
            </w14:solidFill>
          </w14:textFill>
        </w:rPr>
      </w:pPr>
    </w:p>
    <w:p w14:paraId="67DBCEE7">
      <w:pPr>
        <w:outlineLvl w:val="0"/>
        <w:rPr>
          <w:rFonts w:hint="eastAsia" w:ascii="宋体" w:hAnsi="宋体" w:eastAsia="宋体" w:cs="宋体"/>
          <w:b/>
          <w:color w:val="000000" w:themeColor="text1"/>
          <w:shd w:val="clear" w:color="auto" w:fill="auto"/>
          <w14:textFill>
            <w14:solidFill>
              <w14:schemeClr w14:val="tx1"/>
            </w14:solidFill>
          </w14:textFill>
        </w:rPr>
      </w:pPr>
    </w:p>
    <w:p w14:paraId="54AED090">
      <w:pPr>
        <w:outlineLvl w:val="0"/>
        <w:rPr>
          <w:rFonts w:hint="eastAsia" w:ascii="宋体" w:hAnsi="宋体" w:eastAsia="宋体" w:cs="宋体"/>
          <w:b/>
          <w:color w:val="000000" w:themeColor="text1"/>
          <w:shd w:val="clear" w:color="auto" w:fill="auto"/>
          <w14:textFill>
            <w14:solidFill>
              <w14:schemeClr w14:val="tx1"/>
            </w14:solidFill>
          </w14:textFill>
        </w:rPr>
      </w:pPr>
    </w:p>
    <w:p w14:paraId="7BA9FF71">
      <w:pPr>
        <w:outlineLvl w:val="0"/>
        <w:rPr>
          <w:rFonts w:hint="eastAsia" w:ascii="宋体" w:hAnsi="宋体" w:eastAsia="宋体" w:cs="宋体"/>
          <w:b/>
          <w:color w:val="000000" w:themeColor="text1"/>
          <w:shd w:val="clear" w:color="auto" w:fill="auto"/>
          <w14:textFill>
            <w14:solidFill>
              <w14:schemeClr w14:val="tx1"/>
            </w14:solidFill>
          </w14:textFill>
        </w:rPr>
      </w:pPr>
    </w:p>
    <w:p w14:paraId="0B3496D9">
      <w:pPr>
        <w:outlineLvl w:val="0"/>
        <w:rPr>
          <w:rFonts w:hint="eastAsia" w:ascii="宋体" w:hAnsi="宋体" w:eastAsia="宋体" w:cs="宋体"/>
          <w:b/>
          <w:color w:val="000000" w:themeColor="text1"/>
          <w:shd w:val="clear" w:color="auto" w:fill="auto"/>
          <w14:textFill>
            <w14:solidFill>
              <w14:schemeClr w14:val="tx1"/>
            </w14:solidFill>
          </w14:textFill>
        </w:rPr>
      </w:pPr>
    </w:p>
    <w:p w14:paraId="4071EB66">
      <w:pPr>
        <w:outlineLvl w:val="0"/>
        <w:rPr>
          <w:rFonts w:hint="eastAsia" w:ascii="宋体" w:hAnsi="宋体" w:eastAsia="宋体" w:cs="宋体"/>
          <w:b/>
          <w:color w:val="000000" w:themeColor="text1"/>
          <w:shd w:val="clear" w:color="auto" w:fill="auto"/>
          <w14:textFill>
            <w14:solidFill>
              <w14:schemeClr w14:val="tx1"/>
            </w14:solidFill>
          </w14:textFill>
        </w:rPr>
      </w:pPr>
    </w:p>
    <w:p w14:paraId="7322EFCE">
      <w:pPr>
        <w:outlineLvl w:val="0"/>
        <w:rPr>
          <w:rFonts w:hint="eastAsia" w:ascii="宋体" w:hAnsi="宋体" w:eastAsia="宋体" w:cs="宋体"/>
          <w:b/>
          <w:color w:val="000000" w:themeColor="text1"/>
          <w:shd w:val="clear" w:color="auto" w:fill="auto"/>
          <w14:textFill>
            <w14:solidFill>
              <w14:schemeClr w14:val="tx1"/>
            </w14:solidFill>
          </w14:textFill>
        </w:rPr>
      </w:pPr>
    </w:p>
    <w:p w14:paraId="7CB5C92B">
      <w:pPr>
        <w:outlineLvl w:val="0"/>
        <w:rPr>
          <w:rFonts w:hint="eastAsia" w:ascii="宋体" w:hAnsi="宋体" w:eastAsia="宋体" w:cs="宋体"/>
          <w:b/>
          <w:color w:val="000000" w:themeColor="text1"/>
          <w:shd w:val="clear" w:color="auto" w:fill="auto"/>
          <w14:textFill>
            <w14:solidFill>
              <w14:schemeClr w14:val="tx1"/>
            </w14:solidFill>
          </w14:textFill>
        </w:rPr>
      </w:pPr>
    </w:p>
    <w:p w14:paraId="30664EAB">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13844"/>
      <w:bookmarkStart w:id="167" w:name="_Toc485108798"/>
      <w:bookmarkStart w:id="168" w:name="_Toc480979020"/>
      <w:bookmarkStart w:id="169" w:name="_Toc342913421"/>
      <w:bookmarkStart w:id="170" w:name="_Toc313888362"/>
      <w:bookmarkStart w:id="171" w:name="_Toc15203"/>
      <w:bookmarkStart w:id="172"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23584"/>
      <w:bookmarkStart w:id="178"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13888363"/>
      <w:bookmarkStart w:id="180" w:name="_Toc313008359"/>
      <w:bookmarkStart w:id="181"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7"/>
      <w:bookmarkStart w:id="183"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color w:val="000000" w:themeColor="text1"/>
          <w:szCs w:val="24"/>
          <w14:textFill>
            <w14:solidFill>
              <w14:schemeClr w14:val="tx1"/>
            </w14:solidFill>
          </w14:textFill>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27212"/>
      <w:bookmarkStart w:id="185"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352F0766-F56D-44D6-AB71-5AD837FCB7CA}"/>
  </w:font>
  <w:font w:name="MS Shell Dlg">
    <w:altName w:val="Microsoft Sans Serif"/>
    <w:panose1 w:val="020B0604020202020204"/>
    <w:charset w:val="00"/>
    <w:family w:val="swiss"/>
    <w:pitch w:val="default"/>
    <w:sig w:usb0="00000000" w:usb1="00000000" w:usb2="00000008" w:usb3="00000000" w:csb0="000101FF" w:csb1="00000000"/>
    <w:embedRegular r:id="rId2" w:fontKey="{3D743DAC-B7E6-4731-A7ED-80BF0ABB7C66}"/>
  </w:font>
  <w:font w:name="Microsoft Sans Serif">
    <w:panose1 w:val="020B0604020202020204"/>
    <w:charset w:val="00"/>
    <w:family w:val="auto"/>
    <w:pitch w:val="default"/>
    <w:sig w:usb0="E1002AFF" w:usb1="C0000002" w:usb2="00000008"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921202"/>
    <w:rsid w:val="039C4C1C"/>
    <w:rsid w:val="03BB3ADF"/>
    <w:rsid w:val="03C2134C"/>
    <w:rsid w:val="04DA26C6"/>
    <w:rsid w:val="04DE1E0F"/>
    <w:rsid w:val="04F00597"/>
    <w:rsid w:val="05E64439"/>
    <w:rsid w:val="05E94CDF"/>
    <w:rsid w:val="060E092E"/>
    <w:rsid w:val="065A1406"/>
    <w:rsid w:val="067D7A0C"/>
    <w:rsid w:val="06A45EA9"/>
    <w:rsid w:val="06BC1BB0"/>
    <w:rsid w:val="074B1659"/>
    <w:rsid w:val="07911761"/>
    <w:rsid w:val="07A921C5"/>
    <w:rsid w:val="07C5765D"/>
    <w:rsid w:val="07F26429"/>
    <w:rsid w:val="084C34CD"/>
    <w:rsid w:val="094176DB"/>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32097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3141499"/>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A4E2F"/>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246FE5"/>
    <w:rsid w:val="1C66752D"/>
    <w:rsid w:val="1C6945DA"/>
    <w:rsid w:val="1CD22D64"/>
    <w:rsid w:val="1CED540D"/>
    <w:rsid w:val="1CF33ECD"/>
    <w:rsid w:val="1CF736B7"/>
    <w:rsid w:val="1D624A3F"/>
    <w:rsid w:val="1D632E00"/>
    <w:rsid w:val="1DD87EDC"/>
    <w:rsid w:val="1DDA4D59"/>
    <w:rsid w:val="1E8652AA"/>
    <w:rsid w:val="1E9D4968"/>
    <w:rsid w:val="1EB13D33"/>
    <w:rsid w:val="1EEA6CFF"/>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4E70995"/>
    <w:rsid w:val="254D6667"/>
    <w:rsid w:val="25B67319"/>
    <w:rsid w:val="25B7688A"/>
    <w:rsid w:val="25B91E1A"/>
    <w:rsid w:val="25FF0C6B"/>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2C4917"/>
    <w:rsid w:val="2B3D6767"/>
    <w:rsid w:val="2B57565F"/>
    <w:rsid w:val="2BBD2276"/>
    <w:rsid w:val="2C812A23"/>
    <w:rsid w:val="2CDF621C"/>
    <w:rsid w:val="2CE02E81"/>
    <w:rsid w:val="2CF2794B"/>
    <w:rsid w:val="2D9073ED"/>
    <w:rsid w:val="2DDB0955"/>
    <w:rsid w:val="2DDE0220"/>
    <w:rsid w:val="2E454084"/>
    <w:rsid w:val="2E4A05E4"/>
    <w:rsid w:val="2F124686"/>
    <w:rsid w:val="2F1F1F02"/>
    <w:rsid w:val="2F2348BD"/>
    <w:rsid w:val="2F6F1AD9"/>
    <w:rsid w:val="2F831DB2"/>
    <w:rsid w:val="2F943FCB"/>
    <w:rsid w:val="2FD06C0B"/>
    <w:rsid w:val="30381B81"/>
    <w:rsid w:val="30A44277"/>
    <w:rsid w:val="30B15F03"/>
    <w:rsid w:val="30B30136"/>
    <w:rsid w:val="30CD7D7B"/>
    <w:rsid w:val="31CA4358"/>
    <w:rsid w:val="31FA7479"/>
    <w:rsid w:val="32050A97"/>
    <w:rsid w:val="32284BF5"/>
    <w:rsid w:val="324E4259"/>
    <w:rsid w:val="32DA1DD4"/>
    <w:rsid w:val="33323C73"/>
    <w:rsid w:val="3361798A"/>
    <w:rsid w:val="33861085"/>
    <w:rsid w:val="33CA5BAD"/>
    <w:rsid w:val="34311909"/>
    <w:rsid w:val="34477E1A"/>
    <w:rsid w:val="34AA7F15"/>
    <w:rsid w:val="34B44507"/>
    <w:rsid w:val="35687566"/>
    <w:rsid w:val="35B15F88"/>
    <w:rsid w:val="35D501BC"/>
    <w:rsid w:val="35E87A5C"/>
    <w:rsid w:val="3608331B"/>
    <w:rsid w:val="36382C0F"/>
    <w:rsid w:val="36834056"/>
    <w:rsid w:val="369E4A52"/>
    <w:rsid w:val="36A73740"/>
    <w:rsid w:val="36C3312C"/>
    <w:rsid w:val="36EC0B56"/>
    <w:rsid w:val="37542B62"/>
    <w:rsid w:val="375A306E"/>
    <w:rsid w:val="37D83F93"/>
    <w:rsid w:val="382D2437"/>
    <w:rsid w:val="38442273"/>
    <w:rsid w:val="384E006D"/>
    <w:rsid w:val="385D0EF3"/>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4C1E7B"/>
    <w:rsid w:val="3D6E2990"/>
    <w:rsid w:val="3DC21444"/>
    <w:rsid w:val="3DD60FEB"/>
    <w:rsid w:val="3E263CAA"/>
    <w:rsid w:val="3E491747"/>
    <w:rsid w:val="3E6B192F"/>
    <w:rsid w:val="3EA55BAC"/>
    <w:rsid w:val="3EEF12C4"/>
    <w:rsid w:val="3F150346"/>
    <w:rsid w:val="3F4757B8"/>
    <w:rsid w:val="3F591E5E"/>
    <w:rsid w:val="3F5A6C6F"/>
    <w:rsid w:val="3F7A393A"/>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720834"/>
    <w:rsid w:val="42812C89"/>
    <w:rsid w:val="428345E9"/>
    <w:rsid w:val="429D5EC0"/>
    <w:rsid w:val="42A40896"/>
    <w:rsid w:val="42A86289"/>
    <w:rsid w:val="42BD50C4"/>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056CA"/>
    <w:rsid w:val="4AD41B9B"/>
    <w:rsid w:val="4AED1C9D"/>
    <w:rsid w:val="4B357E59"/>
    <w:rsid w:val="4B597B89"/>
    <w:rsid w:val="4BE8259F"/>
    <w:rsid w:val="4C025EBB"/>
    <w:rsid w:val="4C4E289A"/>
    <w:rsid w:val="4DBE5CAD"/>
    <w:rsid w:val="4DD75684"/>
    <w:rsid w:val="4E0D2518"/>
    <w:rsid w:val="4E231003"/>
    <w:rsid w:val="4E3873B7"/>
    <w:rsid w:val="4EF70D4B"/>
    <w:rsid w:val="4F2E0C11"/>
    <w:rsid w:val="4F79418A"/>
    <w:rsid w:val="4FD3706A"/>
    <w:rsid w:val="50472E90"/>
    <w:rsid w:val="50A2078E"/>
    <w:rsid w:val="50B9275C"/>
    <w:rsid w:val="50F72CC9"/>
    <w:rsid w:val="50FE286B"/>
    <w:rsid w:val="514069D9"/>
    <w:rsid w:val="51932220"/>
    <w:rsid w:val="51BC0756"/>
    <w:rsid w:val="51D77CAA"/>
    <w:rsid w:val="52173BDE"/>
    <w:rsid w:val="5228244C"/>
    <w:rsid w:val="529620AE"/>
    <w:rsid w:val="52EB291F"/>
    <w:rsid w:val="52ED493F"/>
    <w:rsid w:val="52F55822"/>
    <w:rsid w:val="531F0FF7"/>
    <w:rsid w:val="53B56AAB"/>
    <w:rsid w:val="53E03D6D"/>
    <w:rsid w:val="53E144A4"/>
    <w:rsid w:val="54333CD5"/>
    <w:rsid w:val="546107D9"/>
    <w:rsid w:val="546E506B"/>
    <w:rsid w:val="549E2395"/>
    <w:rsid w:val="55115317"/>
    <w:rsid w:val="55297C80"/>
    <w:rsid w:val="5531155E"/>
    <w:rsid w:val="565C7750"/>
    <w:rsid w:val="56644F18"/>
    <w:rsid w:val="56A12956"/>
    <w:rsid w:val="56C54297"/>
    <w:rsid w:val="56FE5BF2"/>
    <w:rsid w:val="56FF2E93"/>
    <w:rsid w:val="576D5122"/>
    <w:rsid w:val="58506377"/>
    <w:rsid w:val="586259DC"/>
    <w:rsid w:val="58625BCC"/>
    <w:rsid w:val="58627B7D"/>
    <w:rsid w:val="58B574EB"/>
    <w:rsid w:val="58FC1D80"/>
    <w:rsid w:val="593509FB"/>
    <w:rsid w:val="598857B1"/>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9C43F3"/>
    <w:rsid w:val="6269072D"/>
    <w:rsid w:val="62A30CCB"/>
    <w:rsid w:val="62F24507"/>
    <w:rsid w:val="6352606D"/>
    <w:rsid w:val="639436E3"/>
    <w:rsid w:val="63CC3832"/>
    <w:rsid w:val="6445282D"/>
    <w:rsid w:val="645A13DB"/>
    <w:rsid w:val="64607B1A"/>
    <w:rsid w:val="646915EC"/>
    <w:rsid w:val="648C045C"/>
    <w:rsid w:val="64A83BDE"/>
    <w:rsid w:val="656A40F1"/>
    <w:rsid w:val="658C5E23"/>
    <w:rsid w:val="65F9363E"/>
    <w:rsid w:val="667E25AF"/>
    <w:rsid w:val="66815672"/>
    <w:rsid w:val="67042ACB"/>
    <w:rsid w:val="67152E14"/>
    <w:rsid w:val="67770DF7"/>
    <w:rsid w:val="679229DD"/>
    <w:rsid w:val="679C27B9"/>
    <w:rsid w:val="67CB3049"/>
    <w:rsid w:val="67FF2A16"/>
    <w:rsid w:val="682465CF"/>
    <w:rsid w:val="68EA74FF"/>
    <w:rsid w:val="6972525B"/>
    <w:rsid w:val="69C211FB"/>
    <w:rsid w:val="69FC5E8B"/>
    <w:rsid w:val="6A16113C"/>
    <w:rsid w:val="6A2A592B"/>
    <w:rsid w:val="6AD14E1A"/>
    <w:rsid w:val="6AE1793A"/>
    <w:rsid w:val="6B056872"/>
    <w:rsid w:val="6B1765A5"/>
    <w:rsid w:val="6B217424"/>
    <w:rsid w:val="6B28360F"/>
    <w:rsid w:val="6B9F4D55"/>
    <w:rsid w:val="6BAA3DD9"/>
    <w:rsid w:val="6C172D01"/>
    <w:rsid w:val="6C5B0433"/>
    <w:rsid w:val="6CC21278"/>
    <w:rsid w:val="6CC2767B"/>
    <w:rsid w:val="6D253716"/>
    <w:rsid w:val="6D342244"/>
    <w:rsid w:val="6DAB4CCB"/>
    <w:rsid w:val="6DC70D5C"/>
    <w:rsid w:val="6DDA24A1"/>
    <w:rsid w:val="6DFC3BBF"/>
    <w:rsid w:val="6E0E1C83"/>
    <w:rsid w:val="6E45126B"/>
    <w:rsid w:val="6EA047F7"/>
    <w:rsid w:val="6EFB5292"/>
    <w:rsid w:val="6F062BB9"/>
    <w:rsid w:val="6F185329"/>
    <w:rsid w:val="6F213E8F"/>
    <w:rsid w:val="6F222C16"/>
    <w:rsid w:val="70E64A50"/>
    <w:rsid w:val="71231A63"/>
    <w:rsid w:val="714B6E37"/>
    <w:rsid w:val="71C72BEE"/>
    <w:rsid w:val="72AA2579"/>
    <w:rsid w:val="73614D85"/>
    <w:rsid w:val="7363682B"/>
    <w:rsid w:val="7363763C"/>
    <w:rsid w:val="739465A0"/>
    <w:rsid w:val="73A82490"/>
    <w:rsid w:val="73AA3664"/>
    <w:rsid w:val="73B34AD5"/>
    <w:rsid w:val="73D42B6E"/>
    <w:rsid w:val="743B3E3F"/>
    <w:rsid w:val="74E41D61"/>
    <w:rsid w:val="75FF415F"/>
    <w:rsid w:val="7654465A"/>
    <w:rsid w:val="765A00C6"/>
    <w:rsid w:val="76995E63"/>
    <w:rsid w:val="77452BA0"/>
    <w:rsid w:val="774923FD"/>
    <w:rsid w:val="777E28EC"/>
    <w:rsid w:val="77B52272"/>
    <w:rsid w:val="78120C80"/>
    <w:rsid w:val="783A1618"/>
    <w:rsid w:val="788222E3"/>
    <w:rsid w:val="7908485F"/>
    <w:rsid w:val="7936053E"/>
    <w:rsid w:val="793F0B2C"/>
    <w:rsid w:val="797D07AB"/>
    <w:rsid w:val="79AC25AE"/>
    <w:rsid w:val="7AAC0A0E"/>
    <w:rsid w:val="7B237CCD"/>
    <w:rsid w:val="7B306E47"/>
    <w:rsid w:val="7B8C6B3B"/>
    <w:rsid w:val="7BB717C3"/>
    <w:rsid w:val="7BD77DB7"/>
    <w:rsid w:val="7C3F595C"/>
    <w:rsid w:val="7C507B69"/>
    <w:rsid w:val="7C683BAE"/>
    <w:rsid w:val="7C885555"/>
    <w:rsid w:val="7CBD0742"/>
    <w:rsid w:val="7CC601EC"/>
    <w:rsid w:val="7D162D31"/>
    <w:rsid w:val="7D7D55A3"/>
    <w:rsid w:val="7DE81FDD"/>
    <w:rsid w:val="7E3C60AD"/>
    <w:rsid w:val="7EC565EC"/>
    <w:rsid w:val="7EEF5417"/>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39</Pages>
  <Words>10446</Words>
  <Characters>10657</Characters>
  <Lines>182</Lines>
  <Paragraphs>51</Paragraphs>
  <TotalTime>0</TotalTime>
  <ScaleCrop>false</ScaleCrop>
  <LinksUpToDate>false</LinksUpToDate>
  <CharactersWithSpaces>10844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2025-08-04T00:27:21Z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