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2025FW089</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眼科飞秒激光角膜屈光治疗机移机服务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5875"/>
      <w:bookmarkStart w:id="3" w:name="_Toc23588"/>
      <w:bookmarkStart w:id="4" w:name="_Toc11641050"/>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眼科飞秒激光角膜屈光治疗机移机服务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28443"/>
      <w:bookmarkStart w:id="10" w:name="_Toc485108767"/>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眼科飞秒激光角膜屈光治疗机移机服务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：医院自筹,预算金额：100000元。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54718176"/>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179714298"/>
      <w:bookmarkStart w:id="42" w:name="_Toc19143"/>
      <w:bookmarkStart w:id="43" w:name="_Toc34291339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7135"/>
      <w:bookmarkStart w:id="55" w:name="_Toc34291339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7413"/>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1FF07F3">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1、数量：1台，设备品牌：卡尔蔡司，设备型号为：VisuMax。</w:t>
      </w:r>
    </w:p>
    <w:p w14:paraId="0CD51D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2、现场</w:t>
      </w:r>
      <w:r>
        <w:rPr>
          <w:rFonts w:hint="default" w:ascii="宋体" w:hAnsi="宋体" w:eastAsia="宋体" w:cs="宋体"/>
          <w:color w:val="FF0000"/>
          <w:sz w:val="24"/>
          <w:szCs w:val="24"/>
          <w:shd w:val="clear" w:color="auto" w:fill="auto"/>
          <w:lang w:val="en-US" w:eastAsia="zh-CN"/>
        </w:rPr>
        <w:t>移机</w:t>
      </w:r>
      <w:r>
        <w:rPr>
          <w:rFonts w:hint="eastAsia" w:ascii="宋体" w:hAnsi="宋体" w:eastAsia="宋体" w:cs="宋体"/>
          <w:color w:val="FF0000"/>
          <w:sz w:val="24"/>
          <w:szCs w:val="24"/>
          <w:shd w:val="clear" w:color="auto" w:fill="auto"/>
          <w:lang w:val="en-US" w:eastAsia="zh-CN"/>
        </w:rPr>
        <w:t>工程师需经过原厂培训</w:t>
      </w:r>
      <w:r>
        <w:rPr>
          <w:rFonts w:hint="default" w:ascii="宋体" w:hAnsi="宋体" w:eastAsia="宋体" w:cs="宋体"/>
          <w:color w:val="FF0000"/>
          <w:sz w:val="24"/>
          <w:szCs w:val="24"/>
          <w:shd w:val="clear" w:color="auto" w:fill="auto"/>
          <w:lang w:val="en-US" w:eastAsia="zh-CN"/>
        </w:rPr>
        <w:t>或原厂授权</w:t>
      </w:r>
      <w:r>
        <w:rPr>
          <w:rFonts w:hint="eastAsia" w:ascii="宋体" w:hAnsi="宋体" w:eastAsia="宋体" w:cs="宋体"/>
          <w:color w:val="FF0000"/>
          <w:sz w:val="24"/>
          <w:szCs w:val="24"/>
          <w:shd w:val="clear" w:color="auto" w:fill="auto"/>
          <w:lang w:val="en-US" w:eastAsia="zh-CN"/>
        </w:rPr>
        <w:t>，提供培训证书</w:t>
      </w:r>
      <w:r>
        <w:rPr>
          <w:rFonts w:hint="default" w:ascii="宋体" w:hAnsi="宋体" w:eastAsia="宋体" w:cs="宋体"/>
          <w:color w:val="FF0000"/>
          <w:sz w:val="24"/>
          <w:szCs w:val="24"/>
          <w:shd w:val="clear" w:color="auto" w:fill="auto"/>
          <w:lang w:val="en-US" w:eastAsia="zh-CN"/>
        </w:rPr>
        <w:t>或相关能力资质证明</w:t>
      </w:r>
      <w:r>
        <w:rPr>
          <w:rFonts w:hint="eastAsia" w:ascii="宋体" w:hAnsi="宋体" w:eastAsia="宋体" w:cs="宋体"/>
          <w:color w:val="FF0000"/>
          <w:sz w:val="24"/>
          <w:szCs w:val="24"/>
          <w:shd w:val="clear" w:color="auto" w:fill="auto"/>
          <w:lang w:val="en-US" w:eastAsia="zh-CN"/>
        </w:rPr>
        <w:t>。</w:t>
      </w:r>
    </w:p>
    <w:p w14:paraId="728D00D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3、供应商负责设备拆卸、运输、安装、调试及性能验证，并提供设备搬运和安装所必需的专用工具。</w:t>
      </w:r>
    </w:p>
    <w:p w14:paraId="554EDAB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4、保证设备移机后能正常使用，达到设备移机前的状态。</w:t>
      </w:r>
    </w:p>
    <w:p w14:paraId="2B7BEFE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5、移机地点：从重医附属永川医院萱花院区移动至兴龙湖院区。</w:t>
      </w:r>
    </w:p>
    <w:p w14:paraId="007E97B4">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17014"/>
      <w:bookmarkStart w:id="75" w:name="_Toc436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0FF92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B9B40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B51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2D443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062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09305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17146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454660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3DB25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B1F04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511377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BD6CD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15E62F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112B17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1、移机期限：合同签订后</w:t>
      </w:r>
      <w:r>
        <w:rPr>
          <w:rFonts w:hint="default" w:ascii="宋体" w:hAnsi="宋体" w:eastAsia="宋体" w:cs="宋体"/>
          <w:color w:val="FF0000"/>
          <w:sz w:val="24"/>
          <w:szCs w:val="24"/>
          <w:shd w:val="clear" w:color="auto" w:fill="auto"/>
          <w:lang w:val="en-US" w:eastAsia="zh-CN"/>
        </w:rPr>
        <w:t>7个工作日</w:t>
      </w:r>
      <w:r>
        <w:rPr>
          <w:rFonts w:hint="eastAsia" w:ascii="宋体" w:hAnsi="宋体" w:eastAsia="宋体" w:cs="宋体"/>
          <w:color w:val="FF0000"/>
          <w:sz w:val="24"/>
          <w:szCs w:val="24"/>
          <w:shd w:val="clear" w:color="auto" w:fill="auto"/>
          <w:lang w:val="en-US" w:eastAsia="zh-CN"/>
        </w:rPr>
        <w:t>内完成移机。</w:t>
      </w:r>
    </w:p>
    <w:p w14:paraId="153B4CA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w:t>
      </w:r>
      <w:r>
        <w:rPr>
          <w:rFonts w:hint="default" w:ascii="宋体" w:hAnsi="宋体" w:eastAsia="宋体" w:cs="宋体"/>
          <w:color w:val="FF0000"/>
          <w:sz w:val="24"/>
          <w:szCs w:val="24"/>
          <w:shd w:val="clear" w:color="auto" w:fill="auto"/>
          <w:lang w:val="en-US" w:eastAsia="zh-CN"/>
        </w:rPr>
        <w:t>移机后</w:t>
      </w:r>
      <w:r>
        <w:rPr>
          <w:rFonts w:hint="eastAsia" w:ascii="宋体" w:hAnsi="宋体" w:eastAsia="宋体" w:cs="宋体"/>
          <w:color w:val="FF0000"/>
          <w:sz w:val="24"/>
          <w:szCs w:val="24"/>
          <w:shd w:val="clear" w:color="auto" w:fill="auto"/>
          <w:lang w:val="en-US" w:eastAsia="zh-CN"/>
        </w:rPr>
        <w:t>3个月内正常使用（设备自身器件老化坏损</w:t>
      </w:r>
      <w:r>
        <w:rPr>
          <w:rFonts w:hint="default" w:ascii="宋体" w:hAnsi="宋体" w:eastAsia="宋体" w:cs="宋体"/>
          <w:color w:val="FF0000"/>
          <w:sz w:val="24"/>
          <w:szCs w:val="24"/>
          <w:shd w:val="clear" w:color="auto" w:fill="auto"/>
          <w:lang w:val="en-US" w:eastAsia="zh-CN"/>
        </w:rPr>
        <w:t>或不可抗力等因素</w:t>
      </w:r>
      <w:r>
        <w:rPr>
          <w:rFonts w:hint="eastAsia" w:ascii="宋体" w:hAnsi="宋体" w:eastAsia="宋体" w:cs="宋体"/>
          <w:color w:val="FF0000"/>
          <w:sz w:val="24"/>
          <w:szCs w:val="24"/>
          <w:shd w:val="clear" w:color="auto" w:fill="auto"/>
          <w:lang w:val="en-US" w:eastAsia="zh-CN"/>
        </w:rPr>
        <w:t>除外）。</w:t>
      </w:r>
    </w:p>
    <w:p w14:paraId="61B4AE3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3、移机完成后，</w:t>
      </w:r>
      <w:r>
        <w:rPr>
          <w:rFonts w:hint="default" w:ascii="宋体" w:hAnsi="宋体" w:eastAsia="宋体" w:cs="宋体"/>
          <w:color w:val="FF0000"/>
          <w:sz w:val="24"/>
          <w:szCs w:val="24"/>
          <w:shd w:val="clear" w:color="auto" w:fill="auto"/>
          <w:lang w:val="en-US" w:eastAsia="zh-CN"/>
        </w:rPr>
        <w:t>移机服务</w:t>
      </w:r>
      <w:r>
        <w:rPr>
          <w:rFonts w:hint="eastAsia" w:ascii="宋体" w:hAnsi="宋体" w:eastAsia="宋体" w:cs="宋体"/>
          <w:color w:val="FF0000"/>
          <w:sz w:val="24"/>
          <w:szCs w:val="24"/>
          <w:shd w:val="clear" w:color="auto" w:fill="auto"/>
          <w:lang w:val="en-US" w:eastAsia="zh-CN"/>
        </w:rPr>
        <w:t>确认</w:t>
      </w:r>
      <w:r>
        <w:rPr>
          <w:rFonts w:hint="default" w:ascii="宋体" w:hAnsi="宋体" w:eastAsia="宋体" w:cs="宋体"/>
          <w:color w:val="FF0000"/>
          <w:sz w:val="24"/>
          <w:szCs w:val="24"/>
          <w:shd w:val="clear" w:color="auto" w:fill="auto"/>
          <w:lang w:val="en-US" w:eastAsia="zh-CN"/>
        </w:rPr>
        <w:t>单</w:t>
      </w:r>
      <w:r>
        <w:rPr>
          <w:rFonts w:hint="eastAsia" w:ascii="宋体" w:hAnsi="宋体" w:eastAsia="宋体" w:cs="宋体"/>
          <w:color w:val="FF0000"/>
          <w:sz w:val="24"/>
          <w:szCs w:val="24"/>
          <w:shd w:val="clear" w:color="auto" w:fill="auto"/>
          <w:lang w:val="en-US" w:eastAsia="zh-CN"/>
        </w:rPr>
        <w:t>需由</w:t>
      </w:r>
      <w:r>
        <w:rPr>
          <w:rFonts w:hint="default" w:ascii="宋体" w:hAnsi="宋体" w:eastAsia="宋体" w:cs="宋体"/>
          <w:color w:val="FF0000"/>
          <w:sz w:val="24"/>
          <w:szCs w:val="24"/>
          <w:shd w:val="clear" w:color="auto" w:fill="auto"/>
          <w:lang w:val="en-US" w:eastAsia="zh-CN"/>
        </w:rPr>
        <w:t>设备科分管工程师和使用科室相关人员签字</w:t>
      </w:r>
      <w:r>
        <w:rPr>
          <w:rFonts w:hint="eastAsia" w:ascii="宋体" w:hAnsi="宋体" w:eastAsia="宋体" w:cs="宋体"/>
          <w:color w:val="FF0000"/>
          <w:sz w:val="24"/>
          <w:szCs w:val="24"/>
          <w:shd w:val="clear" w:color="auto" w:fill="auto"/>
          <w:lang w:val="en-US" w:eastAsia="zh-CN"/>
        </w:rPr>
        <w:t>确认。移机后至少提供1次巡检服务，巡检报告需服务单位、使用科室和设备科工程师机签字确认。</w:t>
      </w:r>
    </w:p>
    <w:p w14:paraId="1FA2B8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4、付款方式：服务完成后，成交供应商凭合法有效的发票与服务完成单据，经采购人审核无误后，60天内付款。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29521"/>
      <w:bookmarkStart w:id="137" w:name="_Toc485108795"/>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5565"/>
      <w:bookmarkStart w:id="152" w:name="_Toc313008356"/>
      <w:bookmarkStart w:id="153" w:name="_Toc342913419"/>
      <w:bookmarkStart w:id="154" w:name="_Toc480979018"/>
      <w:bookmarkStart w:id="155" w:name="_Toc485108796"/>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313008357"/>
      <w:bookmarkStart w:id="160" w:name="_Toc342913420"/>
      <w:bookmarkStart w:id="161" w:name="_Toc313888361"/>
      <w:bookmarkStart w:id="162" w:name="_Toc480979019"/>
      <w:bookmarkStart w:id="163" w:name="_Toc485108797"/>
      <w:r>
        <w:rPr>
          <w:rFonts w:hint="eastAsia"/>
          <w:color w:val="000000" w:themeColor="text1"/>
          <w:sz w:val="32"/>
          <w:szCs w:val="36"/>
          <w14:textFill>
            <w14:solidFill>
              <w14:schemeClr w14:val="tx1"/>
            </w14:solidFill>
          </w14:textFill>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02"/>
        <w:gridCol w:w="5668"/>
        <w:gridCol w:w="679"/>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1353" w:type="pct"/>
            <w:vAlign w:val="center"/>
          </w:tcPr>
          <w:p w14:paraId="58EC0510">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服务名称</w:t>
            </w:r>
          </w:p>
        </w:tc>
        <w:tc>
          <w:tcPr>
            <w:tcW w:w="2947" w:type="pct"/>
            <w:vAlign w:val="center"/>
          </w:tcPr>
          <w:p w14:paraId="6242D1C9">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价格（元）</w:t>
            </w:r>
          </w:p>
        </w:tc>
        <w:tc>
          <w:tcPr>
            <w:tcW w:w="353" w:type="pct"/>
            <w:vAlign w:val="center"/>
          </w:tcPr>
          <w:p w14:paraId="218BC72A">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1353" w:type="pct"/>
            <w:vAlign w:val="center"/>
          </w:tcPr>
          <w:p w14:paraId="2FDAEC43">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眼科飞秒激光角膜屈光治疗机移机服务</w:t>
            </w:r>
          </w:p>
        </w:tc>
        <w:tc>
          <w:tcPr>
            <w:tcW w:w="2947" w:type="pct"/>
            <w:vAlign w:val="center"/>
          </w:tcPr>
          <w:p w14:paraId="5C89F394">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c>
          <w:tcPr>
            <w:tcW w:w="353" w:type="pct"/>
            <w:vAlign w:val="center"/>
          </w:tcPr>
          <w:p w14:paraId="1CF475C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r>
      <w:tr w14:paraId="2956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1453E08B">
            <w:pPr>
              <w:snapToGrid w:val="0"/>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工期（天）:</w:t>
            </w:r>
          </w:p>
        </w:tc>
        <w:tc>
          <w:tcPr>
            <w:tcW w:w="2947" w:type="pct"/>
            <w:vAlign w:val="center"/>
          </w:tcPr>
          <w:p w14:paraId="471C9D1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7B080E7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0DC6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5A818467">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质保期（年）：</w:t>
            </w:r>
          </w:p>
        </w:tc>
        <w:tc>
          <w:tcPr>
            <w:tcW w:w="2947" w:type="pct"/>
            <w:vAlign w:val="center"/>
          </w:tcPr>
          <w:p w14:paraId="51D7249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61BBBF9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12908"/>
      <w:bookmarkStart w:id="165" w:name="_Toc9883"/>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CE1F296">
      <w:pPr>
        <w:outlineLvl w:val="0"/>
        <w:rPr>
          <w:rFonts w:hint="eastAsia" w:ascii="宋体" w:hAnsi="宋体" w:eastAsia="宋体" w:cs="宋体"/>
          <w:b/>
          <w:color w:val="000000" w:themeColor="text1"/>
          <w:shd w:val="clear" w:color="auto" w:fill="auto"/>
          <w14:textFill>
            <w14:solidFill>
              <w14:schemeClr w14:val="tx1"/>
            </w14:solidFill>
          </w14:textFill>
        </w:rPr>
      </w:pPr>
    </w:p>
    <w:p w14:paraId="67DBCEE7">
      <w:pPr>
        <w:outlineLvl w:val="0"/>
        <w:rPr>
          <w:rFonts w:hint="eastAsia" w:ascii="宋体" w:hAnsi="宋体" w:eastAsia="宋体" w:cs="宋体"/>
          <w:b/>
          <w:color w:val="000000" w:themeColor="text1"/>
          <w:shd w:val="clear" w:color="auto" w:fill="auto"/>
          <w14:textFill>
            <w14:solidFill>
              <w14:schemeClr w14:val="tx1"/>
            </w14:solidFill>
          </w14:textFill>
        </w:rPr>
      </w:pPr>
    </w:p>
    <w:p w14:paraId="54AED090">
      <w:pPr>
        <w:outlineLvl w:val="0"/>
        <w:rPr>
          <w:rFonts w:hint="eastAsia" w:ascii="宋体" w:hAnsi="宋体" w:eastAsia="宋体" w:cs="宋体"/>
          <w:b/>
          <w:color w:val="000000" w:themeColor="text1"/>
          <w:shd w:val="clear" w:color="auto" w:fill="auto"/>
          <w14:textFill>
            <w14:solidFill>
              <w14:schemeClr w14:val="tx1"/>
            </w14:solidFill>
          </w14:textFill>
        </w:rPr>
      </w:pPr>
    </w:p>
    <w:p w14:paraId="7BA9FF71">
      <w:pPr>
        <w:outlineLvl w:val="0"/>
        <w:rPr>
          <w:rFonts w:hint="eastAsia" w:ascii="宋体" w:hAnsi="宋体" w:eastAsia="宋体" w:cs="宋体"/>
          <w:b/>
          <w:color w:val="000000" w:themeColor="text1"/>
          <w:shd w:val="clear" w:color="auto" w:fill="auto"/>
          <w14:textFill>
            <w14:solidFill>
              <w14:schemeClr w14:val="tx1"/>
            </w14:solidFill>
          </w14:textFill>
        </w:rPr>
      </w:pPr>
    </w:p>
    <w:p w14:paraId="0B3496D9">
      <w:pPr>
        <w:outlineLvl w:val="0"/>
        <w:rPr>
          <w:rFonts w:hint="eastAsia" w:ascii="宋体" w:hAnsi="宋体" w:eastAsia="宋体" w:cs="宋体"/>
          <w:b/>
          <w:color w:val="000000" w:themeColor="text1"/>
          <w:shd w:val="clear" w:color="auto" w:fill="auto"/>
          <w14:textFill>
            <w14:solidFill>
              <w14:schemeClr w14:val="tx1"/>
            </w14:solidFill>
          </w14:textFill>
        </w:rPr>
      </w:pPr>
    </w:p>
    <w:p w14:paraId="4071EB66">
      <w:pPr>
        <w:outlineLvl w:val="0"/>
        <w:rPr>
          <w:rFonts w:hint="eastAsia" w:ascii="宋体" w:hAnsi="宋体" w:eastAsia="宋体" w:cs="宋体"/>
          <w:b/>
          <w:color w:val="000000" w:themeColor="text1"/>
          <w:shd w:val="clear" w:color="auto" w:fill="auto"/>
          <w14:textFill>
            <w14:solidFill>
              <w14:schemeClr w14:val="tx1"/>
            </w14:solidFill>
          </w14:textFill>
        </w:rPr>
      </w:pPr>
    </w:p>
    <w:p w14:paraId="7322EFCE">
      <w:pPr>
        <w:outlineLvl w:val="0"/>
        <w:rPr>
          <w:rFonts w:hint="eastAsia" w:ascii="宋体" w:hAnsi="宋体" w:eastAsia="宋体" w:cs="宋体"/>
          <w:b/>
          <w:color w:val="000000" w:themeColor="text1"/>
          <w:shd w:val="clear" w:color="auto" w:fill="auto"/>
          <w14:textFill>
            <w14:solidFill>
              <w14:schemeClr w14:val="tx1"/>
            </w14:solidFill>
          </w14:textFill>
        </w:rPr>
      </w:pPr>
    </w:p>
    <w:p w14:paraId="7CB5C92B">
      <w:pPr>
        <w:outlineLvl w:val="0"/>
        <w:rPr>
          <w:rFonts w:hint="eastAsia" w:ascii="宋体" w:hAnsi="宋体" w:eastAsia="宋体" w:cs="宋体"/>
          <w:b/>
          <w:color w:val="000000" w:themeColor="text1"/>
          <w:shd w:val="clear" w:color="auto" w:fill="auto"/>
          <w14:textFill>
            <w14:solidFill>
              <w14:schemeClr w14:val="tx1"/>
            </w14:solidFill>
          </w14:textFill>
        </w:rPr>
      </w:pPr>
    </w:p>
    <w:p w14:paraId="30664EAB">
      <w:pPr>
        <w:outlineLvl w:val="0"/>
        <w:rPr>
          <w:rFonts w:hint="eastAsia" w:ascii="宋体" w:hAnsi="宋体" w:eastAsia="宋体" w:cs="宋体"/>
          <w:b/>
          <w:color w:val="000000" w:themeColor="text1"/>
          <w:shd w:val="clear" w:color="auto" w:fill="auto"/>
          <w14:textFill>
            <w14:solidFill>
              <w14:schemeClr w14:val="tx1"/>
            </w14:solidFill>
          </w14:textFill>
        </w:rPr>
      </w:pPr>
    </w:p>
    <w:p w14:paraId="66D4F16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5203"/>
      <w:bookmarkStart w:id="167" w:name="_Toc313008358"/>
      <w:bookmarkStart w:id="168" w:name="_Toc342913421"/>
      <w:bookmarkStart w:id="169" w:name="_Toc485108798"/>
      <w:bookmarkStart w:id="170" w:name="_Toc313888362"/>
      <w:bookmarkStart w:id="171" w:name="_Toc13844"/>
      <w:bookmarkStart w:id="17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13888363"/>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67092BE4-CE02-4FC7-AFCD-8004028BBA05}"/>
  </w:font>
  <w:font w:name="MS Shell Dlg">
    <w:altName w:val="Microsoft Sans Serif"/>
    <w:panose1 w:val="020B0604020202020204"/>
    <w:charset w:val="00"/>
    <w:family w:val="swiss"/>
    <w:pitch w:val="default"/>
    <w:sig w:usb0="00000000" w:usb1="00000000" w:usb2="00000008" w:usb3="00000000" w:csb0="000101FF" w:csb1="00000000"/>
    <w:embedRegular r:id="rId2" w:fontKey="{95AE1E9A-66AE-4009-B4B7-5F0C7E4BAE78}"/>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A921C5"/>
    <w:rsid w:val="07C5765D"/>
    <w:rsid w:val="07F26429"/>
    <w:rsid w:val="084C34CD"/>
    <w:rsid w:val="094176DB"/>
    <w:rsid w:val="0A2D49F2"/>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02656"/>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357E59"/>
    <w:rsid w:val="4B597B89"/>
    <w:rsid w:val="4BE8259F"/>
    <w:rsid w:val="4C025EBB"/>
    <w:rsid w:val="4C4E289A"/>
    <w:rsid w:val="4C725EC1"/>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857B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3E0BCE"/>
    <w:rsid w:val="619C43F3"/>
    <w:rsid w:val="6269072D"/>
    <w:rsid w:val="62A30CCB"/>
    <w:rsid w:val="62F24507"/>
    <w:rsid w:val="6352606D"/>
    <w:rsid w:val="639436E3"/>
    <w:rsid w:val="63CC3832"/>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6515EA"/>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F415F"/>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13673</Words>
  <Characters>14086</Characters>
  <Lines>182</Lines>
  <Paragraphs>51</Paragraphs>
  <TotalTime>0</TotalTime>
  <ScaleCrop>false</ScaleCrop>
  <LinksUpToDate>false</LinksUpToDate>
  <CharactersWithSpaces>15193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2025-08-07T00:29:44Z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