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2025FW096</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兴龙湖社区卫生服务中心汉韵全民健康体检系统维护全保服务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485108766"/>
      <w:bookmarkStart w:id="2" w:name="_Toc25875"/>
      <w:bookmarkStart w:id="3" w:name="_Toc12789052"/>
      <w:bookmarkStart w:id="4" w:name="_Toc11641050"/>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兴龙湖社区卫生服务中心汉韵全民健康体检系统维护全保服务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485108767"/>
      <w:bookmarkStart w:id="10" w:name="_Toc28443"/>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兴龙湖社区卫生服务中心汉韵全民健康体检系统维护全保服务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：医院自筹,预算金额：14000元。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w:t>
      </w:r>
      <w:bookmarkStart w:id="189" w:name="_GoBack"/>
      <w:bookmarkEnd w:id="189"/>
      <w:r>
        <w:rPr>
          <w:rFonts w:hint="eastAsia" w:ascii="宋体" w:hAnsi="宋体" w:eastAsia="宋体" w:cs="宋体"/>
          <w:color w:val="000000" w:themeColor="text1"/>
          <w:sz w:val="24"/>
          <w:szCs w:val="24"/>
          <w:shd w:val="clear" w:color="auto" w:fill="auto"/>
          <w14:textFill>
            <w14:solidFill>
              <w14:schemeClr w14:val="tx1"/>
            </w14:solidFill>
          </w14:textFill>
        </w:rPr>
        <w:t>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lang w:val="en-US" w:eastAsia="zh-CN"/>
        </w:rPr>
        <w:t>报价为包干价，包含货物费、服务费、人工费、车费、住宿费、餐饮费、材料费、保险费、代理费、税金费用等的费用，均由成交供应商承担</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8"/>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179714298"/>
      <w:bookmarkStart w:id="42" w:name="_Toc19143"/>
      <w:bookmarkStart w:id="43" w:name="_Toc18122"/>
      <w:bookmarkStart w:id="44" w:name="_Toc403569780"/>
      <w:bookmarkStart w:id="45" w:name="_Toc34291339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3212"/>
      <w:bookmarkStart w:id="56" w:name="_Toc403569783"/>
      <w:bookmarkStart w:id="57" w:name="_Toc342913395"/>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485108787"/>
      <w:bookmarkStart w:id="73"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507F478">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 xml:space="preserve">  </w:t>
      </w:r>
      <w:r>
        <w:rPr>
          <w:rFonts w:hint="eastAsia" w:ascii="宋体" w:hAnsi="宋体" w:eastAsia="宋体" w:cs="宋体"/>
          <w:color w:val="FF0000"/>
          <w:sz w:val="24"/>
          <w:szCs w:val="24"/>
          <w:shd w:val="clear" w:color="auto" w:fill="auto"/>
        </w:rPr>
        <w:t>为确保</w:t>
      </w:r>
      <w:r>
        <w:rPr>
          <w:rFonts w:hint="default" w:ascii="宋体" w:hAnsi="宋体" w:eastAsia="宋体" w:cs="宋体"/>
          <w:color w:val="FF0000"/>
          <w:sz w:val="24"/>
          <w:szCs w:val="24"/>
          <w:shd w:val="clear" w:color="auto" w:fill="auto"/>
        </w:rPr>
        <w:t>系统</w:t>
      </w:r>
      <w:r>
        <w:rPr>
          <w:rFonts w:hint="eastAsia" w:ascii="宋体" w:hAnsi="宋体" w:eastAsia="宋体" w:cs="宋体"/>
          <w:color w:val="FF0000"/>
          <w:sz w:val="24"/>
          <w:szCs w:val="24"/>
          <w:shd w:val="clear" w:color="auto" w:fill="auto"/>
        </w:rPr>
        <w:t>正常运行，提前消除隐患</w:t>
      </w:r>
      <w:r>
        <w:rPr>
          <w:rFonts w:hint="default" w:ascii="宋体" w:hAnsi="宋体" w:eastAsia="宋体" w:cs="宋体"/>
          <w:color w:val="FF0000"/>
          <w:sz w:val="24"/>
          <w:szCs w:val="24"/>
          <w:shd w:val="clear" w:color="auto" w:fill="auto"/>
        </w:rPr>
        <w:t>，投标单位需</w:t>
      </w:r>
      <w:r>
        <w:rPr>
          <w:rFonts w:hint="eastAsia" w:ascii="宋体" w:hAnsi="宋体" w:eastAsia="宋体" w:cs="宋体"/>
          <w:color w:val="FF0000"/>
          <w:sz w:val="24"/>
          <w:szCs w:val="24"/>
          <w:shd w:val="clear" w:color="auto" w:fill="auto"/>
        </w:rPr>
        <w:t>做好</w:t>
      </w:r>
      <w:r>
        <w:rPr>
          <w:rFonts w:hint="default" w:ascii="宋体" w:hAnsi="宋体" w:eastAsia="宋体" w:cs="宋体"/>
          <w:color w:val="FF0000"/>
          <w:sz w:val="24"/>
          <w:szCs w:val="24"/>
          <w:shd w:val="clear" w:color="auto" w:fill="auto"/>
        </w:rPr>
        <w:t>系统</w:t>
      </w:r>
      <w:r>
        <w:rPr>
          <w:rFonts w:hint="eastAsia" w:ascii="宋体" w:hAnsi="宋体" w:eastAsia="宋体" w:cs="宋体"/>
          <w:color w:val="FF0000"/>
          <w:sz w:val="24"/>
          <w:szCs w:val="24"/>
          <w:shd w:val="clear" w:color="auto" w:fill="auto"/>
        </w:rPr>
        <w:t>预防检修工作，</w:t>
      </w:r>
      <w:r>
        <w:rPr>
          <w:rFonts w:hint="eastAsia" w:ascii="宋体" w:hAnsi="宋体" w:eastAsia="宋体" w:cs="宋体"/>
          <w:color w:val="FF0000"/>
          <w:sz w:val="24"/>
          <w:szCs w:val="24"/>
          <w:shd w:val="clear" w:color="auto" w:fill="auto"/>
          <w:lang w:val="en-US" w:eastAsia="zh-CN"/>
        </w:rPr>
        <w:t>需</w:t>
      </w:r>
      <w:r>
        <w:rPr>
          <w:rFonts w:hint="eastAsia" w:ascii="宋体" w:hAnsi="宋体" w:eastAsia="宋体" w:cs="宋体"/>
          <w:color w:val="FF0000"/>
          <w:sz w:val="24"/>
          <w:szCs w:val="24"/>
          <w:shd w:val="clear" w:color="auto" w:fill="auto"/>
        </w:rPr>
        <w:t>制定以下维护保养服务(</w:t>
      </w:r>
      <w:r>
        <w:rPr>
          <w:rFonts w:hint="eastAsia" w:ascii="宋体" w:hAnsi="宋体" w:eastAsia="宋体" w:cs="宋体"/>
          <w:color w:val="FF0000"/>
          <w:sz w:val="24"/>
          <w:szCs w:val="24"/>
          <w:shd w:val="clear" w:color="auto" w:fill="auto"/>
          <w:lang w:val="en-US" w:eastAsia="zh-CN"/>
        </w:rPr>
        <w:t>要求</w:t>
      </w:r>
      <w:r>
        <w:rPr>
          <w:rFonts w:hint="default" w:ascii="宋体" w:hAnsi="宋体" w:eastAsia="宋体" w:cs="宋体"/>
          <w:color w:val="FF0000"/>
          <w:sz w:val="24"/>
          <w:szCs w:val="24"/>
          <w:shd w:val="clear" w:color="auto" w:fill="auto"/>
          <w:lang w:eastAsia="zh-CN"/>
        </w:rPr>
        <w:t>服务期限内</w:t>
      </w:r>
      <w:r>
        <w:rPr>
          <w:rFonts w:hint="eastAsia" w:ascii="宋体" w:hAnsi="宋体" w:eastAsia="宋体" w:cs="宋体"/>
          <w:color w:val="FF0000"/>
          <w:sz w:val="24"/>
          <w:szCs w:val="24"/>
          <w:shd w:val="clear" w:color="auto" w:fill="auto"/>
        </w:rPr>
        <w:t>每年定期提供</w:t>
      </w:r>
      <w:r>
        <w:rPr>
          <w:rFonts w:hint="eastAsia" w:ascii="宋体" w:hAnsi="宋体" w:eastAsia="宋体" w:cs="宋体"/>
          <w:color w:val="FF0000"/>
          <w:sz w:val="24"/>
          <w:szCs w:val="24"/>
          <w:shd w:val="clear" w:color="auto" w:fill="auto"/>
          <w:lang w:val="en-US" w:eastAsia="zh-CN"/>
        </w:rPr>
        <w:t>上门</w:t>
      </w:r>
      <w:r>
        <w:rPr>
          <w:rFonts w:hint="default" w:ascii="宋体" w:hAnsi="宋体" w:eastAsia="宋体" w:cs="宋体"/>
          <w:color w:val="FF0000"/>
          <w:sz w:val="24"/>
          <w:szCs w:val="24"/>
          <w:shd w:val="clear" w:color="auto" w:fill="auto"/>
          <w:lang w:eastAsia="zh-CN"/>
        </w:rPr>
        <w:t>巡</w:t>
      </w:r>
      <w:r>
        <w:rPr>
          <w:rFonts w:hint="eastAsia" w:ascii="宋体" w:hAnsi="宋体" w:eastAsia="宋体" w:cs="宋体"/>
          <w:color w:val="FF0000"/>
          <w:sz w:val="24"/>
          <w:szCs w:val="24"/>
          <w:shd w:val="clear" w:color="auto" w:fill="auto"/>
          <w:lang w:val="en-US" w:eastAsia="zh-CN"/>
        </w:rPr>
        <w:t>访</w:t>
      </w:r>
      <w:r>
        <w:rPr>
          <w:rFonts w:hint="eastAsia" w:ascii="宋体" w:hAnsi="宋体" w:eastAsia="宋体" w:cs="宋体"/>
          <w:color w:val="FF0000"/>
          <w:sz w:val="24"/>
          <w:szCs w:val="24"/>
          <w:shd w:val="clear" w:color="auto" w:fill="auto"/>
        </w:rPr>
        <w:t>服务</w:t>
      </w: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次及以上)：</w:t>
      </w:r>
    </w:p>
    <w:p w14:paraId="3018585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1、巡检周期：春季大规模检查前一个月到现场整体检查设备及软件情况</w:t>
      </w:r>
      <w:r>
        <w:rPr>
          <w:rFonts w:hint="eastAsia" w:ascii="宋体" w:hAnsi="宋体" w:eastAsia="宋体" w:cs="宋体"/>
          <w:color w:val="FF0000"/>
          <w:sz w:val="24"/>
          <w:szCs w:val="24"/>
          <w:shd w:val="clear" w:color="auto" w:fill="auto"/>
          <w:lang w:val="en-US" w:eastAsia="zh-CN"/>
        </w:rPr>
        <w:t>一次</w:t>
      </w:r>
      <w:r>
        <w:rPr>
          <w:rFonts w:hint="eastAsia" w:ascii="宋体" w:hAnsi="宋体" w:eastAsia="宋体" w:cs="宋体"/>
          <w:color w:val="FF0000"/>
          <w:sz w:val="24"/>
          <w:szCs w:val="24"/>
          <w:shd w:val="clear" w:color="auto" w:fill="auto"/>
        </w:rPr>
        <w:t>，每年不少于两次现场跟踪。</w:t>
      </w:r>
      <w:r>
        <w:rPr>
          <w:rFonts w:hint="eastAsia" w:ascii="宋体" w:hAnsi="宋体" w:eastAsia="宋体" w:cs="宋体"/>
          <w:color w:val="FF0000"/>
          <w:sz w:val="24"/>
          <w:szCs w:val="24"/>
          <w:shd w:val="clear" w:color="auto" w:fill="auto"/>
          <w:lang w:val="en-US" w:eastAsia="zh-CN"/>
        </w:rPr>
        <w:t>大规模检查开始后，可不定期到使用单位寻访一次，总计五次上门巡检，</w:t>
      </w:r>
      <w:r>
        <w:rPr>
          <w:rFonts w:hint="eastAsia" w:ascii="宋体" w:hAnsi="宋体" w:eastAsia="宋体" w:cs="宋体"/>
          <w:color w:val="FF0000"/>
          <w:sz w:val="24"/>
          <w:szCs w:val="24"/>
          <w:shd w:val="clear" w:color="auto" w:fill="auto"/>
        </w:rPr>
        <w:t>远程服务器端巡检不少于每月两次。</w:t>
      </w:r>
    </w:p>
    <w:p w14:paraId="59D7516E">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2、巡检目标：</w:t>
      </w:r>
      <w:r>
        <w:rPr>
          <w:rFonts w:hint="eastAsia" w:ascii="宋体" w:hAnsi="宋体" w:eastAsia="宋体" w:cs="宋体"/>
          <w:color w:val="FF0000"/>
          <w:sz w:val="24"/>
          <w:szCs w:val="24"/>
          <w:shd w:val="clear" w:color="auto" w:fill="auto"/>
          <w:lang w:val="en-US" w:eastAsia="zh-CN"/>
        </w:rPr>
        <w:t>协助指导操作、数据更新、巡检过程同步做设备维护。</w:t>
      </w:r>
    </w:p>
    <w:p w14:paraId="79199555">
      <w:pPr>
        <w:snapToGrid w:val="0"/>
        <w:spacing w:line="400" w:lineRule="exact"/>
        <w:ind w:firstLine="480" w:firstLineChars="20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3、巡检方式：现场跟踪及远程维护</w:t>
      </w:r>
      <w:r>
        <w:rPr>
          <w:rFonts w:hint="default" w:ascii="宋体" w:hAnsi="宋体" w:eastAsia="宋体" w:cs="宋体"/>
          <w:color w:val="FF0000"/>
          <w:sz w:val="24"/>
          <w:szCs w:val="24"/>
          <w:shd w:val="clear" w:color="auto" w:fill="auto"/>
        </w:rPr>
        <w:t>。</w:t>
      </w:r>
    </w:p>
    <w:p w14:paraId="057C4DF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4、巡检内容</w:t>
      </w:r>
      <w:r>
        <w:rPr>
          <w:rFonts w:hint="eastAsia" w:ascii="宋体" w:hAnsi="宋体" w:eastAsia="宋体" w:cs="宋体"/>
          <w:color w:val="FF0000"/>
          <w:sz w:val="24"/>
          <w:szCs w:val="24"/>
          <w:shd w:val="clear" w:color="auto" w:fill="auto"/>
          <w:lang w:val="en-US" w:eastAsia="zh-CN"/>
        </w:rPr>
        <w:t>要求</w:t>
      </w:r>
      <w:r>
        <w:rPr>
          <w:rFonts w:hint="eastAsia" w:ascii="宋体" w:hAnsi="宋体" w:eastAsia="宋体" w:cs="宋体"/>
          <w:color w:val="FF0000"/>
          <w:sz w:val="24"/>
          <w:szCs w:val="24"/>
          <w:shd w:val="clear" w:color="auto" w:fill="auto"/>
        </w:rPr>
        <w:t>：</w:t>
      </w:r>
    </w:p>
    <w:p w14:paraId="41B4F47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4.1服务器：日志查看、硬盘空置率、cpu内存占用情况。</w:t>
      </w:r>
    </w:p>
    <w:p w14:paraId="4392C4B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4.2数据库：实例运行情况、数据库空间占用大小、数据库日志。</w:t>
      </w:r>
    </w:p>
    <w:p w14:paraId="70D719B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4.3备份：程序备份、数据库备份、后台接口备份。</w:t>
      </w:r>
    </w:p>
    <w:p w14:paraId="71B44FF6">
      <w:pPr>
        <w:snapToGrid w:val="0"/>
        <w:spacing w:line="400" w:lineRule="exact"/>
        <w:ind w:firstLine="480" w:firstLineChars="20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4.4系统安全：杀毒软件安装、每月杀毒查杀</w:t>
      </w:r>
      <w:r>
        <w:rPr>
          <w:rFonts w:hint="default" w:ascii="宋体" w:hAnsi="宋体" w:eastAsia="宋体" w:cs="宋体"/>
          <w:color w:val="FF0000"/>
          <w:sz w:val="24"/>
          <w:szCs w:val="24"/>
          <w:shd w:val="clear" w:color="auto" w:fill="auto"/>
        </w:rPr>
        <w:t>。</w:t>
      </w:r>
    </w:p>
    <w:p w14:paraId="60B0051C">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4.5测试：服务端口连接是否正常、软件系统是否正常打开使用、数据库是否正常记录数据、接口运行是否正常。</w:t>
      </w:r>
    </w:p>
    <w:p w14:paraId="0368A12D">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4.6升级：建立升级文件，历次升级文件包要留存服务器备份。重要界面内容修改内容需告知院方。</w:t>
      </w:r>
    </w:p>
    <w:p w14:paraId="2CA9BC6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机房电源及网络：发现电源异常、网络异常、安全异常问题及时反馈给</w:t>
      </w:r>
      <w:r>
        <w:rPr>
          <w:rFonts w:hint="default" w:ascii="宋体" w:hAnsi="宋体" w:eastAsia="宋体" w:cs="宋体"/>
          <w:color w:val="FF0000"/>
          <w:sz w:val="24"/>
          <w:szCs w:val="24"/>
          <w:shd w:val="clear" w:color="auto" w:fill="auto"/>
        </w:rPr>
        <w:t>院方</w:t>
      </w:r>
      <w:r>
        <w:rPr>
          <w:rFonts w:hint="eastAsia" w:ascii="宋体" w:hAnsi="宋体" w:eastAsia="宋体" w:cs="宋体"/>
          <w:color w:val="FF0000"/>
          <w:sz w:val="24"/>
          <w:szCs w:val="24"/>
          <w:shd w:val="clear" w:color="auto" w:fill="auto"/>
        </w:rPr>
        <w:t>，由</w:t>
      </w:r>
      <w:r>
        <w:rPr>
          <w:rFonts w:hint="default" w:ascii="宋体" w:hAnsi="宋体" w:eastAsia="宋体" w:cs="宋体"/>
          <w:color w:val="FF0000"/>
          <w:sz w:val="24"/>
          <w:szCs w:val="24"/>
          <w:shd w:val="clear" w:color="auto" w:fill="auto"/>
        </w:rPr>
        <w:t>院方</w:t>
      </w:r>
      <w:r>
        <w:rPr>
          <w:rFonts w:hint="eastAsia" w:ascii="宋体" w:hAnsi="宋体" w:eastAsia="宋体" w:cs="宋体"/>
          <w:color w:val="FF0000"/>
          <w:sz w:val="24"/>
          <w:szCs w:val="24"/>
          <w:shd w:val="clear" w:color="auto" w:fill="auto"/>
        </w:rPr>
        <w:t>处理。</w:t>
      </w:r>
    </w:p>
    <w:p w14:paraId="1E5E696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lang w:val="en-US" w:eastAsia="zh-CN"/>
        </w:rPr>
        <w:t>常设</w:t>
      </w:r>
      <w:r>
        <w:rPr>
          <w:rFonts w:hint="eastAsia" w:ascii="宋体" w:hAnsi="宋体" w:eastAsia="宋体" w:cs="宋体"/>
          <w:color w:val="FF0000"/>
          <w:sz w:val="24"/>
          <w:szCs w:val="24"/>
          <w:shd w:val="clear" w:color="auto" w:fill="auto"/>
          <w:lang w:val="en-US" w:eastAsia="zh-CN"/>
        </w:rPr>
        <w:t>永川区内本地化应急备用设备更换维修站。</w:t>
      </w:r>
    </w:p>
    <w:p w14:paraId="13BC821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7、设备维护</w:t>
      </w:r>
    </w:p>
    <w:p w14:paraId="6EFAA25F">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7.1设备主机维修免费范围清单如下</w:t>
      </w:r>
    </w:p>
    <w:tbl>
      <w:tblPr>
        <w:tblStyle w:val="59"/>
        <w:tblW w:w="8763" w:type="dxa"/>
        <w:jc w:val="center"/>
        <w:tblLayout w:type="autofit"/>
        <w:tblCellMar>
          <w:top w:w="0" w:type="dxa"/>
          <w:left w:w="108" w:type="dxa"/>
          <w:bottom w:w="0" w:type="dxa"/>
          <w:right w:w="108" w:type="dxa"/>
        </w:tblCellMar>
      </w:tblPr>
      <w:tblGrid>
        <w:gridCol w:w="711"/>
        <w:gridCol w:w="2221"/>
        <w:gridCol w:w="2163"/>
        <w:gridCol w:w="2492"/>
        <w:gridCol w:w="1176"/>
      </w:tblGrid>
      <w:tr w14:paraId="18B40A9D">
        <w:tblPrEx>
          <w:tblCellMar>
            <w:top w:w="0" w:type="dxa"/>
            <w:left w:w="108" w:type="dxa"/>
            <w:bottom w:w="0" w:type="dxa"/>
            <w:right w:w="108" w:type="dxa"/>
          </w:tblCellMar>
        </w:tblPrEx>
        <w:trPr>
          <w:trHeight w:val="674" w:hRule="atLeast"/>
          <w:jc w:val="center"/>
        </w:trPr>
        <w:tc>
          <w:tcPr>
            <w:tcW w:w="711" w:type="dxa"/>
            <w:tcBorders>
              <w:top w:val="single" w:color="auto" w:sz="8" w:space="0"/>
              <w:left w:val="single" w:color="auto" w:sz="8" w:space="0"/>
              <w:bottom w:val="single" w:color="000000" w:sz="8" w:space="0"/>
              <w:right w:val="single" w:color="auto" w:sz="8" w:space="0"/>
            </w:tcBorders>
            <w:shd w:val="clear" w:color="auto" w:fill="auto"/>
            <w:vAlign w:val="center"/>
          </w:tcPr>
          <w:p w14:paraId="1CCD2A4A">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序号</w:t>
            </w:r>
          </w:p>
        </w:tc>
        <w:tc>
          <w:tcPr>
            <w:tcW w:w="2221" w:type="dxa"/>
            <w:tcBorders>
              <w:top w:val="single" w:color="auto" w:sz="8" w:space="0"/>
              <w:left w:val="single" w:color="auto" w:sz="8" w:space="0"/>
              <w:bottom w:val="single" w:color="000000" w:sz="8" w:space="0"/>
              <w:right w:val="single" w:color="auto" w:sz="8" w:space="0"/>
            </w:tcBorders>
            <w:shd w:val="clear" w:color="auto" w:fill="auto"/>
            <w:vAlign w:val="center"/>
          </w:tcPr>
          <w:p w14:paraId="43F73E7D">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产品名称</w:t>
            </w:r>
          </w:p>
        </w:tc>
        <w:tc>
          <w:tcPr>
            <w:tcW w:w="2163" w:type="dxa"/>
            <w:tcBorders>
              <w:top w:val="single" w:color="auto" w:sz="8" w:space="0"/>
              <w:left w:val="single" w:color="auto" w:sz="8" w:space="0"/>
              <w:bottom w:val="single" w:color="000000" w:sz="8" w:space="0"/>
              <w:right w:val="single" w:color="auto" w:sz="8" w:space="0"/>
            </w:tcBorders>
            <w:shd w:val="clear" w:color="auto" w:fill="auto"/>
            <w:vAlign w:val="center"/>
          </w:tcPr>
          <w:p w14:paraId="7D0CA8D4">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需免费维修</w:t>
            </w:r>
          </w:p>
        </w:tc>
        <w:tc>
          <w:tcPr>
            <w:tcW w:w="2492" w:type="dxa"/>
            <w:tcBorders>
              <w:top w:val="single" w:color="auto" w:sz="8" w:space="0"/>
              <w:left w:val="single" w:color="auto" w:sz="8" w:space="0"/>
              <w:bottom w:val="single" w:color="000000" w:sz="8" w:space="0"/>
              <w:right w:val="single" w:color="auto" w:sz="8" w:space="0"/>
            </w:tcBorders>
            <w:shd w:val="clear" w:color="auto" w:fill="auto"/>
            <w:vAlign w:val="center"/>
          </w:tcPr>
          <w:p w14:paraId="0A1BC0A5">
            <w:pPr>
              <w:snapToGrid w:val="0"/>
              <w:spacing w:line="400" w:lineRule="exact"/>
              <w:ind w:firstLine="480" w:firstLineChars="200"/>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易损型配件</w:t>
            </w:r>
          </w:p>
        </w:tc>
        <w:tc>
          <w:tcPr>
            <w:tcW w:w="1176" w:type="dxa"/>
            <w:tcBorders>
              <w:top w:val="single" w:color="auto" w:sz="8" w:space="0"/>
              <w:left w:val="single" w:color="auto" w:sz="8" w:space="0"/>
              <w:bottom w:val="single" w:color="000000" w:sz="8" w:space="0"/>
              <w:right w:val="single" w:color="auto" w:sz="8" w:space="0"/>
            </w:tcBorders>
            <w:shd w:val="clear" w:color="auto" w:fill="auto"/>
            <w:vAlign w:val="center"/>
          </w:tcPr>
          <w:p w14:paraId="1D6DD930">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备注</w:t>
            </w:r>
          </w:p>
        </w:tc>
      </w:tr>
      <w:tr w14:paraId="520A5AE8">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7290AA76">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p>
        </w:tc>
        <w:tc>
          <w:tcPr>
            <w:tcW w:w="2221" w:type="dxa"/>
            <w:tcBorders>
              <w:top w:val="nil"/>
              <w:left w:val="nil"/>
              <w:bottom w:val="single" w:color="auto" w:sz="8" w:space="0"/>
              <w:right w:val="single" w:color="auto" w:sz="8" w:space="0"/>
            </w:tcBorders>
            <w:shd w:val="clear" w:color="auto" w:fill="auto"/>
            <w:vAlign w:val="center"/>
          </w:tcPr>
          <w:p w14:paraId="5A5E0896">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身份证阅读器</w:t>
            </w:r>
          </w:p>
        </w:tc>
        <w:tc>
          <w:tcPr>
            <w:tcW w:w="2163" w:type="dxa"/>
            <w:tcBorders>
              <w:top w:val="nil"/>
              <w:left w:val="nil"/>
              <w:bottom w:val="single" w:color="auto" w:sz="8" w:space="0"/>
              <w:right w:val="single" w:color="auto" w:sz="8" w:space="0"/>
            </w:tcBorders>
            <w:shd w:val="clear" w:color="auto" w:fill="auto"/>
            <w:vAlign w:val="center"/>
          </w:tcPr>
          <w:p w14:paraId="26ADCE1C">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主机本体</w:t>
            </w:r>
          </w:p>
        </w:tc>
        <w:tc>
          <w:tcPr>
            <w:tcW w:w="2492" w:type="dxa"/>
            <w:tcBorders>
              <w:top w:val="nil"/>
              <w:left w:val="nil"/>
              <w:bottom w:val="single" w:color="auto" w:sz="8" w:space="0"/>
              <w:right w:val="single" w:color="auto" w:sz="8" w:space="0"/>
            </w:tcBorders>
            <w:shd w:val="clear" w:color="auto" w:fill="auto"/>
            <w:vAlign w:val="center"/>
          </w:tcPr>
          <w:p w14:paraId="4AF8CE1C">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c>
          <w:tcPr>
            <w:tcW w:w="1176" w:type="dxa"/>
            <w:tcBorders>
              <w:top w:val="nil"/>
              <w:left w:val="nil"/>
              <w:bottom w:val="single" w:color="auto" w:sz="8" w:space="0"/>
              <w:right w:val="single" w:color="auto" w:sz="8" w:space="0"/>
            </w:tcBorders>
            <w:shd w:val="clear" w:color="auto" w:fill="auto"/>
            <w:vAlign w:val="center"/>
          </w:tcPr>
          <w:p w14:paraId="6276CF13">
            <w:pPr>
              <w:snapToGrid w:val="0"/>
              <w:spacing w:line="400" w:lineRule="exact"/>
              <w:ind w:firstLine="480" w:firstLineChars="200"/>
              <w:jc w:val="center"/>
              <w:rPr>
                <w:rFonts w:hint="default" w:ascii="宋体" w:hAnsi="宋体" w:eastAsia="宋体" w:cs="宋体"/>
                <w:color w:val="FF0000"/>
                <w:sz w:val="24"/>
                <w:szCs w:val="24"/>
                <w:shd w:val="clear" w:color="auto" w:fill="auto"/>
                <w:lang w:val="en-US" w:eastAsia="zh-CN"/>
              </w:rPr>
            </w:pPr>
          </w:p>
        </w:tc>
      </w:tr>
      <w:tr w14:paraId="0371936C">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676FA298">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2</w:t>
            </w:r>
          </w:p>
        </w:tc>
        <w:tc>
          <w:tcPr>
            <w:tcW w:w="2221" w:type="dxa"/>
            <w:tcBorders>
              <w:top w:val="nil"/>
              <w:left w:val="nil"/>
              <w:bottom w:val="single" w:color="auto" w:sz="8" w:space="0"/>
              <w:right w:val="single" w:color="auto" w:sz="8" w:space="0"/>
            </w:tcBorders>
            <w:shd w:val="clear" w:color="auto" w:fill="auto"/>
            <w:vAlign w:val="center"/>
          </w:tcPr>
          <w:p w14:paraId="64A9E56E">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人像识别摄像头</w:t>
            </w:r>
          </w:p>
        </w:tc>
        <w:tc>
          <w:tcPr>
            <w:tcW w:w="2163" w:type="dxa"/>
            <w:tcBorders>
              <w:top w:val="nil"/>
              <w:left w:val="nil"/>
              <w:bottom w:val="single" w:color="auto" w:sz="8" w:space="0"/>
              <w:right w:val="single" w:color="auto" w:sz="8" w:space="0"/>
            </w:tcBorders>
            <w:shd w:val="clear" w:color="auto" w:fill="auto"/>
            <w:vAlign w:val="center"/>
          </w:tcPr>
          <w:p w14:paraId="20D97AEF">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主机本体</w:t>
            </w:r>
          </w:p>
        </w:tc>
        <w:tc>
          <w:tcPr>
            <w:tcW w:w="2492" w:type="dxa"/>
            <w:tcBorders>
              <w:top w:val="nil"/>
              <w:left w:val="nil"/>
              <w:bottom w:val="single" w:color="auto" w:sz="8" w:space="0"/>
              <w:right w:val="single" w:color="auto" w:sz="8" w:space="0"/>
            </w:tcBorders>
            <w:shd w:val="clear" w:color="auto" w:fill="auto"/>
            <w:vAlign w:val="center"/>
          </w:tcPr>
          <w:p w14:paraId="0C854B28">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c>
          <w:tcPr>
            <w:tcW w:w="1176" w:type="dxa"/>
            <w:tcBorders>
              <w:top w:val="nil"/>
              <w:left w:val="nil"/>
              <w:bottom w:val="single" w:color="auto" w:sz="8" w:space="0"/>
              <w:right w:val="single" w:color="auto" w:sz="8" w:space="0"/>
            </w:tcBorders>
            <w:shd w:val="clear" w:color="auto" w:fill="auto"/>
            <w:vAlign w:val="center"/>
          </w:tcPr>
          <w:p w14:paraId="3CDF307A">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10A74E1B">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089F605D">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3</w:t>
            </w:r>
          </w:p>
        </w:tc>
        <w:tc>
          <w:tcPr>
            <w:tcW w:w="2221" w:type="dxa"/>
            <w:tcBorders>
              <w:top w:val="nil"/>
              <w:left w:val="nil"/>
              <w:bottom w:val="single" w:color="auto" w:sz="8" w:space="0"/>
              <w:right w:val="single" w:color="auto" w:sz="8" w:space="0"/>
            </w:tcBorders>
            <w:shd w:val="clear" w:color="auto" w:fill="auto"/>
            <w:vAlign w:val="center"/>
          </w:tcPr>
          <w:p w14:paraId="1BC94DE5">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条码打印机</w:t>
            </w:r>
          </w:p>
        </w:tc>
        <w:tc>
          <w:tcPr>
            <w:tcW w:w="2163" w:type="dxa"/>
            <w:tcBorders>
              <w:top w:val="nil"/>
              <w:left w:val="nil"/>
              <w:bottom w:val="single" w:color="auto" w:sz="8" w:space="0"/>
              <w:right w:val="single" w:color="auto" w:sz="8" w:space="0"/>
            </w:tcBorders>
            <w:shd w:val="clear" w:color="auto" w:fill="auto"/>
            <w:vAlign w:val="center"/>
          </w:tcPr>
          <w:p w14:paraId="32007B26">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主机本体</w:t>
            </w:r>
          </w:p>
        </w:tc>
        <w:tc>
          <w:tcPr>
            <w:tcW w:w="2492" w:type="dxa"/>
            <w:tcBorders>
              <w:top w:val="nil"/>
              <w:left w:val="nil"/>
              <w:bottom w:val="single" w:color="auto" w:sz="8" w:space="0"/>
              <w:right w:val="single" w:color="auto" w:sz="8" w:space="0"/>
            </w:tcBorders>
            <w:shd w:val="clear" w:color="auto" w:fill="auto"/>
            <w:vAlign w:val="center"/>
          </w:tcPr>
          <w:p w14:paraId="77302A35">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c>
          <w:tcPr>
            <w:tcW w:w="1176" w:type="dxa"/>
            <w:tcBorders>
              <w:top w:val="nil"/>
              <w:left w:val="nil"/>
              <w:bottom w:val="single" w:color="auto" w:sz="8" w:space="0"/>
              <w:right w:val="single" w:color="auto" w:sz="8" w:space="0"/>
            </w:tcBorders>
            <w:shd w:val="clear" w:color="auto" w:fill="auto"/>
            <w:vAlign w:val="center"/>
          </w:tcPr>
          <w:p w14:paraId="3D308E66">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7FD2FE26">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2C8A673D">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4</w:t>
            </w:r>
          </w:p>
        </w:tc>
        <w:tc>
          <w:tcPr>
            <w:tcW w:w="2221" w:type="dxa"/>
            <w:tcBorders>
              <w:top w:val="nil"/>
              <w:left w:val="nil"/>
              <w:bottom w:val="single" w:color="auto" w:sz="8" w:space="0"/>
              <w:right w:val="single" w:color="auto" w:sz="8" w:space="0"/>
            </w:tcBorders>
            <w:shd w:val="clear" w:color="auto" w:fill="auto"/>
            <w:vAlign w:val="center"/>
          </w:tcPr>
          <w:p w14:paraId="5398C5CF">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十二导联心电管理系统（含硬件）</w:t>
            </w:r>
          </w:p>
        </w:tc>
        <w:tc>
          <w:tcPr>
            <w:tcW w:w="2163" w:type="dxa"/>
            <w:tcBorders>
              <w:top w:val="nil"/>
              <w:left w:val="nil"/>
              <w:bottom w:val="single" w:color="auto" w:sz="8" w:space="0"/>
              <w:right w:val="single" w:color="auto" w:sz="8" w:space="0"/>
            </w:tcBorders>
            <w:shd w:val="clear" w:color="auto" w:fill="auto"/>
            <w:vAlign w:val="center"/>
          </w:tcPr>
          <w:p w14:paraId="375C4CAD">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主机本体</w:t>
            </w:r>
          </w:p>
        </w:tc>
        <w:tc>
          <w:tcPr>
            <w:tcW w:w="2492" w:type="dxa"/>
            <w:tcBorders>
              <w:top w:val="nil"/>
              <w:left w:val="nil"/>
              <w:bottom w:val="single" w:color="auto" w:sz="8" w:space="0"/>
              <w:right w:val="single" w:color="auto" w:sz="8" w:space="0"/>
            </w:tcBorders>
            <w:shd w:val="clear" w:color="auto" w:fill="auto"/>
            <w:vAlign w:val="center"/>
          </w:tcPr>
          <w:p w14:paraId="5B300A97">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导联线（含夹子吸碗）要求两年更换一次</w:t>
            </w:r>
          </w:p>
        </w:tc>
        <w:tc>
          <w:tcPr>
            <w:tcW w:w="1176" w:type="dxa"/>
            <w:tcBorders>
              <w:top w:val="nil"/>
              <w:left w:val="nil"/>
              <w:bottom w:val="single" w:color="auto" w:sz="8" w:space="0"/>
              <w:right w:val="single" w:color="auto" w:sz="8" w:space="0"/>
            </w:tcBorders>
            <w:shd w:val="clear" w:color="auto" w:fill="auto"/>
            <w:vAlign w:val="center"/>
          </w:tcPr>
          <w:p w14:paraId="14EB508E">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2AA92B12">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798C0E07">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5</w:t>
            </w:r>
          </w:p>
        </w:tc>
        <w:tc>
          <w:tcPr>
            <w:tcW w:w="2221" w:type="dxa"/>
            <w:tcBorders>
              <w:top w:val="nil"/>
              <w:left w:val="nil"/>
              <w:bottom w:val="single" w:color="auto" w:sz="8" w:space="0"/>
              <w:right w:val="single" w:color="auto" w:sz="8" w:space="0"/>
            </w:tcBorders>
            <w:shd w:val="clear" w:color="auto" w:fill="auto"/>
            <w:vAlign w:val="center"/>
          </w:tcPr>
          <w:p w14:paraId="2E8A2D25">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自助式全自动身高体重测量系统（含硬件）</w:t>
            </w:r>
          </w:p>
        </w:tc>
        <w:tc>
          <w:tcPr>
            <w:tcW w:w="2163" w:type="dxa"/>
            <w:tcBorders>
              <w:top w:val="nil"/>
              <w:left w:val="nil"/>
              <w:bottom w:val="single" w:color="auto" w:sz="8" w:space="0"/>
              <w:right w:val="single" w:color="auto" w:sz="8" w:space="0"/>
            </w:tcBorders>
            <w:shd w:val="clear" w:color="auto" w:fill="auto"/>
            <w:vAlign w:val="center"/>
          </w:tcPr>
          <w:p w14:paraId="21BD51E3">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主机本体，主板、探头、体重测量传感器</w:t>
            </w:r>
          </w:p>
        </w:tc>
        <w:tc>
          <w:tcPr>
            <w:tcW w:w="2492" w:type="dxa"/>
            <w:tcBorders>
              <w:top w:val="nil"/>
              <w:left w:val="nil"/>
              <w:bottom w:val="single" w:color="auto" w:sz="8" w:space="0"/>
              <w:right w:val="single" w:color="auto" w:sz="8" w:space="0"/>
            </w:tcBorders>
            <w:shd w:val="clear" w:color="auto" w:fill="auto"/>
            <w:vAlign w:val="center"/>
          </w:tcPr>
          <w:p w14:paraId="780A920F">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c>
          <w:tcPr>
            <w:tcW w:w="1176" w:type="dxa"/>
            <w:tcBorders>
              <w:top w:val="nil"/>
              <w:left w:val="nil"/>
              <w:bottom w:val="single" w:color="auto" w:sz="8" w:space="0"/>
              <w:right w:val="single" w:color="auto" w:sz="8" w:space="0"/>
            </w:tcBorders>
            <w:shd w:val="clear" w:color="auto" w:fill="auto"/>
            <w:vAlign w:val="center"/>
          </w:tcPr>
          <w:p w14:paraId="1659ACDC">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09099663">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18C75CC9">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6</w:t>
            </w:r>
          </w:p>
        </w:tc>
        <w:tc>
          <w:tcPr>
            <w:tcW w:w="2221" w:type="dxa"/>
            <w:tcBorders>
              <w:top w:val="nil"/>
              <w:left w:val="nil"/>
              <w:bottom w:val="single" w:color="auto" w:sz="8" w:space="0"/>
              <w:right w:val="single" w:color="auto" w:sz="8" w:space="0"/>
            </w:tcBorders>
            <w:shd w:val="clear" w:color="auto" w:fill="auto"/>
            <w:vAlign w:val="center"/>
          </w:tcPr>
          <w:p w14:paraId="305FBCB6">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条码扫描枪</w:t>
            </w:r>
          </w:p>
        </w:tc>
        <w:tc>
          <w:tcPr>
            <w:tcW w:w="2163" w:type="dxa"/>
            <w:tcBorders>
              <w:top w:val="nil"/>
              <w:left w:val="nil"/>
              <w:bottom w:val="single" w:color="auto" w:sz="8" w:space="0"/>
              <w:right w:val="single" w:color="auto" w:sz="8" w:space="0"/>
            </w:tcBorders>
            <w:shd w:val="clear" w:color="auto" w:fill="auto"/>
            <w:vAlign w:val="center"/>
          </w:tcPr>
          <w:p w14:paraId="3A03145C">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枪体主板</w:t>
            </w:r>
          </w:p>
        </w:tc>
        <w:tc>
          <w:tcPr>
            <w:tcW w:w="2492" w:type="dxa"/>
            <w:tcBorders>
              <w:top w:val="nil"/>
              <w:left w:val="nil"/>
              <w:bottom w:val="single" w:color="auto" w:sz="8" w:space="0"/>
              <w:right w:val="single" w:color="auto" w:sz="8" w:space="0"/>
            </w:tcBorders>
            <w:shd w:val="clear" w:color="auto" w:fill="auto"/>
            <w:vAlign w:val="center"/>
          </w:tcPr>
          <w:p w14:paraId="514A3DA3">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Usb连接线要求两年更换一次</w:t>
            </w:r>
          </w:p>
        </w:tc>
        <w:tc>
          <w:tcPr>
            <w:tcW w:w="1176" w:type="dxa"/>
            <w:tcBorders>
              <w:top w:val="nil"/>
              <w:left w:val="nil"/>
              <w:bottom w:val="single" w:color="auto" w:sz="8" w:space="0"/>
              <w:right w:val="single" w:color="auto" w:sz="8" w:space="0"/>
            </w:tcBorders>
            <w:shd w:val="clear" w:color="auto" w:fill="auto"/>
            <w:vAlign w:val="center"/>
          </w:tcPr>
          <w:p w14:paraId="791AED1D">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55C0DD72">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6FADFE31">
            <w:pPr>
              <w:snapToGrid w:val="0"/>
              <w:spacing w:line="40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7</w:t>
            </w:r>
          </w:p>
        </w:tc>
        <w:tc>
          <w:tcPr>
            <w:tcW w:w="2221" w:type="dxa"/>
            <w:tcBorders>
              <w:top w:val="nil"/>
              <w:left w:val="nil"/>
              <w:bottom w:val="single" w:color="auto" w:sz="8" w:space="0"/>
              <w:right w:val="single" w:color="auto" w:sz="8" w:space="0"/>
            </w:tcBorders>
            <w:shd w:val="clear" w:color="auto" w:fill="auto"/>
            <w:vAlign w:val="center"/>
          </w:tcPr>
          <w:p w14:paraId="0C07A069">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尿机</w:t>
            </w:r>
          </w:p>
        </w:tc>
        <w:tc>
          <w:tcPr>
            <w:tcW w:w="2163" w:type="dxa"/>
            <w:tcBorders>
              <w:top w:val="nil"/>
              <w:left w:val="nil"/>
              <w:bottom w:val="single" w:color="auto" w:sz="8" w:space="0"/>
              <w:right w:val="single" w:color="auto" w:sz="8" w:space="0"/>
            </w:tcBorders>
            <w:shd w:val="clear" w:color="auto" w:fill="auto"/>
            <w:vAlign w:val="center"/>
          </w:tcPr>
          <w:p w14:paraId="641982AD">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机器主体</w:t>
            </w:r>
          </w:p>
        </w:tc>
        <w:tc>
          <w:tcPr>
            <w:tcW w:w="2492" w:type="dxa"/>
            <w:tcBorders>
              <w:top w:val="nil"/>
              <w:left w:val="nil"/>
              <w:bottom w:val="single" w:color="auto" w:sz="8" w:space="0"/>
              <w:right w:val="single" w:color="auto" w:sz="8" w:space="0"/>
            </w:tcBorders>
            <w:shd w:val="clear" w:color="auto" w:fill="auto"/>
            <w:vAlign w:val="center"/>
          </w:tcPr>
          <w:p w14:paraId="27D54FC7">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Usb连接线要求两年更换一次</w:t>
            </w:r>
          </w:p>
        </w:tc>
        <w:tc>
          <w:tcPr>
            <w:tcW w:w="1176" w:type="dxa"/>
            <w:tcBorders>
              <w:top w:val="nil"/>
              <w:left w:val="nil"/>
              <w:bottom w:val="single" w:color="auto" w:sz="8" w:space="0"/>
              <w:right w:val="single" w:color="auto" w:sz="8" w:space="0"/>
            </w:tcBorders>
            <w:shd w:val="clear" w:color="auto" w:fill="auto"/>
            <w:vAlign w:val="center"/>
          </w:tcPr>
          <w:p w14:paraId="13BA633D">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3857C2E9">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64A2511D">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w:t>
            </w:r>
          </w:p>
        </w:tc>
        <w:tc>
          <w:tcPr>
            <w:tcW w:w="2221" w:type="dxa"/>
            <w:tcBorders>
              <w:top w:val="nil"/>
              <w:left w:val="nil"/>
              <w:bottom w:val="single" w:color="auto" w:sz="8" w:space="0"/>
              <w:right w:val="single" w:color="auto" w:sz="8" w:space="0"/>
            </w:tcBorders>
            <w:shd w:val="clear" w:color="auto" w:fill="auto"/>
            <w:vAlign w:val="center"/>
          </w:tcPr>
          <w:p w14:paraId="3EEEC65C">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工业无线路由</w:t>
            </w:r>
          </w:p>
        </w:tc>
        <w:tc>
          <w:tcPr>
            <w:tcW w:w="2163" w:type="dxa"/>
            <w:tcBorders>
              <w:top w:val="nil"/>
              <w:left w:val="nil"/>
              <w:bottom w:val="single" w:color="auto" w:sz="8" w:space="0"/>
              <w:right w:val="single" w:color="auto" w:sz="8" w:space="0"/>
            </w:tcBorders>
            <w:shd w:val="clear" w:color="auto" w:fill="auto"/>
            <w:vAlign w:val="center"/>
          </w:tcPr>
          <w:p w14:paraId="48A16F36">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机器主体</w:t>
            </w:r>
          </w:p>
        </w:tc>
        <w:tc>
          <w:tcPr>
            <w:tcW w:w="2492" w:type="dxa"/>
            <w:tcBorders>
              <w:top w:val="nil"/>
              <w:left w:val="nil"/>
              <w:bottom w:val="single" w:color="auto" w:sz="8" w:space="0"/>
              <w:right w:val="single" w:color="auto" w:sz="8" w:space="0"/>
            </w:tcBorders>
            <w:shd w:val="clear" w:color="auto" w:fill="auto"/>
            <w:vAlign w:val="center"/>
          </w:tcPr>
          <w:p w14:paraId="08342E5F">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电源插线、网线要求两年更换一次</w:t>
            </w:r>
          </w:p>
        </w:tc>
        <w:tc>
          <w:tcPr>
            <w:tcW w:w="1176" w:type="dxa"/>
            <w:tcBorders>
              <w:top w:val="nil"/>
              <w:left w:val="nil"/>
              <w:bottom w:val="single" w:color="auto" w:sz="8" w:space="0"/>
              <w:right w:val="single" w:color="auto" w:sz="8" w:space="0"/>
            </w:tcBorders>
            <w:shd w:val="clear" w:color="auto" w:fill="auto"/>
            <w:vAlign w:val="center"/>
          </w:tcPr>
          <w:p w14:paraId="08433CF1">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254C64E4">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5780CC4A">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9</w:t>
            </w:r>
          </w:p>
        </w:tc>
        <w:tc>
          <w:tcPr>
            <w:tcW w:w="2221" w:type="dxa"/>
            <w:tcBorders>
              <w:top w:val="nil"/>
              <w:left w:val="nil"/>
              <w:bottom w:val="single" w:color="auto" w:sz="8" w:space="0"/>
              <w:right w:val="single" w:color="auto" w:sz="8" w:space="0"/>
            </w:tcBorders>
            <w:shd w:val="clear" w:color="auto" w:fill="auto"/>
            <w:vAlign w:val="center"/>
          </w:tcPr>
          <w:p w14:paraId="286886CF">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电子血压计</w:t>
            </w:r>
          </w:p>
        </w:tc>
        <w:tc>
          <w:tcPr>
            <w:tcW w:w="2163" w:type="dxa"/>
            <w:tcBorders>
              <w:top w:val="nil"/>
              <w:left w:val="nil"/>
              <w:bottom w:val="single" w:color="auto" w:sz="8" w:space="0"/>
              <w:right w:val="single" w:color="auto" w:sz="8" w:space="0"/>
            </w:tcBorders>
            <w:shd w:val="clear" w:color="auto" w:fill="auto"/>
            <w:vAlign w:val="center"/>
          </w:tcPr>
          <w:p w14:paraId="65A3EB79">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机器主体</w:t>
            </w:r>
          </w:p>
        </w:tc>
        <w:tc>
          <w:tcPr>
            <w:tcW w:w="2492" w:type="dxa"/>
            <w:tcBorders>
              <w:top w:val="nil"/>
              <w:left w:val="nil"/>
              <w:bottom w:val="single" w:color="auto" w:sz="8" w:space="0"/>
              <w:right w:val="single" w:color="auto" w:sz="8" w:space="0"/>
            </w:tcBorders>
            <w:shd w:val="clear" w:color="auto" w:fill="auto"/>
            <w:vAlign w:val="center"/>
          </w:tcPr>
          <w:p w14:paraId="3CF5EDAD">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袖带、导气管，要求两年更换一次</w:t>
            </w:r>
          </w:p>
        </w:tc>
        <w:tc>
          <w:tcPr>
            <w:tcW w:w="1176" w:type="dxa"/>
            <w:tcBorders>
              <w:top w:val="nil"/>
              <w:left w:val="nil"/>
              <w:bottom w:val="single" w:color="auto" w:sz="8" w:space="0"/>
              <w:right w:val="single" w:color="auto" w:sz="8" w:space="0"/>
            </w:tcBorders>
            <w:shd w:val="clear" w:color="auto" w:fill="auto"/>
            <w:vAlign w:val="center"/>
          </w:tcPr>
          <w:p w14:paraId="578730CC">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r w14:paraId="020569B8">
        <w:tblPrEx>
          <w:tblCellMar>
            <w:top w:w="0" w:type="dxa"/>
            <w:left w:w="108" w:type="dxa"/>
            <w:bottom w:w="0" w:type="dxa"/>
            <w:right w:w="108" w:type="dxa"/>
          </w:tblCellMar>
        </w:tblPrEx>
        <w:trPr>
          <w:trHeight w:val="534" w:hRule="atLeast"/>
          <w:jc w:val="center"/>
        </w:trPr>
        <w:tc>
          <w:tcPr>
            <w:tcW w:w="711" w:type="dxa"/>
            <w:tcBorders>
              <w:top w:val="nil"/>
              <w:left w:val="single" w:color="auto" w:sz="8" w:space="0"/>
              <w:bottom w:val="single" w:color="auto" w:sz="8" w:space="0"/>
              <w:right w:val="single" w:color="auto" w:sz="8" w:space="0"/>
            </w:tcBorders>
            <w:shd w:val="clear" w:color="auto" w:fill="auto"/>
            <w:vAlign w:val="center"/>
          </w:tcPr>
          <w:p w14:paraId="67A12A8C">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w:t>
            </w:r>
          </w:p>
        </w:tc>
        <w:tc>
          <w:tcPr>
            <w:tcW w:w="2221" w:type="dxa"/>
            <w:tcBorders>
              <w:top w:val="nil"/>
              <w:left w:val="nil"/>
              <w:bottom w:val="single" w:color="auto" w:sz="8" w:space="0"/>
              <w:right w:val="single" w:color="auto" w:sz="8" w:space="0"/>
            </w:tcBorders>
            <w:shd w:val="clear" w:color="auto" w:fill="auto"/>
            <w:vAlign w:val="center"/>
          </w:tcPr>
          <w:p w14:paraId="08E96741">
            <w:pPr>
              <w:snapToGrid w:val="0"/>
              <w:spacing w:line="400" w:lineRule="exact"/>
              <w:jc w:val="center"/>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电子体温枪</w:t>
            </w:r>
          </w:p>
        </w:tc>
        <w:tc>
          <w:tcPr>
            <w:tcW w:w="2163" w:type="dxa"/>
            <w:tcBorders>
              <w:top w:val="nil"/>
              <w:left w:val="nil"/>
              <w:bottom w:val="single" w:color="auto" w:sz="8" w:space="0"/>
              <w:right w:val="single" w:color="auto" w:sz="8" w:space="0"/>
            </w:tcBorders>
            <w:shd w:val="clear" w:color="auto" w:fill="auto"/>
            <w:vAlign w:val="center"/>
          </w:tcPr>
          <w:p w14:paraId="4E1663B5">
            <w:pPr>
              <w:snapToGrid w:val="0"/>
              <w:spacing w:line="40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机器主体</w:t>
            </w:r>
          </w:p>
        </w:tc>
        <w:tc>
          <w:tcPr>
            <w:tcW w:w="2492" w:type="dxa"/>
            <w:tcBorders>
              <w:top w:val="nil"/>
              <w:left w:val="nil"/>
              <w:bottom w:val="single" w:color="auto" w:sz="8" w:space="0"/>
              <w:right w:val="single" w:color="auto" w:sz="8" w:space="0"/>
            </w:tcBorders>
            <w:shd w:val="clear" w:color="auto" w:fill="auto"/>
            <w:vAlign w:val="center"/>
          </w:tcPr>
          <w:p w14:paraId="2D510FB7">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c>
          <w:tcPr>
            <w:tcW w:w="1176" w:type="dxa"/>
            <w:tcBorders>
              <w:top w:val="nil"/>
              <w:left w:val="nil"/>
              <w:bottom w:val="single" w:color="auto" w:sz="8" w:space="0"/>
              <w:right w:val="single" w:color="auto" w:sz="8" w:space="0"/>
            </w:tcBorders>
            <w:shd w:val="clear" w:color="auto" w:fill="auto"/>
            <w:vAlign w:val="center"/>
          </w:tcPr>
          <w:p w14:paraId="73380A68">
            <w:pPr>
              <w:snapToGrid w:val="0"/>
              <w:spacing w:line="400" w:lineRule="exact"/>
              <w:ind w:firstLine="480" w:firstLineChars="200"/>
              <w:jc w:val="center"/>
              <w:rPr>
                <w:rFonts w:hint="eastAsia" w:ascii="宋体" w:hAnsi="宋体" w:eastAsia="宋体" w:cs="宋体"/>
                <w:color w:val="FF0000"/>
                <w:sz w:val="24"/>
                <w:szCs w:val="24"/>
                <w:shd w:val="clear" w:color="auto" w:fill="auto"/>
              </w:rPr>
            </w:pPr>
          </w:p>
        </w:tc>
      </w:tr>
    </w:tbl>
    <w:p w14:paraId="6368AB76">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p w14:paraId="007E97B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7A16E33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22B9D9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782E2DA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123EFFF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4B55375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74" w:name="_Toc4364"/>
      <w:bookmarkStart w:id="75" w:name="_Toc1701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10FF92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B9B40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9B51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92D443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062E8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09305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17146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454660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3DB25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B1F04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511377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BD6CD1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15E62F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10F9B6D">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eastAsia="zh-CN"/>
        </w:rPr>
        <w:t>全保服务期限：2年。</w:t>
      </w:r>
    </w:p>
    <w:p w14:paraId="15F6DEBA">
      <w:pPr>
        <w:snapToGrid w:val="0"/>
        <w:spacing w:line="400" w:lineRule="exact"/>
        <w:ind w:firstLine="540"/>
        <w:rPr>
          <w:rFonts w:hint="default"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2、维保服务地点：重庆医科大学附属永川医院</w:t>
      </w:r>
      <w:r>
        <w:rPr>
          <w:rFonts w:hint="default" w:ascii="宋体" w:hAnsi="宋体" w:eastAsia="宋体" w:cs="宋体"/>
          <w:color w:val="FF0000"/>
          <w:sz w:val="24"/>
          <w:szCs w:val="24"/>
          <w:shd w:val="clear" w:color="auto" w:fill="auto"/>
          <w:lang w:eastAsia="zh-CN"/>
        </w:rPr>
        <w:t>社区卫生服务中心。</w:t>
      </w:r>
    </w:p>
    <w:p w14:paraId="22B8B366">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每一年服务年度满后，凭发票、合同复印件、维护维俢报告付服务费用。如果出现大配件故障，停机时间≥一个月，维保费用按实际服务天数计算。若中标单位服务期内未提供巡检保养服务或服务次数不足，院方不予以付费。</w:t>
      </w:r>
    </w:p>
    <w:p w14:paraId="36E312DB">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4、供应商需提供永川地区客服专员报修电话，电话响应时间</w:t>
      </w:r>
      <w:r>
        <w:rPr>
          <w:rFonts w:hint="default"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val="en-US" w:eastAsia="zh-CN"/>
        </w:rPr>
        <w:t>小时，若电话不能解决的，</w:t>
      </w:r>
      <w:r>
        <w:rPr>
          <w:rFonts w:hint="default" w:ascii="宋体" w:hAnsi="宋体" w:eastAsia="宋体" w:cs="宋体"/>
          <w:color w:val="FF0000"/>
          <w:sz w:val="24"/>
          <w:szCs w:val="24"/>
          <w:shd w:val="clear" w:color="auto" w:fill="auto"/>
          <w:lang w:eastAsia="zh-CN"/>
        </w:rPr>
        <w:t>维护人员</w:t>
      </w:r>
      <w:r>
        <w:rPr>
          <w:rFonts w:hint="eastAsia" w:ascii="宋体" w:hAnsi="宋体" w:eastAsia="宋体" w:cs="宋体"/>
          <w:color w:val="FF0000"/>
          <w:sz w:val="24"/>
          <w:szCs w:val="24"/>
          <w:shd w:val="clear" w:color="auto" w:fill="auto"/>
          <w:lang w:val="en-US" w:eastAsia="zh-CN"/>
        </w:rPr>
        <w:t>现场响应时间为</w:t>
      </w:r>
      <w:r>
        <w:rPr>
          <w:rFonts w:hint="default" w:ascii="宋体" w:hAnsi="宋体" w:eastAsia="宋体" w:cs="宋体"/>
          <w:color w:val="FF0000"/>
          <w:sz w:val="24"/>
          <w:szCs w:val="24"/>
          <w:shd w:val="clear" w:color="auto" w:fill="auto"/>
          <w:lang w:eastAsia="zh-CN"/>
        </w:rPr>
        <w:t>12</w:t>
      </w:r>
      <w:r>
        <w:rPr>
          <w:rFonts w:hint="eastAsia" w:ascii="宋体" w:hAnsi="宋体" w:eastAsia="宋体" w:cs="宋体"/>
          <w:color w:val="FF0000"/>
          <w:sz w:val="24"/>
          <w:szCs w:val="24"/>
          <w:shd w:val="clear" w:color="auto" w:fill="auto"/>
          <w:lang w:val="en-US" w:eastAsia="zh-CN"/>
        </w:rPr>
        <w:t>小时内。若延迟到达现场</w:t>
      </w:r>
      <w:r>
        <w:rPr>
          <w:rFonts w:hint="default"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lang w:val="en-US" w:eastAsia="zh-CN"/>
        </w:rPr>
        <w:t>延迟一天，则维保合同期限延长</w:t>
      </w:r>
      <w:r>
        <w:rPr>
          <w:rFonts w:hint="default"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lang w:val="en-US" w:eastAsia="zh-CN"/>
        </w:rPr>
        <w:t>个日历日。</w:t>
      </w:r>
    </w:p>
    <w:p w14:paraId="1C769A7A">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5、每年度维保服务完成后，维保单位提供一份完整的年度维保报告（电子版和纸字版各一份），需保养单位、使用科室和设备科分管工程师同时签字确认，否则不予以付费。</w:t>
      </w:r>
    </w:p>
    <w:p w14:paraId="05765073">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6、信息安全要求：中标单位需签信息安全保密协议。</w:t>
      </w:r>
    </w:p>
    <w:p w14:paraId="508DE68C">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7、在远程服务或系统升级服务时，供应商需对医院的信息安全和数据安全负责，在服务工作中造成的影响或损失由供应商负责。</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403569796"/>
      <w:bookmarkStart w:id="85" w:name="_Toc14840"/>
      <w:bookmarkStart w:id="86" w:name="_Toc15711"/>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21293"/>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5565"/>
      <w:bookmarkStart w:id="153" w:name="_Toc485108796"/>
      <w:bookmarkStart w:id="154" w:name="_Toc313888360"/>
      <w:bookmarkStart w:id="155" w:name="_Toc480979018"/>
      <w:bookmarkStart w:id="156" w:name="_Toc342913419"/>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59" w:name="_Toc485108797"/>
      <w:bookmarkStart w:id="160" w:name="_Toc313008357"/>
      <w:bookmarkStart w:id="161" w:name="_Toc342913420"/>
      <w:bookmarkStart w:id="162" w:name="_Toc313888361"/>
      <w:bookmarkStart w:id="163" w:name="_Toc480979019"/>
      <w:r>
        <w:rPr>
          <w:rFonts w:hint="eastAsia"/>
          <w:color w:val="000000" w:themeColor="text1"/>
          <w:sz w:val="32"/>
          <w:szCs w:val="36"/>
          <w14:textFill>
            <w14:solidFill>
              <w14:schemeClr w14:val="tx1"/>
            </w14:solidFill>
          </w14:textFill>
        </w:rPr>
        <w:t>报价表</w:t>
      </w:r>
    </w:p>
    <w:tbl>
      <w:tblPr>
        <w:tblStyle w:val="6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02"/>
        <w:gridCol w:w="3192"/>
        <w:gridCol w:w="3155"/>
      </w:tblGrid>
      <w:tr w14:paraId="31AE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46" w:type="pct"/>
            <w:vAlign w:val="center"/>
          </w:tcPr>
          <w:p w14:paraId="1E4DC746">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序号</w:t>
            </w:r>
          </w:p>
        </w:tc>
        <w:tc>
          <w:tcPr>
            <w:tcW w:w="1353" w:type="pct"/>
            <w:vAlign w:val="center"/>
          </w:tcPr>
          <w:p w14:paraId="58EC0510">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服务名称</w:t>
            </w:r>
          </w:p>
        </w:tc>
        <w:tc>
          <w:tcPr>
            <w:tcW w:w="1659" w:type="pct"/>
            <w:vAlign w:val="center"/>
          </w:tcPr>
          <w:p w14:paraId="6242D1C9">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价格（元</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tc>
        <w:tc>
          <w:tcPr>
            <w:tcW w:w="1640" w:type="pct"/>
            <w:vAlign w:val="center"/>
          </w:tcPr>
          <w:p w14:paraId="218BC72A">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总价（元）</w:t>
            </w:r>
          </w:p>
        </w:tc>
      </w:tr>
      <w:tr w14:paraId="6AB8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46" w:type="pct"/>
            <w:vAlign w:val="center"/>
          </w:tcPr>
          <w:p w14:paraId="1FF76C72">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p>
        </w:tc>
        <w:tc>
          <w:tcPr>
            <w:tcW w:w="1353" w:type="pct"/>
            <w:vAlign w:val="center"/>
          </w:tcPr>
          <w:p w14:paraId="2FDAEC43">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兴龙湖社区卫生服务中心汉韵全民健康体检系统维护全保服务</w:t>
            </w:r>
          </w:p>
        </w:tc>
        <w:tc>
          <w:tcPr>
            <w:tcW w:w="1659" w:type="pct"/>
            <w:vAlign w:val="center"/>
          </w:tcPr>
          <w:p w14:paraId="5C89F394">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c>
          <w:tcPr>
            <w:tcW w:w="1640" w:type="pct"/>
            <w:vAlign w:val="center"/>
          </w:tcPr>
          <w:p w14:paraId="1CF475C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1C813957">
      <w:pPr>
        <w:pStyle w:val="52"/>
        <w:spacing w:before="0" w:beforeAutospacing="0" w:after="0" w:afterAutospacing="0" w:line="480" w:lineRule="exact"/>
        <w:ind w:firstLine="420" w:firstLineChars="150"/>
        <w:rPr>
          <w:rFonts w:hint="eastAsia" w:eastAsia="宋体" w:cs="MS Shell Dlg"/>
          <w:color w:val="000000" w:themeColor="text1"/>
          <w:sz w:val="28"/>
          <w:szCs w:val="28"/>
          <w:lang w:eastAsia="zh-CN"/>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CE1F296">
      <w:pPr>
        <w:outlineLvl w:val="0"/>
        <w:rPr>
          <w:rFonts w:hint="eastAsia" w:ascii="宋体" w:hAnsi="宋体" w:eastAsia="宋体" w:cs="宋体"/>
          <w:b/>
          <w:color w:val="000000" w:themeColor="text1"/>
          <w:shd w:val="clear" w:color="auto" w:fill="auto"/>
          <w14:textFill>
            <w14:solidFill>
              <w14:schemeClr w14:val="tx1"/>
            </w14:solidFill>
          </w14:textFill>
        </w:rPr>
      </w:pPr>
    </w:p>
    <w:p w14:paraId="67DBCEE7">
      <w:pPr>
        <w:outlineLvl w:val="0"/>
        <w:rPr>
          <w:rFonts w:hint="eastAsia" w:ascii="宋体" w:hAnsi="宋体" w:eastAsia="宋体" w:cs="宋体"/>
          <w:b/>
          <w:color w:val="000000" w:themeColor="text1"/>
          <w:shd w:val="clear" w:color="auto" w:fill="auto"/>
          <w14:textFill>
            <w14:solidFill>
              <w14:schemeClr w14:val="tx1"/>
            </w14:solidFill>
          </w14:textFill>
        </w:rPr>
      </w:pPr>
    </w:p>
    <w:p w14:paraId="54AED090">
      <w:pPr>
        <w:outlineLvl w:val="0"/>
        <w:rPr>
          <w:rFonts w:hint="eastAsia" w:ascii="宋体" w:hAnsi="宋体" w:eastAsia="宋体" w:cs="宋体"/>
          <w:b/>
          <w:color w:val="000000" w:themeColor="text1"/>
          <w:shd w:val="clear" w:color="auto" w:fill="auto"/>
          <w14:textFill>
            <w14:solidFill>
              <w14:schemeClr w14:val="tx1"/>
            </w14:solidFill>
          </w14:textFill>
        </w:rPr>
      </w:pPr>
    </w:p>
    <w:p w14:paraId="7BA9FF71">
      <w:pPr>
        <w:outlineLvl w:val="0"/>
        <w:rPr>
          <w:rFonts w:hint="eastAsia" w:ascii="宋体" w:hAnsi="宋体" w:eastAsia="宋体" w:cs="宋体"/>
          <w:b/>
          <w:color w:val="000000" w:themeColor="text1"/>
          <w:shd w:val="clear" w:color="auto" w:fill="auto"/>
          <w14:textFill>
            <w14:solidFill>
              <w14:schemeClr w14:val="tx1"/>
            </w14:solidFill>
          </w14:textFill>
        </w:rPr>
      </w:pPr>
    </w:p>
    <w:p w14:paraId="0B3496D9">
      <w:pPr>
        <w:outlineLvl w:val="0"/>
        <w:rPr>
          <w:rFonts w:hint="eastAsia" w:ascii="宋体" w:hAnsi="宋体" w:eastAsia="宋体" w:cs="宋体"/>
          <w:b/>
          <w:color w:val="000000" w:themeColor="text1"/>
          <w:shd w:val="clear" w:color="auto" w:fill="auto"/>
          <w14:textFill>
            <w14:solidFill>
              <w14:schemeClr w14:val="tx1"/>
            </w14:solidFill>
          </w14:textFill>
        </w:rPr>
      </w:pPr>
    </w:p>
    <w:p w14:paraId="4071EB66">
      <w:pPr>
        <w:outlineLvl w:val="0"/>
        <w:rPr>
          <w:rFonts w:hint="eastAsia" w:ascii="宋体" w:hAnsi="宋体" w:eastAsia="宋体" w:cs="宋体"/>
          <w:b/>
          <w:color w:val="000000" w:themeColor="text1"/>
          <w:shd w:val="clear" w:color="auto" w:fill="auto"/>
          <w14:textFill>
            <w14:solidFill>
              <w14:schemeClr w14:val="tx1"/>
            </w14:solidFill>
          </w14:textFill>
        </w:rPr>
      </w:pPr>
    </w:p>
    <w:p w14:paraId="7322EFCE">
      <w:pPr>
        <w:outlineLvl w:val="0"/>
        <w:rPr>
          <w:rFonts w:hint="eastAsia" w:ascii="宋体" w:hAnsi="宋体" w:eastAsia="宋体" w:cs="宋体"/>
          <w:b/>
          <w:color w:val="000000" w:themeColor="text1"/>
          <w:shd w:val="clear" w:color="auto" w:fill="auto"/>
          <w14:textFill>
            <w14:solidFill>
              <w14:schemeClr w14:val="tx1"/>
            </w14:solidFill>
          </w14:textFill>
        </w:rPr>
      </w:pPr>
    </w:p>
    <w:p w14:paraId="7CB5C92B">
      <w:pPr>
        <w:outlineLvl w:val="0"/>
        <w:rPr>
          <w:rFonts w:hint="eastAsia" w:ascii="宋体" w:hAnsi="宋体" w:eastAsia="宋体" w:cs="宋体"/>
          <w:b/>
          <w:color w:val="000000" w:themeColor="text1"/>
          <w:shd w:val="clear" w:color="auto" w:fill="auto"/>
          <w14:textFill>
            <w14:solidFill>
              <w14:schemeClr w14:val="tx1"/>
            </w14:solidFill>
          </w14:textFill>
        </w:rPr>
      </w:pPr>
    </w:p>
    <w:p w14:paraId="30664EAB">
      <w:pPr>
        <w:outlineLvl w:val="0"/>
        <w:rPr>
          <w:rFonts w:hint="eastAsia" w:ascii="宋体" w:hAnsi="宋体" w:eastAsia="宋体" w:cs="宋体"/>
          <w:b/>
          <w:color w:val="000000" w:themeColor="text1"/>
          <w:shd w:val="clear" w:color="auto" w:fill="auto"/>
          <w14:textFill>
            <w14:solidFill>
              <w14:schemeClr w14:val="tx1"/>
            </w14:solidFill>
          </w14:textFill>
        </w:rPr>
      </w:pPr>
    </w:p>
    <w:p w14:paraId="66D4F169">
      <w:pPr>
        <w:outlineLvl w:val="0"/>
        <w:rPr>
          <w:rFonts w:hint="eastAsia" w:ascii="宋体" w:hAnsi="宋体" w:eastAsia="宋体" w:cs="宋体"/>
          <w:b/>
          <w:color w:val="000000" w:themeColor="text1"/>
          <w:shd w:val="clear" w:color="auto" w:fill="auto"/>
          <w14:textFill>
            <w14:solidFill>
              <w14:schemeClr w14:val="tx1"/>
            </w14:solidFill>
          </w14:textFill>
        </w:rPr>
      </w:pPr>
    </w:p>
    <w:p w14:paraId="39E632EB">
      <w:pPr>
        <w:outlineLvl w:val="0"/>
        <w:rPr>
          <w:rFonts w:hint="eastAsia" w:ascii="宋体" w:hAnsi="宋体" w:eastAsia="宋体" w:cs="宋体"/>
          <w:b/>
          <w:color w:val="000000" w:themeColor="text1"/>
          <w:shd w:val="clear" w:color="auto" w:fill="auto"/>
          <w14:textFill>
            <w14:solidFill>
              <w14:schemeClr w14:val="tx1"/>
            </w14:solidFill>
          </w14:textFill>
        </w:rPr>
      </w:pPr>
    </w:p>
    <w:p w14:paraId="704BD29B">
      <w:pPr>
        <w:outlineLvl w:val="0"/>
        <w:rPr>
          <w:rFonts w:hint="eastAsia" w:ascii="宋体" w:hAnsi="宋体" w:eastAsia="宋体" w:cs="宋体"/>
          <w:b/>
          <w:color w:val="000000" w:themeColor="text1"/>
          <w:shd w:val="clear" w:color="auto" w:fill="auto"/>
          <w14:textFill>
            <w14:solidFill>
              <w14:schemeClr w14:val="tx1"/>
            </w14:solidFill>
          </w14:textFill>
        </w:rPr>
      </w:pPr>
    </w:p>
    <w:p w14:paraId="571899F5">
      <w:pPr>
        <w:outlineLvl w:val="0"/>
        <w:rPr>
          <w:rFonts w:hint="eastAsia" w:ascii="宋体" w:hAnsi="宋体" w:eastAsia="宋体" w:cs="宋体"/>
          <w:b/>
          <w:color w:val="000000" w:themeColor="text1"/>
          <w:shd w:val="clear" w:color="auto" w:fill="auto"/>
          <w14:textFill>
            <w14:solidFill>
              <w14:schemeClr w14:val="tx1"/>
            </w14:solidFill>
          </w14:textFill>
        </w:rPr>
      </w:pPr>
    </w:p>
    <w:p w14:paraId="58D26A86">
      <w:pPr>
        <w:outlineLvl w:val="0"/>
        <w:rPr>
          <w:rFonts w:hint="eastAsia" w:ascii="宋体" w:hAnsi="宋体" w:eastAsia="宋体" w:cs="宋体"/>
          <w:b/>
          <w:color w:val="000000" w:themeColor="text1"/>
          <w:shd w:val="clear" w:color="auto" w:fill="auto"/>
          <w14:textFill>
            <w14:solidFill>
              <w14:schemeClr w14:val="tx1"/>
            </w14:solidFill>
          </w14:textFill>
        </w:rPr>
      </w:pPr>
    </w:p>
    <w:p w14:paraId="0EAB3354">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1F389A13-B9EB-45A9-B946-74ED49D796D6}"/>
  </w:font>
  <w:font w:name="MS Shell Dlg">
    <w:altName w:val="Microsoft Sans Serif"/>
    <w:panose1 w:val="020B0604020202020204"/>
    <w:charset w:val="00"/>
    <w:family w:val="swiss"/>
    <w:pitch w:val="default"/>
    <w:sig w:usb0="00000000" w:usb1="00000000" w:usb2="00000008" w:usb3="00000000" w:csb0="000101FF" w:csb1="00000000"/>
    <w:embedRegular r:id="rId2" w:fontKey="{21912F74-1CC9-48D1-97EA-799DDB5679A7}"/>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107E67"/>
    <w:rsid w:val="065A1406"/>
    <w:rsid w:val="067D7A0C"/>
    <w:rsid w:val="06A45EA9"/>
    <w:rsid w:val="06BC1BB0"/>
    <w:rsid w:val="074B1659"/>
    <w:rsid w:val="07911761"/>
    <w:rsid w:val="07A921C5"/>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3D1FCE"/>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C460C4"/>
    <w:rsid w:val="41D4500D"/>
    <w:rsid w:val="41D67141"/>
    <w:rsid w:val="41F534A6"/>
    <w:rsid w:val="41F5463E"/>
    <w:rsid w:val="42030507"/>
    <w:rsid w:val="420A020E"/>
    <w:rsid w:val="420A1906"/>
    <w:rsid w:val="423F7EC6"/>
    <w:rsid w:val="42720834"/>
    <w:rsid w:val="42812C89"/>
    <w:rsid w:val="428345E9"/>
    <w:rsid w:val="429D5EC0"/>
    <w:rsid w:val="42A40896"/>
    <w:rsid w:val="42A86289"/>
    <w:rsid w:val="42BD50C4"/>
    <w:rsid w:val="435A6531"/>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357E59"/>
    <w:rsid w:val="4B597B89"/>
    <w:rsid w:val="4BE8259F"/>
    <w:rsid w:val="4C025EBB"/>
    <w:rsid w:val="4C4E289A"/>
    <w:rsid w:val="4C9265CC"/>
    <w:rsid w:val="4DBE5CAD"/>
    <w:rsid w:val="4DD75684"/>
    <w:rsid w:val="4E0D2518"/>
    <w:rsid w:val="4E231003"/>
    <w:rsid w:val="4E3873B7"/>
    <w:rsid w:val="4EF70D4B"/>
    <w:rsid w:val="4F2E0C11"/>
    <w:rsid w:val="4F79418A"/>
    <w:rsid w:val="4FD3706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1000B7"/>
    <w:rsid w:val="54333CD5"/>
    <w:rsid w:val="546107D9"/>
    <w:rsid w:val="546E506B"/>
    <w:rsid w:val="549E2395"/>
    <w:rsid w:val="55115317"/>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857B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823A72"/>
    <w:rsid w:val="60980BFD"/>
    <w:rsid w:val="60D65D3F"/>
    <w:rsid w:val="60F4333C"/>
    <w:rsid w:val="60F85618"/>
    <w:rsid w:val="610B5004"/>
    <w:rsid w:val="611A50B4"/>
    <w:rsid w:val="613E0BCE"/>
    <w:rsid w:val="619C43F3"/>
    <w:rsid w:val="6269072D"/>
    <w:rsid w:val="62A30CCB"/>
    <w:rsid w:val="62F24507"/>
    <w:rsid w:val="6352606D"/>
    <w:rsid w:val="639436E3"/>
    <w:rsid w:val="63CC3832"/>
    <w:rsid w:val="6445282D"/>
    <w:rsid w:val="645A13DB"/>
    <w:rsid w:val="64607B1A"/>
    <w:rsid w:val="646915EC"/>
    <w:rsid w:val="648C045C"/>
    <w:rsid w:val="64A83BDE"/>
    <w:rsid w:val="656A40F1"/>
    <w:rsid w:val="658C5E23"/>
    <w:rsid w:val="65D62F59"/>
    <w:rsid w:val="65F9363E"/>
    <w:rsid w:val="667E25AF"/>
    <w:rsid w:val="66815672"/>
    <w:rsid w:val="67042ACB"/>
    <w:rsid w:val="67152E14"/>
    <w:rsid w:val="67770DF7"/>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F415F"/>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11234</Words>
  <Characters>11458</Characters>
  <Lines>182</Lines>
  <Paragraphs>51</Paragraphs>
  <TotalTime>1</TotalTime>
  <ScaleCrop>false</ScaleCrop>
  <LinksUpToDate>false</LinksUpToDate>
  <CharactersWithSpaces>11624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2025-08-25T09:21:24Z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