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2025FW101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兴龙湖院区病房毛巾杆、晾衣杆、公共区域紧急呼叫按钮采购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2789052"/>
      <w:bookmarkStart w:id="2" w:name="_Toc11641050"/>
      <w:bookmarkStart w:id="3" w:name="_Toc23588"/>
      <w:bookmarkStart w:id="4" w:name="_Toc485108766"/>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兴龙湖院区病房毛巾杆、晾衣杆、公共区域紧急呼叫按钮采购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313893526"/>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兴龙湖院区病房毛巾杆、晾衣杆、公共区域紧急呼叫按钮采购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：医院自筹,预算金额：280640元。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33812FFA">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建筑工程施工总承包贰级及以上）</w:t>
      </w:r>
    </w:p>
    <w:p w14:paraId="5362C0B7">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adjustRightInd w:val="0"/>
        <w:spacing w:line="5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投标人应充分考虑完成本工程的各种因素并满足甲方使用要求，除采购方要求的重大改动内容外，总价不作调整。采购方要求的重大改动内容执行上述定额按实结算，其中为人工、材料价格按施工同期《重庆工程造价信息》发布价取算数平均值，造价信息没有的材料由双方共同认质认价。</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403569783"/>
      <w:bookmarkStart w:id="56" w:name="_Toc7135"/>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E898EB9">
      <w:pPr>
        <w:spacing w:line="46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项目内容：兴龙湖院区病房卫生间毛巾架、晾衣房晾衣杆、公共区域卫生间紧急呼叫按钮改造大致内容为：晾衣房铝扣板拆除及恢复各224m²、受力架（用于焊接承重晾衣架）260套、晾衣杆2.7米78套、晾衣杆1.4米52套、病房卫生间毛巾杆1.2米384套、护士主机6台、无限信号转换盒6台、无限防水按钮85个、中央服务器1套、IP呼叫管理平台软件1套。安全文明施工费、措施费等由各投标单位结合自身情况统一报价，招标前符合资格的单位另行通知现场勘查。不到现场勘察的投标人，一旦中标，投标人不得以不完全了解施工现场情况为借口而提出额外赔偿或延长工期的要求，造成一切损失由投标人承担。</w:t>
      </w:r>
    </w:p>
    <w:p w14:paraId="1F2C738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施工完成后需满足甲方使用要求并提供完整的竣工资料两份。</w:t>
      </w:r>
    </w:p>
    <w:p w14:paraId="05209C21">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人员要求：本项目涉及到焊接的部位，焊工需具有中华人民共和国应急管理部（原国家安全生产监督管理局）颁发的“焊接与热切割作业”证书，并且为本公司员工（提供社保证明）。项目开工前，特种作业人员必须到场，直至项目竣工验收完成，未经我院同意不得随意更换特种作业人员。</w:t>
      </w:r>
    </w:p>
    <w:p w14:paraId="1702757A">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开工前责任科室需提交临时施工许可证申请，相关部门审核通过后并办理了临时施工许可证后方可进行施工。在施工过程中，中标方应采取有效的安全措施，保证施工人员和其他人员的人身安全，并承担因安全事故导致的一切经济和法律责任。如有损坏财产须照价赔偿。并遵守安全文明施工。</w:t>
      </w:r>
    </w:p>
    <w:p w14:paraId="769486EE">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5.本项目完工后需做好各项售后服务。</w:t>
      </w:r>
    </w:p>
    <w:p w14:paraId="3B9B3562">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6.参选供应商需满足</w:t>
      </w:r>
    </w:p>
    <w:p w14:paraId="4787C444">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p>
    <w:p w14:paraId="7CC9CE5B">
      <w:pPr>
        <w:snapToGrid w:val="0"/>
        <w:spacing w:line="400" w:lineRule="exact"/>
        <w:ind w:firstLine="480" w:firstLineChars="200"/>
        <w:jc w:val="left"/>
        <w:rPr>
          <w:rFonts w:hint="eastAsia" w:ascii="宋体" w:hAnsi="宋体" w:eastAsia="宋体" w:cs="宋体"/>
          <w:color w:val="FF0000"/>
          <w:sz w:val="24"/>
          <w:szCs w:val="24"/>
          <w:shd w:val="clear" w:color="auto" w:fill="auto"/>
        </w:rPr>
      </w:pPr>
    </w:p>
    <w:p w14:paraId="7B762AB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ABF14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1.质保期：2年。</w:t>
      </w:r>
    </w:p>
    <w:p w14:paraId="7517BE2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2.工期：不大于30天</w:t>
      </w:r>
    </w:p>
    <w:p w14:paraId="5DC73C2C">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合同签订后5个工作日内，服务方向采购方转账支付合同金额的8%作为履约保证金。验收合格后服务方提供验收资料和合法发票，经采购方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14840"/>
      <w:bookmarkStart w:id="84" w:name="_Toc403569796"/>
      <w:bookmarkStart w:id="85" w:name="_Toc485108794"/>
      <w:bookmarkStart w:id="86" w:name="_Toc15711"/>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lang w:val="en-US" w:eastAsia="zh-CN"/>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ascii="黑体" w:hAnsi="黑体" w:eastAsia="黑体"/>
          <w:sz w:val="32"/>
          <w:szCs w:val="32"/>
          <w:lang w:val="en-US" w:eastAsia="zh-CN"/>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0B903C29">
            <w:pPr>
              <w:spacing w:line="360" w:lineRule="auto"/>
              <w:jc w:val="center"/>
              <w:rPr>
                <w:rFonts w:hint="default" w:ascii="宋体" w:hAnsi="宋体"/>
                <w:sz w:val="24"/>
                <w:lang w:val="en-US"/>
              </w:rPr>
            </w:pPr>
            <w:r>
              <w:rPr>
                <w:rFonts w:hint="eastAsia" w:ascii="宋体" w:hAnsi="宋体"/>
                <w:sz w:val="24"/>
                <w:lang w:val="en-US" w:eastAsia="zh-CN"/>
              </w:rPr>
              <w:t>兴龙湖院区病房卫生间毛巾杆、晾衣房晾衣杆、公共区域卫生间紧急呼叫按钮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6038507B">
      <w:pPr>
        <w:spacing w:line="360" w:lineRule="auto"/>
        <w:rPr>
          <w:rFonts w:hint="eastAsia" w:ascii="宋体" w:hAnsi="宋体"/>
          <w:sz w:val="28"/>
          <w:szCs w:val="28"/>
        </w:rPr>
      </w:pPr>
      <w:r>
        <w:rPr>
          <w:rFonts w:hint="eastAsia" w:ascii="宋体" w:hAnsi="宋体"/>
          <w:sz w:val="28"/>
          <w:szCs w:val="28"/>
        </w:rPr>
        <w:t>备注：</w:t>
      </w:r>
      <w:r>
        <w:rPr>
          <w:rFonts w:hint="eastAsia" w:ascii="宋体" w:hAnsi="宋体"/>
          <w:sz w:val="28"/>
          <w:szCs w:val="28"/>
          <w:lang w:eastAsia="zh-CN"/>
        </w:rPr>
        <w:t>参选报价</w:t>
      </w:r>
      <w:r>
        <w:rPr>
          <w:rFonts w:hint="eastAsia" w:ascii="宋体" w:hAnsi="宋体"/>
          <w:sz w:val="28"/>
          <w:szCs w:val="28"/>
        </w:rPr>
        <w:t>为包干价，包含但不限于材料费、人工费、运输费、搬运费、施工费、保险费、税费等各项费用。</w:t>
      </w:r>
    </w:p>
    <w:p w14:paraId="71A750FE">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36EA8E28">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4B4E674E">
      <w:pPr>
        <w:tabs>
          <w:tab w:val="left" w:pos="1134"/>
        </w:tabs>
        <w:jc w:val="center"/>
        <w:rPr>
          <w:rFonts w:hint="eastAsia" w:ascii="黑体" w:hAnsi="黑体" w:eastAsia="黑体"/>
          <w:sz w:val="32"/>
          <w:szCs w:val="32"/>
          <w:lang w:val="en-US" w:eastAsia="zh-CN"/>
        </w:rPr>
      </w:pPr>
    </w:p>
    <w:p w14:paraId="43CCCDE4">
      <w:pPr>
        <w:tabs>
          <w:tab w:val="left" w:pos="1134"/>
        </w:tabs>
        <w:jc w:val="center"/>
        <w:rPr>
          <w:rFonts w:hint="eastAsia" w:ascii="黑体" w:hAnsi="黑体" w:eastAsia="黑体"/>
          <w:sz w:val="32"/>
          <w:szCs w:val="32"/>
          <w:lang w:val="en-US" w:eastAsia="zh-CN"/>
        </w:rPr>
      </w:pPr>
    </w:p>
    <w:p w14:paraId="2060F795">
      <w:pPr>
        <w:tabs>
          <w:tab w:val="left" w:pos="1134"/>
        </w:tabs>
        <w:jc w:val="center"/>
        <w:rPr>
          <w:rFonts w:hint="eastAsia" w:ascii="黑体" w:hAnsi="黑体" w:eastAsia="黑体"/>
          <w:sz w:val="32"/>
          <w:szCs w:val="32"/>
          <w:lang w:val="en-US" w:eastAsia="zh-CN"/>
        </w:rPr>
      </w:pPr>
    </w:p>
    <w:p w14:paraId="19C1C5A2">
      <w:pPr>
        <w:tabs>
          <w:tab w:val="left" w:pos="1134"/>
        </w:tabs>
        <w:jc w:val="center"/>
        <w:rPr>
          <w:rFonts w:hint="eastAsia" w:ascii="黑体" w:hAnsi="黑体" w:eastAsia="黑体"/>
          <w:sz w:val="32"/>
          <w:szCs w:val="32"/>
          <w:lang w:val="en-US" w:eastAsia="zh-CN"/>
        </w:rPr>
      </w:pPr>
    </w:p>
    <w:p w14:paraId="2FB87830">
      <w:pPr>
        <w:tabs>
          <w:tab w:val="left" w:pos="1134"/>
        </w:tabs>
        <w:jc w:val="center"/>
        <w:rPr>
          <w:rFonts w:hint="eastAsia" w:ascii="黑体" w:hAnsi="黑体" w:eastAsia="黑体"/>
          <w:sz w:val="32"/>
          <w:szCs w:val="32"/>
          <w:lang w:val="en-US" w:eastAsia="zh-CN"/>
        </w:rPr>
      </w:pPr>
    </w:p>
    <w:p w14:paraId="03395C99">
      <w:pPr>
        <w:tabs>
          <w:tab w:val="left" w:pos="1134"/>
        </w:tabs>
        <w:jc w:val="center"/>
        <w:rPr>
          <w:rFonts w:hint="eastAsia" w:ascii="黑体" w:hAnsi="黑体" w:eastAsia="黑体"/>
          <w:sz w:val="32"/>
          <w:szCs w:val="32"/>
          <w:lang w:val="en-US" w:eastAsia="zh-CN"/>
        </w:rPr>
      </w:pPr>
    </w:p>
    <w:p w14:paraId="76B291F7">
      <w:pPr>
        <w:tabs>
          <w:tab w:val="left" w:pos="1134"/>
        </w:tabs>
        <w:jc w:val="center"/>
        <w:rPr>
          <w:rFonts w:hint="eastAsia" w:ascii="黑体" w:hAnsi="黑体" w:eastAsia="黑体"/>
          <w:sz w:val="32"/>
          <w:szCs w:val="32"/>
          <w:lang w:val="en-US" w:eastAsia="zh-CN"/>
        </w:rPr>
      </w:pPr>
    </w:p>
    <w:p w14:paraId="35AB2EAB">
      <w:pPr>
        <w:tabs>
          <w:tab w:val="left" w:pos="1134"/>
        </w:tabs>
        <w:jc w:val="center"/>
        <w:rPr>
          <w:rFonts w:hint="eastAsia" w:ascii="黑体" w:hAnsi="黑体" w:eastAsia="黑体"/>
          <w:sz w:val="32"/>
          <w:szCs w:val="32"/>
          <w:lang w:val="en-US" w:eastAsia="zh-CN"/>
        </w:rPr>
      </w:pPr>
    </w:p>
    <w:p w14:paraId="700E8F96">
      <w:pPr>
        <w:tabs>
          <w:tab w:val="left" w:pos="1134"/>
        </w:tabs>
        <w:jc w:val="center"/>
        <w:rPr>
          <w:rFonts w:hint="eastAsia" w:ascii="黑体" w:hAnsi="黑体" w:eastAsia="黑体"/>
          <w:sz w:val="32"/>
          <w:szCs w:val="32"/>
          <w:lang w:val="en-US" w:eastAsia="zh-CN"/>
        </w:rPr>
      </w:pPr>
    </w:p>
    <w:p w14:paraId="3B4F6DCB">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959"/>
        <w:gridCol w:w="1200"/>
        <w:gridCol w:w="2715"/>
        <w:gridCol w:w="3084"/>
      </w:tblGrid>
      <w:tr w14:paraId="392A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495" w:type="dxa"/>
            <w:vAlign w:val="center"/>
          </w:tcPr>
          <w:p w14:paraId="565D0C96">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959" w:type="dxa"/>
            <w:vAlign w:val="center"/>
          </w:tcPr>
          <w:p w14:paraId="3FC6C414">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1200" w:type="dxa"/>
            <w:vAlign w:val="center"/>
          </w:tcPr>
          <w:p w14:paraId="5C231B8A">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715" w:type="dxa"/>
            <w:vAlign w:val="center"/>
          </w:tcPr>
          <w:p w14:paraId="0A364B8F">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c>
          <w:tcPr>
            <w:tcW w:w="3084" w:type="dxa"/>
            <w:vAlign w:val="center"/>
          </w:tcPr>
          <w:p w14:paraId="4FAB4003">
            <w:pPr>
              <w:spacing w:line="360" w:lineRule="auto"/>
              <w:jc w:val="center"/>
              <w:rPr>
                <w:rFonts w:hint="default" w:ascii="宋体" w:hAnsi="宋体"/>
                <w:sz w:val="24"/>
                <w:lang w:val="en-US" w:eastAsia="zh-CN"/>
              </w:rPr>
            </w:pPr>
            <w:r>
              <w:rPr>
                <w:rFonts w:hint="eastAsia" w:ascii="宋体" w:hAnsi="宋体"/>
                <w:sz w:val="24"/>
                <w:lang w:val="en-US" w:eastAsia="zh-CN"/>
              </w:rPr>
              <w:t>备注</w:t>
            </w:r>
          </w:p>
        </w:tc>
      </w:tr>
      <w:tr w14:paraId="1F08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65196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sz w:val="32"/>
                <w:szCs w:val="32"/>
                <w:vertAlign w:val="baseline"/>
                <w:lang w:val="en-US" w:eastAsia="zh-CN"/>
              </w:rPr>
            </w:pPr>
            <w:r>
              <w:rPr>
                <w:rFonts w:hint="default" w:ascii="宋体" w:hAnsi="宋体" w:eastAsia="宋体"/>
                <w:sz w:val="24"/>
                <w:lang w:val="en-US" w:eastAsia="zh-CN"/>
              </w:rPr>
              <w:t>受力架（用于焊接承重晾衣架）</w:t>
            </w:r>
          </w:p>
        </w:tc>
        <w:tc>
          <w:tcPr>
            <w:tcW w:w="959" w:type="dxa"/>
            <w:vAlign w:val="center"/>
          </w:tcPr>
          <w:p w14:paraId="67399964">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3821BDD0">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339E4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sz w:val="32"/>
                <w:szCs w:val="32"/>
                <w:vertAlign w:val="baseline"/>
                <w:lang w:val="en-US" w:eastAsia="zh-CN"/>
              </w:rPr>
            </w:pPr>
            <w:r>
              <w:rPr>
                <w:rFonts w:hint="default" w:ascii="宋体" w:hAnsi="宋体" w:eastAsia="宋体"/>
                <w:sz w:val="24"/>
                <w:lang w:val="en-US" w:eastAsia="zh-CN"/>
              </w:rPr>
              <w:t>50#</w:t>
            </w:r>
          </w:p>
        </w:tc>
        <w:tc>
          <w:tcPr>
            <w:tcW w:w="3084" w:type="dxa"/>
            <w:vAlign w:val="center"/>
          </w:tcPr>
          <w:p w14:paraId="6AA9A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sz w:val="24"/>
                <w:lang w:val="en-US" w:eastAsia="zh-CN"/>
              </w:rPr>
            </w:pPr>
          </w:p>
        </w:tc>
      </w:tr>
      <w:tr w14:paraId="7EFD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495" w:type="dxa"/>
            <w:vAlign w:val="center"/>
          </w:tcPr>
          <w:p w14:paraId="25F0F5D5">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晾衣杆2.7m</w:t>
            </w:r>
          </w:p>
        </w:tc>
        <w:tc>
          <w:tcPr>
            <w:tcW w:w="959" w:type="dxa"/>
            <w:vAlign w:val="center"/>
          </w:tcPr>
          <w:p w14:paraId="08C44BDA">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6B257123">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3E425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sz w:val="32"/>
                <w:szCs w:val="32"/>
                <w:vertAlign w:val="baseline"/>
                <w:lang w:val="en-US" w:eastAsia="zh-CN"/>
              </w:rPr>
            </w:pPr>
            <w:r>
              <w:rPr>
                <w:rFonts w:hint="default" w:ascii="宋体" w:hAnsi="宋体" w:eastAsia="宋体"/>
                <w:sz w:val="24"/>
                <w:lang w:val="en-US" w:eastAsia="zh-CN"/>
              </w:rPr>
              <w:t>304不锈钢Φ25*壁厚2mm</w:t>
            </w:r>
          </w:p>
        </w:tc>
        <w:tc>
          <w:tcPr>
            <w:tcW w:w="3084" w:type="dxa"/>
            <w:vAlign w:val="center"/>
          </w:tcPr>
          <w:p w14:paraId="625B92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sz w:val="24"/>
                <w:lang w:val="en-US" w:eastAsia="zh-CN"/>
              </w:rPr>
            </w:pPr>
          </w:p>
        </w:tc>
      </w:tr>
      <w:tr w14:paraId="65D1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A6B3DBC">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晾衣杆1.4m</w:t>
            </w:r>
          </w:p>
        </w:tc>
        <w:tc>
          <w:tcPr>
            <w:tcW w:w="959" w:type="dxa"/>
            <w:vAlign w:val="center"/>
          </w:tcPr>
          <w:p w14:paraId="082546C7">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733AAC3A">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58185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sz w:val="32"/>
                <w:szCs w:val="32"/>
                <w:vertAlign w:val="baseline"/>
                <w:lang w:val="en-US" w:eastAsia="zh-CN"/>
              </w:rPr>
            </w:pPr>
            <w:r>
              <w:rPr>
                <w:rFonts w:hint="default" w:ascii="宋体" w:hAnsi="宋体" w:eastAsia="宋体"/>
                <w:sz w:val="24"/>
                <w:lang w:val="en-US" w:eastAsia="zh-CN"/>
              </w:rPr>
              <w:t>304不锈钢Φ25*壁厚2mm</w:t>
            </w:r>
          </w:p>
        </w:tc>
        <w:tc>
          <w:tcPr>
            <w:tcW w:w="3084" w:type="dxa"/>
            <w:vAlign w:val="center"/>
          </w:tcPr>
          <w:p w14:paraId="7668FB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sz w:val="24"/>
                <w:lang w:val="en-US" w:eastAsia="zh-CN"/>
              </w:rPr>
            </w:pPr>
          </w:p>
        </w:tc>
      </w:tr>
      <w:tr w14:paraId="34F6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189210E">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病房毛巾杆1.2m</w:t>
            </w:r>
          </w:p>
        </w:tc>
        <w:tc>
          <w:tcPr>
            <w:tcW w:w="959" w:type="dxa"/>
            <w:vAlign w:val="center"/>
          </w:tcPr>
          <w:p w14:paraId="19FFA25E">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093F6F0E">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39D1C89D">
            <w:pPr>
              <w:tabs>
                <w:tab w:val="left" w:pos="1134"/>
              </w:tabs>
              <w:jc w:val="center"/>
              <w:rPr>
                <w:rFonts w:hint="default" w:ascii="黑体" w:hAnsi="黑体" w:eastAsia="黑体"/>
                <w:sz w:val="32"/>
                <w:szCs w:val="32"/>
                <w:vertAlign w:val="baseline"/>
                <w:lang w:val="en-US" w:eastAsia="zh-CN"/>
              </w:rPr>
            </w:pPr>
            <w:r>
              <w:rPr>
                <w:rFonts w:hint="default" w:ascii="宋体" w:hAnsi="宋体" w:eastAsia="宋体"/>
                <w:sz w:val="24"/>
                <w:lang w:val="en-US" w:eastAsia="zh-CN"/>
              </w:rPr>
              <w:t>304不锈钢Φ25*壁厚2mm</w:t>
            </w:r>
          </w:p>
        </w:tc>
        <w:tc>
          <w:tcPr>
            <w:tcW w:w="3084" w:type="dxa"/>
            <w:vAlign w:val="center"/>
          </w:tcPr>
          <w:p w14:paraId="037AE2B8">
            <w:pPr>
              <w:tabs>
                <w:tab w:val="left" w:pos="1134"/>
              </w:tabs>
              <w:jc w:val="center"/>
              <w:rPr>
                <w:rFonts w:hint="default" w:ascii="宋体" w:hAnsi="宋体" w:eastAsia="宋体"/>
                <w:sz w:val="24"/>
                <w:lang w:val="en-US" w:eastAsia="zh-CN"/>
              </w:rPr>
            </w:pPr>
          </w:p>
        </w:tc>
      </w:tr>
      <w:tr w14:paraId="4A41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C8F2CFF">
            <w:pPr>
              <w:tabs>
                <w:tab w:val="left" w:pos="1134"/>
              </w:tabs>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铝扣板</w:t>
            </w:r>
          </w:p>
        </w:tc>
        <w:tc>
          <w:tcPr>
            <w:tcW w:w="959" w:type="dxa"/>
            <w:vAlign w:val="center"/>
          </w:tcPr>
          <w:p w14:paraId="28385760">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3CD46E73">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1CFD330D">
            <w:pPr>
              <w:tabs>
                <w:tab w:val="left" w:pos="1134"/>
              </w:tabs>
              <w:jc w:val="center"/>
              <w:rPr>
                <w:rFonts w:hint="default" w:ascii="宋体" w:hAnsi="宋体" w:eastAsia="宋体"/>
                <w:sz w:val="24"/>
                <w:lang w:val="en-US" w:eastAsia="zh-CN"/>
              </w:rPr>
            </w:pPr>
          </w:p>
        </w:tc>
        <w:tc>
          <w:tcPr>
            <w:tcW w:w="3084" w:type="dxa"/>
            <w:vAlign w:val="center"/>
          </w:tcPr>
          <w:p w14:paraId="39D1876D">
            <w:pPr>
              <w:tabs>
                <w:tab w:val="left" w:pos="1134"/>
              </w:tabs>
              <w:jc w:val="center"/>
              <w:rPr>
                <w:rFonts w:hint="default" w:ascii="宋体" w:hAnsi="宋体" w:eastAsia="宋体"/>
                <w:sz w:val="24"/>
                <w:lang w:val="en-US" w:eastAsia="zh-CN"/>
              </w:rPr>
            </w:pPr>
          </w:p>
        </w:tc>
      </w:tr>
      <w:tr w14:paraId="2162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8BD5C05">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护士主机</w:t>
            </w:r>
          </w:p>
        </w:tc>
        <w:tc>
          <w:tcPr>
            <w:tcW w:w="959" w:type="dxa"/>
            <w:vAlign w:val="center"/>
          </w:tcPr>
          <w:p w14:paraId="68E61719">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287F50CF">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386EDE80">
            <w:pPr>
              <w:tabs>
                <w:tab w:val="left" w:pos="1134"/>
              </w:tabs>
              <w:jc w:val="center"/>
              <w:rPr>
                <w:rFonts w:hint="default" w:ascii="宋体" w:hAnsi="宋体" w:eastAsia="宋体"/>
                <w:sz w:val="24"/>
                <w:lang w:val="en-US" w:eastAsia="zh-CN"/>
              </w:rPr>
            </w:pPr>
          </w:p>
        </w:tc>
        <w:tc>
          <w:tcPr>
            <w:tcW w:w="3084" w:type="dxa"/>
            <w:shd w:val="clear" w:color="auto" w:fill="auto"/>
            <w:vAlign w:val="center"/>
          </w:tcPr>
          <w:p w14:paraId="10620CC1">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采用 10.1 英寸的IPS液晶显示屏,1024*600像素基于 TCP/IP 网络协议传输对讲语音数据信息，网络协议支持DHCP、HTTP、UDP、RTP、SIP等。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支持一个护士站多台平行护士主机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支持主机托管给全院其他科室主机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支持呼叫转移到其他主机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支持设置院级总控机，该总控机可与全院护士主机及病床分机通话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支持对护士站主机和床位分机进行 MP3 文件广播、支持全区、 分区、定时广播、广播喊话，播放文件广播的同时可以对讲通话；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支持设置呼叫优先级功能（增援、特级、重症、紧急按钮呼叫优先呼叫功能）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支持开启宣教广播、话筒广播、背景音乐等广播功能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支持分机“确认处理”功能时， 护士须到该病床处按键取消该状态。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支持接入病区门禁机，可与探访人可视对讲，实现病区门禁管理。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支持白天和夜晚模式下真人发声语音播报，可房间+床位号、床位号多模式播报。护理级别均能播报，音量可分时段调节，播报次数，通话音量可调。 可设定语音（男、女声）、语速、音调；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支持对通话过程录音录像。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支持对探视机和分机的通话进行中断及录音录像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支持显示及查询分机各类呼叫的状态信息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支持同步 HIS 系统数据，同步更新床位护理信息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支持远程在线升级软件。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触摸式操作。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安卓7.1以上系统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对讲音频采样率为 20-44KHz.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支持与床头分机双向对讲，支持手柄、免提两种对讲方式。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接口多样：有 RJ45 通讯、音频输出、hdmi，Debug，USB2.0，485接口等。RJ45有交换机功能。</w:t>
            </w:r>
          </w:p>
        </w:tc>
      </w:tr>
      <w:tr w14:paraId="6088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98591C9">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无线信号转换盒</w:t>
            </w:r>
          </w:p>
        </w:tc>
        <w:tc>
          <w:tcPr>
            <w:tcW w:w="959" w:type="dxa"/>
            <w:vAlign w:val="center"/>
          </w:tcPr>
          <w:p w14:paraId="5F0C2577">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053675C9">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1DEEB695">
            <w:pPr>
              <w:tabs>
                <w:tab w:val="left" w:pos="1134"/>
              </w:tabs>
              <w:jc w:val="center"/>
              <w:rPr>
                <w:rFonts w:hint="default" w:ascii="宋体" w:hAnsi="宋体" w:eastAsia="宋体"/>
                <w:sz w:val="24"/>
                <w:lang w:val="en-US" w:eastAsia="zh-CN"/>
              </w:rPr>
            </w:pPr>
          </w:p>
        </w:tc>
        <w:tc>
          <w:tcPr>
            <w:tcW w:w="3084" w:type="dxa"/>
            <w:shd w:val="clear" w:color="auto" w:fill="auto"/>
            <w:vAlign w:val="center"/>
          </w:tcPr>
          <w:p w14:paraId="4276001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CPU： ARM 32位的cortex-M3, Flash: 256K</w:t>
            </w:r>
          </w:p>
          <w:p w14:paraId="152E17D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工作频率：433MHZ</w:t>
            </w:r>
          </w:p>
          <w:p w14:paraId="0435C3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调制方式：1527,协议 ASK调制</w:t>
            </w:r>
          </w:p>
          <w:p w14:paraId="2697512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最大发射功率：18±1dBm</w:t>
            </w:r>
          </w:p>
          <w:p w14:paraId="6E3C5AB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接收灵敏度-141dBm@0.8bps</w:t>
            </w:r>
          </w:p>
          <w:p w14:paraId="258A950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工作电压：12V/3A, 适配器供电，</w:t>
            </w:r>
          </w:p>
          <w:p w14:paraId="4097778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网络连接：TCP/IP网络连接</w:t>
            </w:r>
          </w:p>
          <w:p w14:paraId="29EA3FB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传输距离: 最大空旷视距300m,实际距离受接收端、发射端功率及障碍物的影响；</w:t>
            </w:r>
          </w:p>
          <w:p w14:paraId="003495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工作温度：-40°C~85°C</w:t>
            </w:r>
          </w:p>
          <w:p w14:paraId="523D909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工作湿度：10%~90%（无冷凝）</w:t>
            </w:r>
          </w:p>
          <w:p w14:paraId="03CD187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使用场合：医院、养老院、月子中心等需要无线呼叫的场合</w:t>
            </w:r>
          </w:p>
          <w:p w14:paraId="421345F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负责无线信号的收发转接，可接收无线拉绳按钮、无线按钮、无线手环、无线吊牌按钮、无线声光报警器、并转发到服务器处理信号后，主机端进行报警提示</w:t>
            </w:r>
          </w:p>
          <w:p w14:paraId="1802140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室内需穿墙情况下信号控制范围不超过30米；就近接入220V电源，通过网线连接到交换机组成局域网。支持壁挂式安装。</w:t>
            </w:r>
          </w:p>
        </w:tc>
      </w:tr>
      <w:tr w14:paraId="0375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29036E9">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无线防水按钮</w:t>
            </w:r>
          </w:p>
        </w:tc>
        <w:tc>
          <w:tcPr>
            <w:tcW w:w="959" w:type="dxa"/>
            <w:vAlign w:val="center"/>
          </w:tcPr>
          <w:p w14:paraId="70E7DEAA">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79800301">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46F91DAE">
            <w:pPr>
              <w:tabs>
                <w:tab w:val="left" w:pos="1134"/>
              </w:tabs>
              <w:jc w:val="center"/>
              <w:rPr>
                <w:rFonts w:hint="default" w:ascii="宋体" w:hAnsi="宋体" w:eastAsia="宋体"/>
                <w:sz w:val="24"/>
                <w:lang w:val="en-US" w:eastAsia="zh-CN"/>
              </w:rPr>
            </w:pPr>
          </w:p>
        </w:tc>
        <w:tc>
          <w:tcPr>
            <w:tcW w:w="3084" w:type="dxa"/>
            <w:shd w:val="clear" w:color="auto" w:fill="auto"/>
            <w:vAlign w:val="center"/>
          </w:tcPr>
          <w:p w14:paraId="3513E75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无线信号；</w:t>
            </w:r>
          </w:p>
          <w:p w14:paraId="2EFD089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干电池供电；低功耗待机；</w:t>
            </w:r>
          </w:p>
          <w:p w14:paraId="2423218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无需有线；可任意粘贴安装到指定位置</w:t>
            </w:r>
          </w:p>
          <w:p w14:paraId="63FBD11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带拉绳</w:t>
            </w:r>
          </w:p>
          <w:p w14:paraId="00A7F5E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防水等级IPX8</w:t>
            </w:r>
          </w:p>
          <w:p w14:paraId="6F102F6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标准86盒防水设计安装，壁挂式安装洗手间内或公共区域；</w:t>
            </w:r>
          </w:p>
          <w:p w14:paraId="2E06473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支持拉绳和按键两种报警方式 </w:t>
            </w:r>
          </w:p>
          <w:p w14:paraId="2E71FD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报警时有灯光闪烁提示</w:t>
            </w:r>
          </w:p>
          <w:p w14:paraId="2F4906D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报警时主机提示所在位置，位置名称可自定义</w:t>
            </w:r>
          </w:p>
        </w:tc>
      </w:tr>
      <w:tr w14:paraId="7EC5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7E701116">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中央服务器</w:t>
            </w:r>
          </w:p>
        </w:tc>
        <w:tc>
          <w:tcPr>
            <w:tcW w:w="959" w:type="dxa"/>
            <w:vAlign w:val="center"/>
          </w:tcPr>
          <w:p w14:paraId="4222CC65">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16314A6A">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78CAFAA5">
            <w:pPr>
              <w:tabs>
                <w:tab w:val="left" w:pos="1134"/>
              </w:tabs>
              <w:jc w:val="center"/>
              <w:rPr>
                <w:rFonts w:hint="default" w:ascii="宋体" w:hAnsi="宋体" w:eastAsia="宋体"/>
                <w:sz w:val="24"/>
                <w:lang w:val="en-US" w:eastAsia="zh-CN"/>
              </w:rPr>
            </w:pPr>
          </w:p>
        </w:tc>
        <w:tc>
          <w:tcPr>
            <w:tcW w:w="3084" w:type="dxa"/>
            <w:shd w:val="clear" w:color="auto" w:fill="auto"/>
            <w:vAlign w:val="center"/>
          </w:tcPr>
          <w:p w14:paraId="7D0E07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桌面放置或标准机柜安装 </w:t>
            </w:r>
          </w:p>
          <w:p w14:paraId="2279521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支持对所有设备的注册和管理 </w:t>
            </w:r>
          </w:p>
          <w:p w14:paraId="0495069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支持设备在跨网段跨路由环境下可视对讲 </w:t>
            </w:r>
          </w:p>
          <w:p w14:paraId="721329A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支持与 HIS ，LIS,PACS等系统对接，实现数据信息的同步更新与应用 </w:t>
            </w:r>
          </w:p>
          <w:p w14:paraId="7E2E495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支持与第三方平台对接，实现数据的交互共享 </w:t>
            </w:r>
          </w:p>
          <w:p w14:paraId="033D088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支持本地数据库的备份和还原 </w:t>
            </w:r>
          </w:p>
          <w:p w14:paraId="3FE2195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支持与 NTP 服务器时间同步，并提供系统时间同步服务</w:t>
            </w:r>
          </w:p>
          <w:p w14:paraId="1C8985B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支持远程在线升级</w:t>
            </w:r>
          </w:p>
        </w:tc>
      </w:tr>
      <w:tr w14:paraId="223B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5C1AC36">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IP呼叫管理平台软件</w:t>
            </w:r>
          </w:p>
        </w:tc>
        <w:tc>
          <w:tcPr>
            <w:tcW w:w="959" w:type="dxa"/>
            <w:vAlign w:val="center"/>
          </w:tcPr>
          <w:p w14:paraId="6B338EB9">
            <w:pPr>
              <w:tabs>
                <w:tab w:val="left" w:pos="1134"/>
              </w:tabs>
              <w:jc w:val="center"/>
              <w:rPr>
                <w:rFonts w:hint="default" w:ascii="黑体" w:hAnsi="黑体" w:eastAsia="黑体"/>
                <w:sz w:val="32"/>
                <w:szCs w:val="32"/>
                <w:vertAlign w:val="baseline"/>
                <w:lang w:val="en-US" w:eastAsia="zh-CN"/>
              </w:rPr>
            </w:pPr>
          </w:p>
        </w:tc>
        <w:tc>
          <w:tcPr>
            <w:tcW w:w="1200" w:type="dxa"/>
            <w:vAlign w:val="center"/>
          </w:tcPr>
          <w:p w14:paraId="28B2E878">
            <w:pPr>
              <w:tabs>
                <w:tab w:val="left" w:pos="1134"/>
              </w:tabs>
              <w:jc w:val="center"/>
              <w:rPr>
                <w:rFonts w:hint="default" w:ascii="黑体" w:hAnsi="黑体" w:eastAsia="黑体"/>
                <w:sz w:val="32"/>
                <w:szCs w:val="32"/>
                <w:vertAlign w:val="baseline"/>
                <w:lang w:val="en-US" w:eastAsia="zh-CN"/>
              </w:rPr>
            </w:pPr>
          </w:p>
        </w:tc>
        <w:tc>
          <w:tcPr>
            <w:tcW w:w="2715" w:type="dxa"/>
            <w:vAlign w:val="center"/>
          </w:tcPr>
          <w:p w14:paraId="1E331846">
            <w:pPr>
              <w:tabs>
                <w:tab w:val="left" w:pos="1134"/>
              </w:tabs>
              <w:jc w:val="center"/>
              <w:rPr>
                <w:rFonts w:hint="default" w:ascii="宋体" w:hAnsi="宋体" w:eastAsia="宋体"/>
                <w:sz w:val="24"/>
                <w:lang w:val="en-US" w:eastAsia="zh-CN"/>
              </w:rPr>
            </w:pPr>
          </w:p>
        </w:tc>
        <w:tc>
          <w:tcPr>
            <w:tcW w:w="3084" w:type="dxa"/>
            <w:shd w:val="clear" w:color="auto" w:fill="auto"/>
            <w:vAlign w:val="center"/>
          </w:tcPr>
          <w:p w14:paraId="5C5FD96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安装于系统管理服务器</w:t>
            </w:r>
          </w:p>
          <w:p w14:paraId="2A9C476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管理界面可网页打开1.通过数据库服务器控制软件对医院的所有病床和所有呼叫设备统一进行管理；</w:t>
            </w:r>
          </w:p>
          <w:p w14:paraId="7703E8E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可以与HIS系统无缝对接，对医院的各科室、护士站、医生护士、病人的相关信息进行记录并管理；病员在医院的全部信息可以从HIS系统里面自动提取，并可以快速自动更新发送到患者所在科室护士站的信息看板上及呼叫主机上</w:t>
            </w:r>
          </w:p>
          <w:p w14:paraId="4FE0C92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3.可根据医院需求定制开发各科室管理软件，同时直接下载手机移动APP软件作为医护助手；</w:t>
            </w:r>
          </w:p>
          <w:p w14:paraId="1835F3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4.在线注册：手机端、web端等多种注册方式，单人操作，维护方便；</w:t>
            </w:r>
          </w:p>
          <w:p w14:paraId="2EA2396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5.拓展升级：系统突破了带载数量和不限距离的限制，支持系统拓展升级；</w:t>
            </w:r>
          </w:p>
          <w:p w14:paraId="196280A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6.故障自检：系统具有巡检故障分机，系统工作日志，异常分析记录，实时监测各网络对讲设备的在线状态等多种故障检测方法，确保系统正常运作；</w:t>
            </w:r>
          </w:p>
          <w:p w14:paraId="321482A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7.可通过TCP/IP网络远程方式对软件进行在线升级</w:t>
            </w:r>
          </w:p>
          <w:p w14:paraId="1A3F7AC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bl>
    <w:p w14:paraId="51DE84B2">
      <w:pPr>
        <w:spacing w:line="360" w:lineRule="auto"/>
        <w:rPr>
          <w:rFonts w:hint="eastAsia" w:ascii="宋体" w:hAnsi="宋体"/>
          <w:sz w:val="28"/>
          <w:szCs w:val="28"/>
          <w:lang w:val="en-US" w:eastAsia="zh-CN"/>
        </w:rPr>
      </w:pPr>
      <w:r>
        <w:rPr>
          <w:rFonts w:hint="eastAsia" w:ascii="宋体" w:hAnsi="宋体"/>
          <w:sz w:val="28"/>
          <w:szCs w:val="28"/>
          <w:lang w:val="en-US" w:eastAsia="zh-CN"/>
        </w:rPr>
        <w:t>注：1.各参选供应商需如实填写此表，不填写此表视为无效响应。</w:t>
      </w:r>
    </w:p>
    <w:p w14:paraId="2C6B47A7">
      <w:pPr>
        <w:spacing w:line="360" w:lineRule="auto"/>
        <w:rPr>
          <w:rFonts w:hint="default" w:ascii="宋体" w:hAnsi="宋体"/>
          <w:sz w:val="28"/>
          <w:szCs w:val="28"/>
          <w:lang w:val="en-US" w:eastAsia="zh-CN"/>
        </w:rPr>
      </w:pPr>
      <w:r>
        <w:rPr>
          <w:rFonts w:hint="eastAsia" w:ascii="宋体" w:hAnsi="宋体"/>
          <w:sz w:val="28"/>
          <w:szCs w:val="28"/>
          <w:lang w:val="en-US" w:eastAsia="zh-CN"/>
        </w:rPr>
        <w:t>2. 护士主机、无线信号转换盒、无线防水按钮、中央服务器、IP呼叫管理平台软件需在验收时提供能满足备注参数的第三方检验报告或产品白皮书等证明材料（说明书）。</w:t>
      </w:r>
    </w:p>
    <w:p w14:paraId="4DFC182A">
      <w:pPr>
        <w:outlineLvl w:val="0"/>
        <w:rPr>
          <w:rFonts w:hint="eastAsia" w:ascii="宋体" w:hAnsi="宋体" w:eastAsia="宋体" w:cs="宋体"/>
          <w:b/>
          <w:color w:val="000000" w:themeColor="text1"/>
          <w:shd w:val="clear" w:color="auto" w:fill="auto"/>
          <w14:textFill>
            <w14:solidFill>
              <w14:schemeClr w14:val="tx1"/>
            </w14:solidFill>
          </w14:textFill>
        </w:rPr>
      </w:pPr>
    </w:p>
    <w:p w14:paraId="4A035ADE">
      <w:pPr>
        <w:outlineLvl w:val="0"/>
        <w:rPr>
          <w:rFonts w:hint="eastAsia" w:ascii="宋体" w:hAnsi="宋体" w:eastAsia="宋体" w:cs="宋体"/>
          <w:b/>
          <w:color w:val="000000" w:themeColor="text1"/>
          <w:shd w:val="clear" w:color="auto" w:fill="auto"/>
          <w14:textFill>
            <w14:solidFill>
              <w14:schemeClr w14:val="tx1"/>
            </w14:solidFill>
          </w14:textFill>
        </w:rPr>
      </w:pPr>
    </w:p>
    <w:p w14:paraId="7411208A">
      <w:pPr>
        <w:outlineLvl w:val="0"/>
        <w:rPr>
          <w:rFonts w:hint="eastAsia" w:ascii="宋体" w:hAnsi="宋体" w:eastAsia="宋体" w:cs="宋体"/>
          <w:b/>
          <w:color w:val="000000" w:themeColor="text1"/>
          <w:shd w:val="clear" w:color="auto" w:fill="auto"/>
          <w14:textFill>
            <w14:solidFill>
              <w14:schemeClr w14:val="tx1"/>
            </w14:solidFill>
          </w14:textFill>
        </w:rPr>
      </w:pPr>
    </w:p>
    <w:p w14:paraId="0D291D18">
      <w:pPr>
        <w:outlineLvl w:val="0"/>
        <w:rPr>
          <w:rFonts w:hint="eastAsia" w:ascii="宋体" w:hAnsi="宋体" w:eastAsia="宋体" w:cs="宋体"/>
          <w:b/>
          <w:color w:val="000000" w:themeColor="text1"/>
          <w:shd w:val="clear" w:color="auto" w:fill="auto"/>
          <w14:textFill>
            <w14:solidFill>
              <w14:schemeClr w14:val="tx1"/>
            </w14:solidFill>
          </w14:textFill>
        </w:rPr>
      </w:pPr>
    </w:p>
    <w:p w14:paraId="377D5317">
      <w:pPr>
        <w:outlineLvl w:val="0"/>
        <w:rPr>
          <w:rFonts w:hint="eastAsia" w:ascii="宋体" w:hAnsi="宋体" w:eastAsia="宋体" w:cs="宋体"/>
          <w:b/>
          <w:color w:val="000000" w:themeColor="text1"/>
          <w:shd w:val="clear" w:color="auto" w:fill="auto"/>
          <w14:textFill>
            <w14:solidFill>
              <w14:schemeClr w14:val="tx1"/>
            </w14:solidFill>
          </w14:textFill>
        </w:rPr>
      </w:pPr>
    </w:p>
    <w:p w14:paraId="5FB52867">
      <w:pPr>
        <w:outlineLvl w:val="0"/>
        <w:rPr>
          <w:rFonts w:hint="eastAsia" w:ascii="宋体" w:hAnsi="宋体" w:eastAsia="宋体" w:cs="宋体"/>
          <w:b/>
          <w:color w:val="000000" w:themeColor="text1"/>
          <w:shd w:val="clear" w:color="auto" w:fill="auto"/>
          <w14:textFill>
            <w14:solidFill>
              <w14:schemeClr w14:val="tx1"/>
            </w14:solidFill>
          </w14:textFill>
        </w:rPr>
      </w:pPr>
    </w:p>
    <w:p w14:paraId="37668CD5">
      <w:pPr>
        <w:outlineLvl w:val="0"/>
        <w:rPr>
          <w:rFonts w:hint="eastAsia" w:ascii="宋体" w:hAnsi="宋体" w:eastAsia="宋体" w:cs="宋体"/>
          <w:b/>
          <w:color w:val="000000" w:themeColor="text1"/>
          <w:shd w:val="clear" w:color="auto" w:fill="auto"/>
          <w14:textFill>
            <w14:solidFill>
              <w14:schemeClr w14:val="tx1"/>
            </w14:solidFill>
          </w14:textFill>
        </w:rPr>
      </w:pPr>
    </w:p>
    <w:p w14:paraId="338729D9">
      <w:pPr>
        <w:outlineLvl w:val="0"/>
        <w:rPr>
          <w:rFonts w:hint="eastAsia" w:ascii="宋体" w:hAnsi="宋体" w:eastAsia="宋体" w:cs="宋体"/>
          <w:b/>
          <w:color w:val="000000" w:themeColor="text1"/>
          <w:shd w:val="clear" w:color="auto" w:fill="auto"/>
          <w14:textFill>
            <w14:solidFill>
              <w14:schemeClr w14:val="tx1"/>
            </w14:solidFill>
          </w14:textFill>
        </w:rPr>
      </w:pPr>
    </w:p>
    <w:p w14:paraId="341442B6">
      <w:pPr>
        <w:outlineLvl w:val="0"/>
        <w:rPr>
          <w:rFonts w:hint="eastAsia" w:ascii="宋体" w:hAnsi="宋体" w:eastAsia="宋体" w:cs="宋体"/>
          <w:b/>
          <w:color w:val="000000" w:themeColor="text1"/>
          <w:shd w:val="clear" w:color="auto" w:fill="auto"/>
          <w14:textFill>
            <w14:solidFill>
              <w14:schemeClr w14:val="tx1"/>
            </w14:solidFill>
          </w14:textFill>
        </w:rPr>
      </w:pPr>
    </w:p>
    <w:p w14:paraId="2BF1FA0C">
      <w:pPr>
        <w:outlineLvl w:val="0"/>
        <w:rPr>
          <w:rFonts w:hint="eastAsia" w:ascii="宋体" w:hAnsi="宋体" w:eastAsia="宋体" w:cs="宋体"/>
          <w:b/>
          <w:color w:val="000000" w:themeColor="text1"/>
          <w:shd w:val="clear" w:color="auto" w:fill="auto"/>
          <w14:textFill>
            <w14:solidFill>
              <w14:schemeClr w14:val="tx1"/>
            </w14:solidFill>
          </w14:textFill>
        </w:rPr>
      </w:pPr>
    </w:p>
    <w:p w14:paraId="718B0735">
      <w:pPr>
        <w:outlineLvl w:val="0"/>
        <w:rPr>
          <w:rFonts w:hint="eastAsia" w:ascii="宋体" w:hAnsi="宋体" w:eastAsia="宋体" w:cs="宋体"/>
          <w:b/>
          <w:color w:val="000000" w:themeColor="text1"/>
          <w:shd w:val="clear" w:color="auto" w:fill="auto"/>
          <w14:textFill>
            <w14:solidFill>
              <w14:schemeClr w14:val="tx1"/>
            </w14:solidFill>
          </w14:textFill>
        </w:rPr>
      </w:pPr>
    </w:p>
    <w:p w14:paraId="13C234B0">
      <w:pPr>
        <w:outlineLvl w:val="0"/>
        <w:rPr>
          <w:rFonts w:hint="eastAsia" w:ascii="宋体" w:hAnsi="宋体" w:eastAsia="宋体" w:cs="宋体"/>
          <w:b/>
          <w:color w:val="000000" w:themeColor="text1"/>
          <w:shd w:val="clear" w:color="auto" w:fill="auto"/>
          <w14:textFill>
            <w14:solidFill>
              <w14:schemeClr w14:val="tx1"/>
            </w14:solidFill>
          </w14:textFill>
        </w:rPr>
      </w:pPr>
    </w:p>
    <w:p w14:paraId="69945CC1">
      <w:pPr>
        <w:outlineLvl w:val="0"/>
        <w:rPr>
          <w:rFonts w:hint="eastAsia" w:ascii="宋体" w:hAnsi="宋体" w:eastAsia="宋体" w:cs="宋体"/>
          <w:b/>
          <w:color w:val="000000" w:themeColor="text1"/>
          <w:shd w:val="clear" w:color="auto" w:fill="auto"/>
          <w14:textFill>
            <w14:solidFill>
              <w14:schemeClr w14:val="tx1"/>
            </w14:solidFill>
          </w14:textFill>
        </w:rPr>
      </w:pPr>
    </w:p>
    <w:p w14:paraId="45883F40">
      <w:pPr>
        <w:outlineLvl w:val="0"/>
        <w:rPr>
          <w:rFonts w:hint="eastAsia" w:ascii="宋体" w:hAnsi="宋体" w:eastAsia="宋体" w:cs="宋体"/>
          <w:b/>
          <w:color w:val="000000" w:themeColor="text1"/>
          <w:shd w:val="clear" w:color="auto" w:fill="auto"/>
          <w14:textFill>
            <w14:solidFill>
              <w14:schemeClr w14:val="tx1"/>
            </w14:solidFill>
          </w14:textFill>
        </w:rPr>
      </w:pPr>
    </w:p>
    <w:p w14:paraId="3E84962D">
      <w:pPr>
        <w:outlineLvl w:val="0"/>
        <w:rPr>
          <w:rFonts w:hint="eastAsia" w:ascii="宋体" w:hAnsi="宋体" w:eastAsia="宋体" w:cs="宋体"/>
          <w:b/>
          <w:color w:val="000000" w:themeColor="text1"/>
          <w:shd w:val="clear" w:color="auto" w:fill="auto"/>
          <w14:textFill>
            <w14:solidFill>
              <w14:schemeClr w14:val="tx1"/>
            </w14:solidFill>
          </w14:textFill>
        </w:rPr>
      </w:pPr>
    </w:p>
    <w:p w14:paraId="0F7F1E2E">
      <w:pPr>
        <w:outlineLvl w:val="0"/>
        <w:rPr>
          <w:rFonts w:hint="eastAsia" w:ascii="宋体" w:hAnsi="宋体" w:eastAsia="宋体" w:cs="宋体"/>
          <w:b/>
          <w:color w:val="000000" w:themeColor="text1"/>
          <w:shd w:val="clear" w:color="auto" w:fill="auto"/>
          <w14:textFill>
            <w14:solidFill>
              <w14:schemeClr w14:val="tx1"/>
            </w14:solidFill>
          </w14:textFill>
        </w:rPr>
      </w:pPr>
    </w:p>
    <w:p w14:paraId="6D797591">
      <w:pPr>
        <w:outlineLvl w:val="0"/>
        <w:rPr>
          <w:rFonts w:hint="eastAsia" w:ascii="宋体" w:hAnsi="宋体" w:eastAsia="宋体" w:cs="宋体"/>
          <w:b/>
          <w:color w:val="000000" w:themeColor="text1"/>
          <w:shd w:val="clear" w:color="auto" w:fill="auto"/>
          <w14:textFill>
            <w14:solidFill>
              <w14:schemeClr w14:val="tx1"/>
            </w14:solidFill>
          </w14:textFill>
        </w:rPr>
      </w:pPr>
    </w:p>
    <w:p w14:paraId="65D453D8">
      <w:pPr>
        <w:outlineLvl w:val="0"/>
        <w:rPr>
          <w:rFonts w:hint="eastAsia" w:ascii="宋体" w:hAnsi="宋体" w:eastAsia="宋体" w:cs="宋体"/>
          <w:b/>
          <w:color w:val="000000" w:themeColor="text1"/>
          <w:shd w:val="clear" w:color="auto" w:fill="auto"/>
          <w14:textFill>
            <w14:solidFill>
              <w14:schemeClr w14:val="tx1"/>
            </w14:solidFill>
          </w14:textFill>
        </w:rPr>
      </w:pPr>
    </w:p>
    <w:p w14:paraId="0514A7DC">
      <w:pPr>
        <w:outlineLvl w:val="0"/>
        <w:rPr>
          <w:rFonts w:hint="eastAsia" w:ascii="宋体" w:hAnsi="宋体" w:eastAsia="宋体" w:cs="宋体"/>
          <w:b/>
          <w:color w:val="000000" w:themeColor="text1"/>
          <w:shd w:val="clear" w:color="auto" w:fill="auto"/>
          <w14:textFill>
            <w14:solidFill>
              <w14:schemeClr w14:val="tx1"/>
            </w14:solidFill>
          </w14:textFill>
        </w:rPr>
      </w:pPr>
    </w:p>
    <w:p w14:paraId="3F0C3568">
      <w:pPr>
        <w:outlineLvl w:val="0"/>
        <w:rPr>
          <w:rFonts w:hint="eastAsia" w:ascii="宋体" w:hAnsi="宋体" w:eastAsia="宋体" w:cs="宋体"/>
          <w:b/>
          <w:color w:val="000000" w:themeColor="text1"/>
          <w:shd w:val="clear" w:color="auto" w:fill="auto"/>
          <w14:textFill>
            <w14:solidFill>
              <w14:schemeClr w14:val="tx1"/>
            </w14:solidFill>
          </w14:textFill>
        </w:rPr>
      </w:pPr>
    </w:p>
    <w:p w14:paraId="4A19EED5">
      <w:pPr>
        <w:outlineLvl w:val="0"/>
        <w:rPr>
          <w:rFonts w:hint="eastAsia" w:ascii="宋体" w:hAnsi="宋体" w:eastAsia="宋体" w:cs="宋体"/>
          <w:b/>
          <w:color w:val="000000" w:themeColor="text1"/>
          <w:shd w:val="clear" w:color="auto" w:fill="auto"/>
          <w14:textFill>
            <w14:solidFill>
              <w14:schemeClr w14:val="tx1"/>
            </w14:solidFill>
          </w14:textFill>
        </w:rPr>
      </w:pPr>
    </w:p>
    <w:p w14:paraId="294A08B0">
      <w:pPr>
        <w:outlineLvl w:val="0"/>
        <w:rPr>
          <w:rFonts w:hint="eastAsia" w:ascii="宋体" w:hAnsi="宋体" w:eastAsia="宋体" w:cs="宋体"/>
          <w:b/>
          <w:color w:val="000000" w:themeColor="text1"/>
          <w:shd w:val="clear" w:color="auto" w:fill="auto"/>
          <w14:textFill>
            <w14:solidFill>
              <w14:schemeClr w14:val="tx1"/>
            </w14:solidFill>
          </w14:textFill>
        </w:rPr>
      </w:pPr>
    </w:p>
    <w:p w14:paraId="4D500164">
      <w:pPr>
        <w:outlineLvl w:val="0"/>
        <w:rPr>
          <w:rFonts w:hint="eastAsia" w:ascii="宋体" w:hAnsi="宋体" w:eastAsia="宋体" w:cs="宋体"/>
          <w:b/>
          <w:color w:val="000000" w:themeColor="text1"/>
          <w:shd w:val="clear" w:color="auto" w:fill="auto"/>
          <w14:textFill>
            <w14:solidFill>
              <w14:schemeClr w14:val="tx1"/>
            </w14:solidFill>
          </w14:textFill>
        </w:rPr>
      </w:pPr>
    </w:p>
    <w:p w14:paraId="548400CB">
      <w:pPr>
        <w:outlineLvl w:val="0"/>
        <w:rPr>
          <w:rFonts w:hint="eastAsia" w:ascii="宋体" w:hAnsi="宋体" w:eastAsia="宋体" w:cs="宋体"/>
          <w:b/>
          <w:color w:val="000000" w:themeColor="text1"/>
          <w:shd w:val="clear" w:color="auto" w:fill="auto"/>
          <w14:textFill>
            <w14:solidFill>
              <w14:schemeClr w14:val="tx1"/>
            </w14:solidFill>
          </w14:textFill>
        </w:rPr>
      </w:pPr>
    </w:p>
    <w:p w14:paraId="079622FD">
      <w:pPr>
        <w:outlineLvl w:val="0"/>
        <w:rPr>
          <w:rFonts w:hint="eastAsia" w:ascii="宋体" w:hAnsi="宋体" w:eastAsia="宋体" w:cs="宋体"/>
          <w:b/>
          <w:color w:val="000000" w:themeColor="text1"/>
          <w:shd w:val="clear" w:color="auto" w:fill="auto"/>
          <w14:textFill>
            <w14:solidFill>
              <w14:schemeClr w14:val="tx1"/>
            </w14:solidFill>
          </w14:textFill>
        </w:rPr>
      </w:pPr>
    </w:p>
    <w:p w14:paraId="4F3B2BBE">
      <w:pPr>
        <w:outlineLvl w:val="0"/>
        <w:rPr>
          <w:rFonts w:hint="eastAsia" w:ascii="宋体" w:hAnsi="宋体" w:eastAsia="宋体" w:cs="宋体"/>
          <w:b/>
          <w:color w:val="000000" w:themeColor="text1"/>
          <w:shd w:val="clear" w:color="auto" w:fill="auto"/>
          <w14:textFill>
            <w14:solidFill>
              <w14:schemeClr w14:val="tx1"/>
            </w14:solidFill>
          </w14:textFill>
        </w:rPr>
      </w:pPr>
    </w:p>
    <w:p w14:paraId="04779F7B">
      <w:pPr>
        <w:outlineLvl w:val="0"/>
        <w:rPr>
          <w:rFonts w:hint="eastAsia" w:ascii="宋体" w:hAnsi="宋体" w:eastAsia="宋体" w:cs="宋体"/>
          <w:b/>
          <w:color w:val="000000" w:themeColor="text1"/>
          <w:shd w:val="clear" w:color="auto" w:fill="auto"/>
          <w14:textFill>
            <w14:solidFill>
              <w14:schemeClr w14:val="tx1"/>
            </w14:solidFill>
          </w14:textFill>
        </w:rPr>
      </w:pPr>
    </w:p>
    <w:p w14:paraId="41FBED1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03F350-69BA-4AAD-96D0-DD250D18861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59A8C535-14CF-4E07-82FD-66F7DAC07C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6D5122"/>
    <w:rsid w:val="58506377"/>
    <w:rsid w:val="586259DC"/>
    <w:rsid w:val="58625BCC"/>
    <w:rsid w:val="58627B7D"/>
    <w:rsid w:val="58B574EB"/>
    <w:rsid w:val="58CE04C7"/>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21399"/>
    <w:rsid w:val="67CB3049"/>
    <w:rsid w:val="67FF2A16"/>
    <w:rsid w:val="682465CF"/>
    <w:rsid w:val="68EA74FF"/>
    <w:rsid w:val="690814B0"/>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11236</Words>
  <Characters>11479</Characters>
  <Lines>182</Lines>
  <Paragraphs>51</Paragraphs>
  <TotalTime>3</TotalTime>
  <ScaleCrop>false</ScaleCrop>
  <LinksUpToDate>false</LinksUpToDate>
  <CharactersWithSpaces>11648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2025-08-26T00:24:57Z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