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2025FW105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报废医疗设备残值处置回收服务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1641050"/>
      <w:bookmarkStart w:id="2" w:name="_Toc25875"/>
      <w:bookmarkStart w:id="3" w:name="_Toc12789052"/>
      <w:bookmarkStart w:id="4" w:name="_Toc6921"/>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报废医疗设备残值处置回收服务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报废医疗设备残值处置回收服务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362C0B7">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经营执照包含医疗设备（器械）（</w:t>
      </w:r>
      <w:r>
        <w:rPr>
          <w:rFonts w:hint="eastAsia" w:ascii="宋体" w:hAnsi="宋体" w:eastAsia="宋体" w:cs="宋体"/>
          <w:color w:val="FF0000"/>
          <w:sz w:val="24"/>
          <w:szCs w:val="24"/>
          <w:shd w:val="clear" w:color="auto" w:fill="auto"/>
          <w:lang w:val="en-US" w:eastAsia="zh-CN"/>
        </w:rPr>
        <w:t>含蓄电池）</w:t>
      </w:r>
      <w:r>
        <w:rPr>
          <w:rFonts w:hint="eastAsia" w:ascii="宋体" w:hAnsi="宋体" w:eastAsia="宋体" w:cs="宋体"/>
          <w:color w:val="FF0000"/>
          <w:sz w:val="24"/>
          <w:szCs w:val="24"/>
          <w:shd w:val="clear" w:color="auto" w:fill="auto"/>
          <w:lang w:eastAsia="zh-CN"/>
        </w:rPr>
        <w:t>废品回收资质（提供经营执照并加盖鲜章）。</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bookmarkStart w:id="189" w:name="_GoBack"/>
      <w:bookmarkEnd w:id="18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2D8F58ED">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1.报价方式：响应人报价（报最终单价：元/公斤）；回收总价格=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报废医疗设备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总重量（公斤）*单价（元/公斤），以“最终单价”从高到低进行排序。</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8"/>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403569782"/>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212"/>
      <w:bookmarkStart w:id="55" w:name="_Toc403569783"/>
      <w:bookmarkStart w:id="56" w:name="_Toc342913395"/>
      <w:bookmarkStart w:id="57" w:name="_Toc7135"/>
      <w:bookmarkStart w:id="58"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45F51D9">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4" w:name="_Toc4364"/>
      <w:bookmarkStart w:id="75" w:name="_Toc17014"/>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采购人处置物资为报废后的</w:t>
      </w:r>
      <w:r>
        <w:rPr>
          <w:rFonts w:hint="eastAsia" w:ascii="宋体" w:hAnsi="宋体" w:eastAsia="宋体" w:cs="宋体"/>
          <w:color w:val="FF0000"/>
          <w:sz w:val="24"/>
          <w:szCs w:val="24"/>
          <w:shd w:val="clear" w:color="auto" w:fill="auto"/>
        </w:rPr>
        <w:t>医疗设备设施</w:t>
      </w:r>
      <w:r>
        <w:rPr>
          <w:rFonts w:hint="eastAsia" w:ascii="宋体" w:hAnsi="宋体" w:eastAsia="宋体" w:cs="宋体"/>
          <w:color w:val="FF0000"/>
          <w:sz w:val="24"/>
          <w:szCs w:val="24"/>
          <w:shd w:val="clear" w:color="auto" w:fill="auto"/>
          <w:lang w:eastAsia="zh-CN"/>
        </w:rPr>
        <w:t>（放射</w:t>
      </w:r>
      <w:r>
        <w:rPr>
          <w:rFonts w:hint="eastAsia" w:ascii="宋体" w:hAnsi="宋体" w:eastAsia="宋体" w:cs="宋体"/>
          <w:color w:val="FF0000"/>
          <w:sz w:val="24"/>
          <w:szCs w:val="24"/>
          <w:shd w:val="clear" w:color="auto" w:fill="auto"/>
          <w:lang w:val="en-US" w:eastAsia="zh-CN"/>
        </w:rPr>
        <w:t>类及特殊设备除外），具体以采购人通知为准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p>
    <w:p w14:paraId="5599BA77">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、响应单位需提供详细的回收方案,包括打包处理、转运措施及安全防护措施。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（需在响应文件中，提出具体的回收方案并加盖公章）</w:t>
      </w:r>
    </w:p>
    <w:p w14:paraId="7A0422D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回收过程中的固定装置打包处理、报废设备搬运、安全防护等回收设备相关工作均由成交供应商负责，且需在相关管理人员的监督下执行，运输车辆及搬运人员需服从医院相关管理规定，整个过程的安全责任由成交供应商负责。</w:t>
      </w:r>
    </w:p>
    <w:p w14:paraId="51B58F2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、成交供应商要在我院内打包、搬运等工作时间为上午08:00—12:00和下午14:30—17:30，请严格遵守该时间，不能影响我院的正常工作及家属区、病区人员的休息。</w:t>
      </w:r>
    </w:p>
    <w:p w14:paraId="416B405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、回收工作如涉及动火、动焊，成交供应商还需向医院后保科备案审批，经批准同意并有防火安全条件具备才允许施工。</w:t>
      </w:r>
    </w:p>
    <w:p w14:paraId="3534A7C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成交供应商需承诺不能将回收报废医疗设备流入市场再使用，且保证按照法律、法规、规章等强制性规范文件要求进行处理。若有违法、违规、违约情况发生，由成交供应商承担一切法律责任或相关民事责任，拆分该批报废设备不能违反环保相关要求。</w:t>
      </w:r>
    </w:p>
    <w:p w14:paraId="33EB624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、报废设备搬离完成后需做好报废库房内外的清洁卫生和除渣工作。</w:t>
      </w:r>
    </w:p>
    <w:p w14:paraId="169E2F8F">
      <w:pPr>
        <w:numPr>
          <w:ilvl w:val="0"/>
          <w:numId w:val="0"/>
        </w:numPr>
        <w:tabs>
          <w:tab w:val="left" w:pos="4680"/>
        </w:tabs>
        <w:spacing w:line="460" w:lineRule="exact"/>
        <w:rPr>
          <w:rFonts w:hint="eastAsia" w:ascii="方正仿宋_GBK" w:hAnsi="方正仿宋_GBK" w:eastAsia="方正仿宋_GBK" w:cs="方正仿宋_GBK"/>
          <w:sz w:val="24"/>
          <w:lang w:val="en-US" w:eastAsia="zh-CN"/>
        </w:rPr>
      </w:pPr>
    </w:p>
    <w:p w14:paraId="2BFC77AB">
      <w:pPr>
        <w:spacing w:line="460" w:lineRule="exact"/>
        <w:ind w:firstLine="480" w:firstLineChars="200"/>
        <w:rPr>
          <w:rFonts w:hint="default" w:ascii="宋体" w:hAnsi="宋体" w:eastAsia="宋体" w:cs="宋体"/>
          <w:color w:val="FF0000"/>
          <w:sz w:val="24"/>
          <w:szCs w:val="24"/>
          <w:shd w:val="clear" w:color="auto" w:fill="auto"/>
          <w:lang w:val="en-US" w:eastAsia="zh-CN"/>
        </w:rPr>
      </w:pPr>
    </w:p>
    <w:p w14:paraId="4787C444">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p>
    <w:p w14:paraId="7CC9CE5B">
      <w:pPr>
        <w:snapToGrid w:val="0"/>
        <w:spacing w:line="400" w:lineRule="exact"/>
        <w:ind w:firstLine="480" w:firstLineChars="200"/>
        <w:jc w:val="left"/>
        <w:rPr>
          <w:rFonts w:hint="eastAsia" w:ascii="宋体" w:hAnsi="宋体" w:eastAsia="宋体" w:cs="宋体"/>
          <w:color w:val="FF0000"/>
          <w:sz w:val="24"/>
          <w:szCs w:val="24"/>
          <w:shd w:val="clear" w:color="auto" w:fill="auto"/>
        </w:rPr>
      </w:pPr>
    </w:p>
    <w:p w14:paraId="7B762AB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ABF14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EDF031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10C867F">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3B1506F">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5035AF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19A026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246F1B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7465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D333E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2170E8B">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1、服务周期：3年。</w:t>
      </w:r>
      <w:r>
        <w:rPr>
          <w:rFonts w:hint="eastAsia" w:ascii="宋体" w:hAnsi="宋体" w:eastAsia="宋体" w:cs="宋体"/>
          <w:color w:val="FF0000"/>
          <w:sz w:val="24"/>
          <w:szCs w:val="24"/>
          <w:shd w:val="clear" w:color="auto" w:fill="auto"/>
        </w:rPr>
        <w:t>（三年内处置以上同类报废设备均由成交供应商提供）</w:t>
      </w:r>
    </w:p>
    <w:p w14:paraId="5E0146F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2、付款方式：</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需在双方约定的第三方靠近废品存放最近的地方过磅，待全部完成过磅后，</w:t>
      </w:r>
      <w:r>
        <w:rPr>
          <w:rFonts w:hint="eastAsia" w:ascii="宋体" w:hAnsi="宋体" w:eastAsia="宋体" w:cs="宋体"/>
          <w:color w:val="FF0000"/>
          <w:sz w:val="24"/>
          <w:szCs w:val="24"/>
          <w:shd w:val="clear" w:color="auto" w:fill="auto"/>
          <w:lang w:eastAsia="zh-CN"/>
        </w:rPr>
        <w:t>按比选</w:t>
      </w:r>
      <w:r>
        <w:rPr>
          <w:rFonts w:hint="eastAsia" w:ascii="宋体" w:hAnsi="宋体" w:eastAsia="宋体" w:cs="宋体"/>
          <w:color w:val="FF0000"/>
          <w:sz w:val="24"/>
          <w:szCs w:val="24"/>
          <w:shd w:val="clear" w:color="auto" w:fill="auto"/>
          <w:lang w:val="en-US" w:eastAsia="zh-CN"/>
        </w:rPr>
        <w:t>报价</w:t>
      </w:r>
      <w:r>
        <w:rPr>
          <w:rFonts w:hint="eastAsia" w:ascii="宋体" w:hAnsi="宋体" w:eastAsia="宋体" w:cs="宋体"/>
          <w:color w:val="FF0000"/>
          <w:sz w:val="24"/>
          <w:szCs w:val="24"/>
          <w:shd w:val="clear" w:color="auto" w:fill="auto"/>
        </w:rPr>
        <w:t>计算出残值总价3个工作日内交</w:t>
      </w:r>
      <w:r>
        <w:rPr>
          <w:rFonts w:hint="eastAsia" w:ascii="宋体" w:hAnsi="宋体" w:eastAsia="宋体" w:cs="宋体"/>
          <w:color w:val="FF0000"/>
          <w:sz w:val="24"/>
          <w:szCs w:val="24"/>
          <w:shd w:val="clear" w:color="auto" w:fill="auto"/>
          <w:lang w:eastAsia="zh-CN"/>
        </w:rPr>
        <w:t>采购人</w:t>
      </w:r>
      <w:r>
        <w:rPr>
          <w:rFonts w:hint="eastAsia" w:ascii="宋体" w:hAnsi="宋体" w:eastAsia="宋体" w:cs="宋体"/>
          <w:color w:val="FF0000"/>
          <w:sz w:val="24"/>
          <w:szCs w:val="24"/>
          <w:shd w:val="clear" w:color="auto" w:fill="auto"/>
        </w:rPr>
        <w:t xml:space="preserve">财务科。 </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14840"/>
      <w:bookmarkStart w:id="84" w:name="_Toc403569796"/>
      <w:bookmarkStart w:id="85" w:name="_Toc485108794"/>
      <w:bookmarkStart w:id="86" w:name="_Toc15711"/>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5685"/>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13888360"/>
      <w:bookmarkStart w:id="153" w:name="_Toc5565"/>
      <w:bookmarkStart w:id="154" w:name="_Toc342913419"/>
      <w:bookmarkStart w:id="155" w:name="_Toc485108796"/>
      <w:bookmarkStart w:id="156" w:name="_Toc480979018"/>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lang w:val="en-US" w:eastAsia="zh-CN"/>
        </w:rPr>
      </w:pPr>
      <w:bookmarkStart w:id="159" w:name="_Toc12908"/>
      <w:bookmarkStart w:id="160" w:name="_Toc342913420"/>
      <w:bookmarkStart w:id="161" w:name="_Toc313888361"/>
      <w:bookmarkStart w:id="162" w:name="_Toc313008357"/>
      <w:bookmarkStart w:id="163" w:name="_Toc480979019"/>
      <w:bookmarkStart w:id="164" w:name="_Toc9883"/>
      <w:bookmarkStart w:id="165" w:name="_Toc485108797"/>
      <w:r>
        <w:rPr>
          <w:rFonts w:hint="eastAsia" w:ascii="黑体" w:hAnsi="黑体" w:eastAsia="黑体"/>
          <w:sz w:val="32"/>
          <w:szCs w:val="32"/>
          <w:lang w:val="en-US" w:eastAsia="zh-CN"/>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r>
              <w:rPr>
                <w:rFonts w:hint="eastAsia" w:ascii="宋体" w:hAnsi="宋体"/>
                <w:sz w:val="24"/>
                <w:lang w:val="en-US" w:eastAsia="zh-CN"/>
              </w:rPr>
              <w:t>/KG</w:t>
            </w:r>
            <w:r>
              <w:rPr>
                <w:rFonts w:hint="eastAsia" w:ascii="宋体" w:hAnsi="宋体"/>
                <w:sz w:val="24"/>
              </w:rPr>
              <w:t>）</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0B903C29">
            <w:pPr>
              <w:spacing w:line="360" w:lineRule="auto"/>
              <w:jc w:val="center"/>
              <w:rPr>
                <w:rFonts w:hint="default" w:ascii="宋体" w:hAnsi="宋体"/>
                <w:sz w:val="24"/>
                <w:lang w:val="en-US"/>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报废医疗设备残值处置回收服务</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bl>
    <w:p w14:paraId="6038507B">
      <w:pPr>
        <w:spacing w:line="360" w:lineRule="auto"/>
        <w:rPr>
          <w:rFonts w:hint="eastAsia" w:ascii="宋体" w:hAnsi="宋体"/>
          <w:sz w:val="28"/>
          <w:szCs w:val="28"/>
        </w:rPr>
      </w:pPr>
      <w:r>
        <w:rPr>
          <w:rFonts w:hint="eastAsia" w:ascii="宋体" w:hAnsi="宋体"/>
          <w:sz w:val="28"/>
          <w:szCs w:val="28"/>
        </w:rPr>
        <w:t>备注：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响应人报价（报最终单价：元/公斤）；回收总价格=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报废医疗设备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总重量（公斤）*单价（元/公斤），以“最终单价”从高到低进行排序。</w:t>
      </w:r>
    </w:p>
    <w:p w14:paraId="71A750FE">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36EA8E28">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4B4E674E">
      <w:pPr>
        <w:tabs>
          <w:tab w:val="left" w:pos="1134"/>
        </w:tabs>
        <w:jc w:val="center"/>
        <w:rPr>
          <w:rFonts w:hint="eastAsia" w:ascii="黑体" w:hAnsi="黑体" w:eastAsia="黑体"/>
          <w:sz w:val="32"/>
          <w:szCs w:val="32"/>
          <w:lang w:val="en-US" w:eastAsia="zh-CN"/>
        </w:rPr>
      </w:pPr>
    </w:p>
    <w:p w14:paraId="43CCCDE4">
      <w:pPr>
        <w:tabs>
          <w:tab w:val="left" w:pos="1134"/>
        </w:tabs>
        <w:jc w:val="center"/>
        <w:rPr>
          <w:rFonts w:hint="eastAsia" w:ascii="黑体" w:hAnsi="黑体" w:eastAsia="黑体"/>
          <w:sz w:val="32"/>
          <w:szCs w:val="32"/>
          <w:lang w:val="en-US" w:eastAsia="zh-CN"/>
        </w:rPr>
      </w:pPr>
    </w:p>
    <w:p w14:paraId="2060F795">
      <w:pPr>
        <w:tabs>
          <w:tab w:val="left" w:pos="1134"/>
        </w:tabs>
        <w:jc w:val="center"/>
        <w:rPr>
          <w:rFonts w:hint="eastAsia" w:ascii="黑体" w:hAnsi="黑体" w:eastAsia="黑体"/>
          <w:sz w:val="32"/>
          <w:szCs w:val="32"/>
          <w:lang w:val="en-US" w:eastAsia="zh-CN"/>
        </w:rPr>
      </w:pPr>
    </w:p>
    <w:p w14:paraId="19C1C5A2">
      <w:pPr>
        <w:tabs>
          <w:tab w:val="left" w:pos="1134"/>
        </w:tabs>
        <w:jc w:val="center"/>
        <w:rPr>
          <w:rFonts w:hint="eastAsia" w:ascii="黑体" w:hAnsi="黑体" w:eastAsia="黑体"/>
          <w:sz w:val="32"/>
          <w:szCs w:val="32"/>
          <w:lang w:val="en-US" w:eastAsia="zh-CN"/>
        </w:rPr>
      </w:pPr>
    </w:p>
    <w:p w14:paraId="2FB87830">
      <w:pPr>
        <w:tabs>
          <w:tab w:val="left" w:pos="1134"/>
        </w:tabs>
        <w:jc w:val="center"/>
        <w:rPr>
          <w:rFonts w:hint="eastAsia" w:ascii="黑体" w:hAnsi="黑体" w:eastAsia="黑体"/>
          <w:sz w:val="32"/>
          <w:szCs w:val="32"/>
          <w:lang w:val="en-US" w:eastAsia="zh-CN"/>
        </w:rPr>
      </w:pPr>
    </w:p>
    <w:p w14:paraId="03395C99">
      <w:pPr>
        <w:tabs>
          <w:tab w:val="left" w:pos="1134"/>
        </w:tabs>
        <w:jc w:val="center"/>
        <w:rPr>
          <w:rFonts w:hint="eastAsia" w:ascii="黑体" w:hAnsi="黑体" w:eastAsia="黑体"/>
          <w:sz w:val="32"/>
          <w:szCs w:val="32"/>
          <w:lang w:val="en-US" w:eastAsia="zh-CN"/>
        </w:rPr>
      </w:pPr>
    </w:p>
    <w:p w14:paraId="76B291F7">
      <w:pPr>
        <w:tabs>
          <w:tab w:val="left" w:pos="1134"/>
        </w:tabs>
        <w:jc w:val="center"/>
        <w:rPr>
          <w:rFonts w:hint="eastAsia" w:ascii="黑体" w:hAnsi="黑体" w:eastAsia="黑体"/>
          <w:sz w:val="32"/>
          <w:szCs w:val="32"/>
          <w:lang w:val="en-US" w:eastAsia="zh-CN"/>
        </w:rPr>
      </w:pPr>
    </w:p>
    <w:p w14:paraId="35AB2EAB">
      <w:pPr>
        <w:tabs>
          <w:tab w:val="left" w:pos="1134"/>
        </w:tabs>
        <w:jc w:val="center"/>
        <w:rPr>
          <w:rFonts w:hint="eastAsia" w:ascii="黑体" w:hAnsi="黑体" w:eastAsia="黑体"/>
          <w:sz w:val="32"/>
          <w:szCs w:val="32"/>
          <w:lang w:val="en-US" w:eastAsia="zh-CN"/>
        </w:rPr>
      </w:pPr>
    </w:p>
    <w:p w14:paraId="700E8F96">
      <w:pPr>
        <w:tabs>
          <w:tab w:val="left" w:pos="1134"/>
        </w:tabs>
        <w:jc w:val="center"/>
        <w:rPr>
          <w:rFonts w:hint="eastAsia" w:ascii="黑体" w:hAnsi="黑体" w:eastAsia="黑体"/>
          <w:sz w:val="32"/>
          <w:szCs w:val="32"/>
          <w:lang w:val="en-US" w:eastAsia="zh-CN"/>
        </w:rPr>
      </w:pPr>
    </w:p>
    <w:p w14:paraId="4885ACED">
      <w:pPr>
        <w:outlineLvl w:val="0"/>
        <w:rPr>
          <w:rFonts w:hint="eastAsia" w:ascii="宋体" w:hAnsi="宋体" w:eastAsia="宋体" w:cs="宋体"/>
          <w:b/>
          <w:color w:val="000000" w:themeColor="text1"/>
          <w:shd w:val="clear" w:color="auto" w:fill="auto"/>
          <w14:textFill>
            <w14:solidFill>
              <w14:schemeClr w14:val="tx1"/>
            </w14:solidFill>
          </w14:textFill>
        </w:rPr>
      </w:pPr>
    </w:p>
    <w:p w14:paraId="6435A194">
      <w:pPr>
        <w:outlineLvl w:val="0"/>
        <w:rPr>
          <w:rFonts w:hint="eastAsia" w:ascii="宋体" w:hAnsi="宋体" w:eastAsia="宋体" w:cs="宋体"/>
          <w:b/>
          <w:color w:val="000000" w:themeColor="text1"/>
          <w:shd w:val="clear" w:color="auto" w:fill="auto"/>
          <w14:textFill>
            <w14:solidFill>
              <w14:schemeClr w14:val="tx1"/>
            </w14:solidFill>
          </w14:textFill>
        </w:rPr>
      </w:pPr>
    </w:p>
    <w:p w14:paraId="20FE28D6">
      <w:pPr>
        <w:outlineLvl w:val="0"/>
        <w:rPr>
          <w:rFonts w:hint="eastAsia" w:ascii="宋体" w:hAnsi="宋体" w:eastAsia="宋体" w:cs="宋体"/>
          <w:b/>
          <w:color w:val="000000" w:themeColor="text1"/>
          <w:shd w:val="clear" w:color="auto" w:fill="auto"/>
          <w14:textFill>
            <w14:solidFill>
              <w14:schemeClr w14:val="tx1"/>
            </w14:solidFill>
          </w14:textFill>
        </w:rPr>
      </w:pPr>
    </w:p>
    <w:p w14:paraId="191005EA">
      <w:pPr>
        <w:outlineLvl w:val="0"/>
        <w:rPr>
          <w:rFonts w:hint="eastAsia" w:ascii="宋体" w:hAnsi="宋体" w:eastAsia="宋体" w:cs="宋体"/>
          <w:b/>
          <w:color w:val="000000" w:themeColor="text1"/>
          <w:shd w:val="clear" w:color="auto" w:fill="auto"/>
          <w14:textFill>
            <w14:solidFill>
              <w14:schemeClr w14:val="tx1"/>
            </w14:solidFill>
          </w14:textFill>
        </w:rPr>
      </w:pPr>
    </w:p>
    <w:p w14:paraId="5A4D46CE">
      <w:pPr>
        <w:outlineLvl w:val="0"/>
        <w:rPr>
          <w:rFonts w:hint="eastAsia" w:ascii="宋体" w:hAnsi="宋体" w:eastAsia="宋体" w:cs="宋体"/>
          <w:b/>
          <w:color w:val="000000" w:themeColor="text1"/>
          <w:shd w:val="clear" w:color="auto" w:fill="auto"/>
          <w14:textFill>
            <w14:solidFill>
              <w14:schemeClr w14:val="tx1"/>
            </w14:solidFill>
          </w14:textFill>
        </w:rPr>
      </w:pPr>
    </w:p>
    <w:p w14:paraId="62E36120">
      <w:pPr>
        <w:outlineLvl w:val="0"/>
        <w:rPr>
          <w:rFonts w:hint="eastAsia" w:ascii="宋体" w:hAnsi="宋体" w:eastAsia="宋体" w:cs="宋体"/>
          <w:b/>
          <w:color w:val="000000" w:themeColor="text1"/>
          <w:shd w:val="clear" w:color="auto" w:fill="auto"/>
          <w14:textFill>
            <w14:solidFill>
              <w14:schemeClr w14:val="tx1"/>
            </w14:solidFill>
          </w14:textFill>
        </w:rPr>
      </w:pPr>
    </w:p>
    <w:p w14:paraId="4BBC8CB2">
      <w:pPr>
        <w:outlineLvl w:val="0"/>
        <w:rPr>
          <w:rFonts w:hint="eastAsia" w:ascii="宋体" w:hAnsi="宋体" w:eastAsia="宋体" w:cs="宋体"/>
          <w:b/>
          <w:color w:val="000000" w:themeColor="text1"/>
          <w:shd w:val="clear" w:color="auto" w:fill="auto"/>
          <w14:textFill>
            <w14:solidFill>
              <w14:schemeClr w14:val="tx1"/>
            </w14:solidFill>
          </w14:textFill>
        </w:rPr>
      </w:pPr>
    </w:p>
    <w:p w14:paraId="0F85D737">
      <w:pPr>
        <w:outlineLvl w:val="0"/>
        <w:rPr>
          <w:rFonts w:hint="eastAsia" w:ascii="宋体" w:hAnsi="宋体" w:eastAsia="宋体" w:cs="宋体"/>
          <w:b/>
          <w:color w:val="000000" w:themeColor="text1"/>
          <w:shd w:val="clear" w:color="auto" w:fill="auto"/>
          <w14:textFill>
            <w14:solidFill>
              <w14:schemeClr w14:val="tx1"/>
            </w14:solidFill>
          </w14:textFill>
        </w:rPr>
      </w:pPr>
    </w:p>
    <w:p w14:paraId="7E400155">
      <w:pPr>
        <w:outlineLvl w:val="0"/>
        <w:rPr>
          <w:rFonts w:hint="eastAsia" w:ascii="宋体" w:hAnsi="宋体" w:eastAsia="宋体" w:cs="宋体"/>
          <w:b/>
          <w:color w:val="000000" w:themeColor="text1"/>
          <w:shd w:val="clear" w:color="auto" w:fill="auto"/>
          <w14:textFill>
            <w14:solidFill>
              <w14:schemeClr w14:val="tx1"/>
            </w14:solidFill>
          </w14:textFill>
        </w:rPr>
      </w:pPr>
    </w:p>
    <w:p w14:paraId="6623294E">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412F23D-6776-47D4-83A7-193C53A3C43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47EEACD1-8848-4A71-9109-616440E42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3F32BB"/>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3D19E6"/>
    <w:rsid w:val="31B17198"/>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3629BF"/>
    <w:rsid w:val="50472E90"/>
    <w:rsid w:val="50A2078E"/>
    <w:rsid w:val="50B9275C"/>
    <w:rsid w:val="50F72CC9"/>
    <w:rsid w:val="50FE286B"/>
    <w:rsid w:val="514069D9"/>
    <w:rsid w:val="514421CE"/>
    <w:rsid w:val="51932220"/>
    <w:rsid w:val="5199554E"/>
    <w:rsid w:val="51BC0756"/>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FE5BF2"/>
    <w:rsid w:val="56FF2E93"/>
    <w:rsid w:val="576D5122"/>
    <w:rsid w:val="58506377"/>
    <w:rsid w:val="586259DC"/>
    <w:rsid w:val="58625BCC"/>
    <w:rsid w:val="58627B7D"/>
    <w:rsid w:val="58B574EB"/>
    <w:rsid w:val="58CE04C7"/>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21399"/>
    <w:rsid w:val="67CB3049"/>
    <w:rsid w:val="67FF2A16"/>
    <w:rsid w:val="682465CF"/>
    <w:rsid w:val="68EA74FF"/>
    <w:rsid w:val="690814B0"/>
    <w:rsid w:val="6972525B"/>
    <w:rsid w:val="69C211FB"/>
    <w:rsid w:val="69FC5E8B"/>
    <w:rsid w:val="6A16113C"/>
    <w:rsid w:val="6A203953"/>
    <w:rsid w:val="6A3209D6"/>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6F73335C"/>
    <w:rsid w:val="6FB40867"/>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13080</Words>
  <Characters>13376</Characters>
  <Lines>182</Lines>
  <Paragraphs>51</Paragraphs>
  <TotalTime>3</TotalTime>
  <ScaleCrop>false</ScaleCrop>
  <LinksUpToDate>false</LinksUpToDate>
  <CharactersWithSpaces>14486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2025-08-26T00:28:44Z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