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2025FW104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医疗废物处置服务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bookmarkStart w:id="189" w:name="_GoBack"/>
      <w:bookmarkEnd w:id="189"/>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11641050"/>
      <w:bookmarkStart w:id="2" w:name="_Toc485108766"/>
      <w:bookmarkStart w:id="3" w:name="_Toc25875"/>
      <w:bookmarkStart w:id="4" w:name="_Toc23588"/>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医疗废物处置服务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7775175"/>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医疗废物处置服务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3年</w:t>
            </w:r>
          </w:p>
        </w:tc>
      </w:tr>
    </w:tbl>
    <w:p w14:paraId="00DB30B5">
      <w:pPr>
        <w:pStyle w:val="22"/>
        <w:numPr>
          <w:ilvl w:val="0"/>
          <w:numId w:val="0"/>
        </w:numPr>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w:t>
      </w:r>
      <w:r>
        <w:rPr>
          <w:rFonts w:hint="eastAsia" w:eastAsia="方正仿宋_GBK"/>
          <w:sz w:val="28"/>
          <w:szCs w:val="28"/>
        </w:rPr>
        <w:t>医院自筹</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,预算金额：据实结算。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2010A480">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有效的三证合一营业执照</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（经营范围包含废物收集、处置等相关内容）</w:t>
      </w:r>
    </w:p>
    <w:p w14:paraId="7252B941">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危险废物经营许可证</w:t>
      </w:r>
      <w:r>
        <w:rPr>
          <w:rFonts w:hint="eastAsia" w:ascii="宋体" w:hAnsi="宋体" w:eastAsia="宋体" w:cs="宋体"/>
          <w:color w:val="FF0000"/>
          <w:sz w:val="24"/>
          <w:szCs w:val="24"/>
          <w:shd w:val="clear" w:color="auto" w:fill="auto"/>
          <w:lang w:eastAsia="zh-CN"/>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8A570C3">
      <w:pPr>
        <w:spacing w:line="4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报价</w:t>
      </w:r>
      <w:r>
        <w:rPr>
          <w:rFonts w:hint="eastAsia" w:ascii="宋体" w:hAnsi="宋体" w:eastAsia="宋体" w:cs="宋体"/>
          <w:color w:val="FF0000"/>
          <w:sz w:val="24"/>
          <w:szCs w:val="24"/>
          <w:shd w:val="clear" w:color="auto" w:fill="auto"/>
          <w:lang w:eastAsia="zh-CN"/>
        </w:rPr>
        <w:t>为包干价，</w:t>
      </w:r>
      <w:r>
        <w:rPr>
          <w:rFonts w:hint="eastAsia" w:ascii="宋体" w:hAnsi="宋体" w:eastAsia="宋体" w:cs="宋体"/>
          <w:color w:val="FF0000"/>
          <w:sz w:val="24"/>
          <w:szCs w:val="24"/>
          <w:shd w:val="clear" w:color="auto" w:fill="auto"/>
        </w:rPr>
        <w:t>包含但不限于处置费、上车费、运输费、保险费、税费等各项费用等各项费用。</w:t>
      </w:r>
      <w:r>
        <w:rPr>
          <w:rFonts w:hint="eastAsia" w:ascii="宋体" w:hAnsi="宋体" w:eastAsia="宋体" w:cs="宋体"/>
          <w:color w:val="FF0000"/>
          <w:sz w:val="24"/>
          <w:szCs w:val="24"/>
          <w:shd w:val="clear" w:color="auto" w:fill="auto"/>
          <w:lang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B1E3D5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74" w:name="_Toc17014"/>
      <w:bookmarkStart w:id="75" w:name="_Toc4364"/>
      <w:r>
        <w:rPr>
          <w:rFonts w:hint="eastAsia" w:ascii="宋体" w:hAnsi="宋体" w:eastAsia="宋体" w:cs="宋体"/>
          <w:color w:val="000000" w:themeColor="text1"/>
          <w:sz w:val="24"/>
          <w:szCs w:val="24"/>
          <w:shd w:val="clear" w:color="auto" w:fill="auto"/>
          <w14:textFill>
            <w14:solidFill>
              <w14:schemeClr w14:val="tx1"/>
            </w14:solidFill>
          </w14:textFill>
        </w:rPr>
        <w:t>1.基本情况：重庆医科大学附属永川医院编制床位数1800张，包含萱花院区、兴龙湖院区、大安院区、医疗美容中心、兴龙湖社区卫生服务中心等。</w:t>
      </w:r>
    </w:p>
    <w:p w14:paraId="576BA73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.服务方免费提供清洁、已消毒的医疗废物周转箱，箱体及箱盖无破损，密封严密。（每20个床位一个，损坏后立即更换）</w:t>
      </w:r>
    </w:p>
    <w:p w14:paraId="20A360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.服务方车辆须检修保养，转运时不泄漏，以保证医疗废物的安全转运工作。</w:t>
      </w:r>
    </w:p>
    <w:p w14:paraId="24C9528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.服务方应按国家有关规定按时收运采购方暂时贮存间（点）内的医疗废物，并对医疗废物进行无害化处置。</w:t>
      </w:r>
    </w:p>
    <w:p w14:paraId="3AABCD7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.医疗废物收运频次为每天一次。</w:t>
      </w:r>
    </w:p>
    <w:p w14:paraId="7774B20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.当采购方需临时紧急处置医疗废物时，服务方应积极配合采购方收运、处置。</w:t>
      </w:r>
    </w:p>
    <w:p w14:paraId="2D7A2F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.在服务过程中，服务方应采取有效的安全措施，佩戴相应安全防护用品，保证施工人员和其他人员的人身安全，并承担因安全事故导致的一切经济和法律责任。如有损坏财产须照价赔偿。</w:t>
      </w:r>
    </w:p>
    <w:p w14:paraId="011A508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9DC19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5D0984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58649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11564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1409D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E5F7E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CA1908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0AAEB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1A02A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AA1526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EFB1E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CF8CEE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20EE60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8592EB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0211EE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8F56F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220567D">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.合同期限：3年，兴龙湖院区具体收运时间以采购方电话通知为准，其他地点收运开始时间为2026年1月1日。如果合同期内服务方失去相应经营许可资格，合同自动终止。</w:t>
      </w:r>
    </w:p>
    <w:p w14:paraId="62359148">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.付款方式：服务方每月5日前向采购方提供上个月的数量清单和合法发票（遇到法定节假日时，延长至工作日上班第一天），经采购方审核无误后60日内以转账方式支付费用。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7846842">
      <w:pPr>
        <w:pStyle w:val="52"/>
        <w:spacing w:before="0" w:beforeAutospacing="0" w:after="0" w:afterAutospacing="0" w:line="560" w:lineRule="exact"/>
        <w:jc w:val="center"/>
        <w:rPr>
          <w:sz w:val="32"/>
          <w:szCs w:val="32"/>
        </w:rPr>
      </w:pPr>
      <w:bookmarkStart w:id="159" w:name="_Toc480979019"/>
      <w:bookmarkStart w:id="160" w:name="_Toc313888361"/>
      <w:bookmarkStart w:id="161" w:name="_Toc342913420"/>
      <w:bookmarkStart w:id="162" w:name="_Toc313008357"/>
      <w:bookmarkStart w:id="163" w:name="_Toc485108797"/>
      <w:r>
        <w:rPr>
          <w:rFonts w:hint="eastAsia"/>
          <w:sz w:val="32"/>
          <w:szCs w:val="32"/>
        </w:rPr>
        <w:t>报价表</w:t>
      </w:r>
    </w:p>
    <w:tbl>
      <w:tblPr>
        <w:tblStyle w:val="6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805"/>
        <w:gridCol w:w="1604"/>
        <w:gridCol w:w="1604"/>
        <w:gridCol w:w="1604"/>
        <w:gridCol w:w="1605"/>
      </w:tblGrid>
      <w:tr w14:paraId="4794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728" w:type="pct"/>
            <w:vAlign w:val="center"/>
          </w:tcPr>
          <w:p w14:paraId="5FE53BDA">
            <w:pPr>
              <w:jc w:val="center"/>
            </w:pPr>
            <w:r>
              <w:rPr>
                <w:rFonts w:hint="eastAsia"/>
              </w:rPr>
              <w:t>名  称</w:t>
            </w:r>
          </w:p>
        </w:tc>
        <w:tc>
          <w:tcPr>
            <w:tcW w:w="937" w:type="pct"/>
            <w:vAlign w:val="center"/>
          </w:tcPr>
          <w:p w14:paraId="25B1A42B">
            <w:pPr>
              <w:jc w:val="center"/>
            </w:pPr>
            <w:r>
              <w:rPr>
                <w:rFonts w:hint="eastAsia"/>
              </w:rPr>
              <w:t>单价（元/张/日）</w:t>
            </w:r>
          </w:p>
        </w:tc>
        <w:tc>
          <w:tcPr>
            <w:tcW w:w="833" w:type="pct"/>
            <w:vAlign w:val="center"/>
          </w:tcPr>
          <w:p w14:paraId="4C338497">
            <w:pPr>
              <w:jc w:val="center"/>
            </w:pPr>
            <w:r>
              <w:rPr>
                <w:rFonts w:hint="eastAsia"/>
              </w:rPr>
              <w:t>床位数（张）</w:t>
            </w:r>
          </w:p>
        </w:tc>
        <w:tc>
          <w:tcPr>
            <w:tcW w:w="833" w:type="pct"/>
            <w:vAlign w:val="center"/>
          </w:tcPr>
          <w:p w14:paraId="18D48777">
            <w:pPr>
              <w:jc w:val="center"/>
            </w:pPr>
            <w:r>
              <w:rPr>
                <w:rFonts w:hint="eastAsia"/>
              </w:rPr>
              <w:t>日费用（元）</w:t>
            </w:r>
          </w:p>
        </w:tc>
        <w:tc>
          <w:tcPr>
            <w:tcW w:w="833" w:type="pct"/>
            <w:vAlign w:val="center"/>
          </w:tcPr>
          <w:p w14:paraId="12490D72">
            <w:pPr>
              <w:jc w:val="center"/>
            </w:pPr>
            <w:r>
              <w:rPr>
                <w:rFonts w:hint="eastAsia"/>
              </w:rPr>
              <w:t>年费用（按365日计算）</w:t>
            </w:r>
          </w:p>
        </w:tc>
        <w:tc>
          <w:tcPr>
            <w:tcW w:w="833" w:type="pct"/>
            <w:vAlign w:val="center"/>
          </w:tcPr>
          <w:p w14:paraId="508F3B4C">
            <w:pPr>
              <w:jc w:val="center"/>
            </w:pPr>
            <w:r>
              <w:rPr>
                <w:rFonts w:hint="eastAsia"/>
              </w:rPr>
              <w:t>备注</w:t>
            </w:r>
          </w:p>
        </w:tc>
      </w:tr>
      <w:tr w14:paraId="2500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28" w:type="pct"/>
            <w:vAlign w:val="center"/>
          </w:tcPr>
          <w:p w14:paraId="01F22E14">
            <w:pPr>
              <w:jc w:val="center"/>
            </w:pPr>
            <w:r>
              <w:rPr>
                <w:rFonts w:hint="eastAsia"/>
                <w:lang w:val="en-US" w:eastAsia="zh-CN"/>
              </w:rPr>
              <w:t>医疗废物处置服务</w:t>
            </w:r>
          </w:p>
        </w:tc>
        <w:tc>
          <w:tcPr>
            <w:tcW w:w="937" w:type="pct"/>
            <w:vAlign w:val="center"/>
          </w:tcPr>
          <w:p w14:paraId="00E254D1">
            <w:pPr>
              <w:jc w:val="center"/>
            </w:pPr>
          </w:p>
        </w:tc>
        <w:tc>
          <w:tcPr>
            <w:tcW w:w="833" w:type="pct"/>
            <w:vAlign w:val="center"/>
          </w:tcPr>
          <w:p w14:paraId="784357BC">
            <w:pPr>
              <w:jc w:val="center"/>
            </w:pPr>
          </w:p>
        </w:tc>
        <w:tc>
          <w:tcPr>
            <w:tcW w:w="833" w:type="pct"/>
            <w:vAlign w:val="center"/>
          </w:tcPr>
          <w:p w14:paraId="5180EE78">
            <w:pPr>
              <w:jc w:val="center"/>
            </w:pPr>
          </w:p>
        </w:tc>
        <w:tc>
          <w:tcPr>
            <w:tcW w:w="833" w:type="pct"/>
            <w:vAlign w:val="center"/>
          </w:tcPr>
          <w:p w14:paraId="34DF9E66">
            <w:pPr>
              <w:jc w:val="center"/>
            </w:pPr>
          </w:p>
        </w:tc>
        <w:tc>
          <w:tcPr>
            <w:tcW w:w="833" w:type="pct"/>
          </w:tcPr>
          <w:p w14:paraId="7645C7ED"/>
        </w:tc>
      </w:tr>
    </w:tbl>
    <w:p w14:paraId="1C813957">
      <w:pPr>
        <w:pStyle w:val="52"/>
        <w:spacing w:before="0" w:beforeAutospacing="0" w:after="0" w:afterAutospacing="0" w:line="480" w:lineRule="exact"/>
        <w:ind w:firstLine="420" w:firstLineChars="150"/>
        <w:rPr>
          <w:rFonts w:hint="eastAsia" w:eastAsia="宋体" w:cs="MS Shell Dlg"/>
          <w:sz w:val="28"/>
          <w:szCs w:val="28"/>
          <w:lang w:eastAsia="zh-CN"/>
        </w:rPr>
      </w:pPr>
      <w:r>
        <w:rPr>
          <w:rFonts w:hint="eastAsia" w:cs="MS Shell Dlg"/>
          <w:sz w:val="28"/>
          <w:szCs w:val="28"/>
        </w:rPr>
        <w:t>注：</w:t>
      </w:r>
      <w:r>
        <w:rPr>
          <w:rFonts w:hint="eastAsia" w:ascii="宋体" w:hAnsi="宋体" w:eastAsia="宋体" w:cs="宋体"/>
          <w:color w:val="FF0000"/>
          <w:sz w:val="24"/>
          <w:szCs w:val="24"/>
          <w:shd w:val="clear" w:color="auto" w:fill="auto"/>
        </w:rPr>
        <w:t>报价</w:t>
      </w:r>
      <w:r>
        <w:rPr>
          <w:rFonts w:hint="eastAsia" w:ascii="宋体" w:hAnsi="宋体" w:eastAsia="宋体" w:cs="宋体"/>
          <w:color w:val="FF0000"/>
          <w:sz w:val="24"/>
          <w:szCs w:val="24"/>
          <w:shd w:val="clear" w:color="auto" w:fill="auto"/>
          <w:lang w:eastAsia="zh-CN"/>
        </w:rPr>
        <w:t>为包干价，</w:t>
      </w:r>
      <w:r>
        <w:rPr>
          <w:rFonts w:hint="eastAsia" w:ascii="宋体" w:hAnsi="宋体" w:eastAsia="宋体" w:cs="宋体"/>
          <w:color w:val="FF0000"/>
          <w:sz w:val="24"/>
          <w:szCs w:val="24"/>
          <w:shd w:val="clear" w:color="auto" w:fill="auto"/>
        </w:rPr>
        <w:t>包含但不限于处置费、上车费、运输费、保险费、税费等各项费用等各项费用。</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lang w:eastAsia="zh-CN"/>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0A0D4184">
      <w:pPr>
        <w:outlineLvl w:val="0"/>
        <w:rPr>
          <w:rFonts w:hint="eastAsia" w:ascii="宋体" w:hAnsi="宋体" w:eastAsia="宋体" w:cs="宋体"/>
          <w:b/>
          <w:color w:val="000000" w:themeColor="text1"/>
          <w:shd w:val="clear" w:color="auto" w:fill="auto"/>
          <w14:textFill>
            <w14:solidFill>
              <w14:schemeClr w14:val="tx1"/>
            </w14:solidFill>
          </w14:textFill>
        </w:rPr>
      </w:pPr>
    </w:p>
    <w:p w14:paraId="7259C3F7">
      <w:pPr>
        <w:outlineLvl w:val="0"/>
        <w:rPr>
          <w:rFonts w:hint="eastAsia" w:ascii="宋体" w:hAnsi="宋体" w:eastAsia="宋体" w:cs="宋体"/>
          <w:b/>
          <w:color w:val="000000" w:themeColor="text1"/>
          <w:shd w:val="clear" w:color="auto" w:fill="auto"/>
          <w14:textFill>
            <w14:solidFill>
              <w14:schemeClr w14:val="tx1"/>
            </w14:solidFill>
          </w14:textFill>
        </w:rPr>
      </w:pPr>
    </w:p>
    <w:p w14:paraId="1F2DFD6D">
      <w:pPr>
        <w:outlineLvl w:val="0"/>
        <w:rPr>
          <w:rFonts w:hint="eastAsia" w:ascii="宋体" w:hAnsi="宋体" w:eastAsia="宋体" w:cs="宋体"/>
          <w:b/>
          <w:color w:val="000000" w:themeColor="text1"/>
          <w:shd w:val="clear" w:color="auto" w:fill="auto"/>
          <w14:textFill>
            <w14:solidFill>
              <w14:schemeClr w14:val="tx1"/>
            </w14:solidFill>
          </w14:textFill>
        </w:rPr>
      </w:pPr>
    </w:p>
    <w:p w14:paraId="269A7FA2">
      <w:pPr>
        <w:outlineLvl w:val="0"/>
        <w:rPr>
          <w:rFonts w:hint="eastAsia" w:ascii="宋体" w:hAnsi="宋体" w:eastAsia="宋体" w:cs="宋体"/>
          <w:b/>
          <w:color w:val="000000" w:themeColor="text1"/>
          <w:shd w:val="clear" w:color="auto" w:fill="auto"/>
          <w14:textFill>
            <w14:solidFill>
              <w14:schemeClr w14:val="tx1"/>
            </w14:solidFill>
          </w14:textFill>
        </w:rPr>
      </w:pPr>
    </w:p>
    <w:p w14:paraId="5A111048">
      <w:pPr>
        <w:outlineLvl w:val="0"/>
        <w:rPr>
          <w:rFonts w:hint="eastAsia" w:ascii="宋体" w:hAnsi="宋体" w:eastAsia="宋体" w:cs="宋体"/>
          <w:b/>
          <w:color w:val="000000" w:themeColor="text1"/>
          <w:shd w:val="clear" w:color="auto" w:fill="auto"/>
          <w14:textFill>
            <w14:solidFill>
              <w14:schemeClr w14:val="tx1"/>
            </w14:solidFill>
          </w14:textFill>
        </w:rPr>
      </w:pPr>
    </w:p>
    <w:p w14:paraId="2A5EE9A5">
      <w:pPr>
        <w:outlineLvl w:val="0"/>
        <w:rPr>
          <w:rFonts w:hint="eastAsia" w:ascii="宋体" w:hAnsi="宋体" w:eastAsia="宋体" w:cs="宋体"/>
          <w:b/>
          <w:color w:val="000000" w:themeColor="text1"/>
          <w:shd w:val="clear" w:color="auto" w:fill="auto"/>
          <w14:textFill>
            <w14:solidFill>
              <w14:schemeClr w14:val="tx1"/>
            </w14:solidFill>
          </w14:textFill>
        </w:rPr>
      </w:pPr>
    </w:p>
    <w:p w14:paraId="5A8C33DE">
      <w:pPr>
        <w:outlineLvl w:val="0"/>
        <w:rPr>
          <w:rFonts w:hint="eastAsia" w:ascii="宋体" w:hAnsi="宋体" w:eastAsia="宋体" w:cs="宋体"/>
          <w:b/>
          <w:color w:val="000000" w:themeColor="text1"/>
          <w:shd w:val="clear" w:color="auto" w:fill="auto"/>
          <w14:textFill>
            <w14:solidFill>
              <w14:schemeClr w14:val="tx1"/>
            </w14:solidFill>
          </w14:textFill>
        </w:rPr>
      </w:pPr>
    </w:p>
    <w:p w14:paraId="2782FABA">
      <w:pPr>
        <w:outlineLvl w:val="0"/>
        <w:rPr>
          <w:rFonts w:hint="eastAsia" w:ascii="宋体" w:hAnsi="宋体" w:eastAsia="宋体" w:cs="宋体"/>
          <w:b/>
          <w:color w:val="000000" w:themeColor="text1"/>
          <w:shd w:val="clear" w:color="auto" w:fill="auto"/>
          <w14:textFill>
            <w14:solidFill>
              <w14:schemeClr w14:val="tx1"/>
            </w14:solidFill>
          </w14:textFill>
        </w:rPr>
      </w:pPr>
    </w:p>
    <w:p w14:paraId="18A39689">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664FABDA">
      <w:pPr>
        <w:outlineLvl w:val="0"/>
        <w:rPr>
          <w:rFonts w:hint="eastAsia" w:ascii="宋体" w:hAnsi="宋体" w:eastAsia="宋体" w:cs="宋体"/>
          <w:b/>
          <w:color w:val="000000" w:themeColor="text1"/>
          <w:shd w:val="clear" w:color="auto" w:fill="auto"/>
          <w14:textFill>
            <w14:solidFill>
              <w14:schemeClr w14:val="tx1"/>
            </w14:solidFill>
          </w14:textFill>
        </w:rPr>
      </w:pPr>
    </w:p>
    <w:p w14:paraId="698F3352">
      <w:pPr>
        <w:outlineLvl w:val="0"/>
        <w:rPr>
          <w:rFonts w:hint="eastAsia" w:ascii="宋体" w:hAnsi="宋体" w:eastAsia="宋体" w:cs="宋体"/>
          <w:b/>
          <w:color w:val="000000" w:themeColor="text1"/>
          <w:shd w:val="clear" w:color="auto" w:fill="auto"/>
          <w14:textFill>
            <w14:solidFill>
              <w14:schemeClr w14:val="tx1"/>
            </w14:solidFill>
          </w14:textFill>
        </w:rPr>
      </w:pPr>
    </w:p>
    <w:p w14:paraId="31089B38">
      <w:pPr>
        <w:outlineLvl w:val="0"/>
        <w:rPr>
          <w:rFonts w:hint="eastAsia" w:ascii="宋体" w:hAnsi="宋体" w:eastAsia="宋体" w:cs="宋体"/>
          <w:b/>
          <w:color w:val="000000" w:themeColor="text1"/>
          <w:shd w:val="clear" w:color="auto" w:fill="auto"/>
          <w14:textFill>
            <w14:solidFill>
              <w14:schemeClr w14:val="tx1"/>
            </w14:solidFill>
          </w14:textFill>
        </w:rPr>
      </w:pPr>
    </w:p>
    <w:p w14:paraId="7AE83C77">
      <w:pPr>
        <w:outlineLvl w:val="0"/>
        <w:rPr>
          <w:rFonts w:hint="eastAsia" w:ascii="宋体" w:hAnsi="宋体" w:eastAsia="宋体" w:cs="宋体"/>
          <w:b/>
          <w:color w:val="000000" w:themeColor="text1"/>
          <w:shd w:val="clear" w:color="auto" w:fill="auto"/>
          <w14:textFill>
            <w14:solidFill>
              <w14:schemeClr w14:val="tx1"/>
            </w14:solidFill>
          </w14:textFill>
        </w:rPr>
      </w:pPr>
    </w:p>
    <w:p w14:paraId="4DCC9108">
      <w:pPr>
        <w:outlineLvl w:val="0"/>
        <w:rPr>
          <w:rFonts w:hint="eastAsia" w:ascii="宋体" w:hAnsi="宋体" w:eastAsia="宋体" w:cs="宋体"/>
          <w:b/>
          <w:color w:val="000000" w:themeColor="text1"/>
          <w:shd w:val="clear" w:color="auto" w:fill="auto"/>
          <w14:textFill>
            <w14:solidFill>
              <w14:schemeClr w14:val="tx1"/>
            </w14:solidFill>
          </w14:textFill>
        </w:rPr>
      </w:pPr>
    </w:p>
    <w:p w14:paraId="44A7ACE0">
      <w:pPr>
        <w:outlineLvl w:val="0"/>
        <w:rPr>
          <w:rFonts w:hint="eastAsia" w:ascii="宋体" w:hAnsi="宋体" w:eastAsia="宋体" w:cs="宋体"/>
          <w:b/>
          <w:color w:val="000000" w:themeColor="text1"/>
          <w:shd w:val="clear" w:color="auto" w:fill="auto"/>
          <w14:textFill>
            <w14:solidFill>
              <w14:schemeClr w14:val="tx1"/>
            </w14:solidFill>
          </w14:textFill>
        </w:rPr>
      </w:pPr>
    </w:p>
    <w:p w14:paraId="3C750337">
      <w:pPr>
        <w:outlineLvl w:val="0"/>
        <w:rPr>
          <w:rFonts w:hint="eastAsia" w:ascii="宋体" w:hAnsi="宋体" w:eastAsia="宋体" w:cs="宋体"/>
          <w:b/>
          <w:color w:val="000000" w:themeColor="text1"/>
          <w:shd w:val="clear" w:color="auto" w:fill="auto"/>
          <w14:textFill>
            <w14:solidFill>
              <w14:schemeClr w14:val="tx1"/>
            </w14:solidFill>
          </w14:textFill>
        </w:rPr>
      </w:pPr>
    </w:p>
    <w:p w14:paraId="1A343C08">
      <w:pPr>
        <w:outlineLvl w:val="0"/>
        <w:rPr>
          <w:rFonts w:hint="eastAsia" w:ascii="宋体" w:hAnsi="宋体" w:eastAsia="宋体" w:cs="宋体"/>
          <w:b/>
          <w:color w:val="000000" w:themeColor="text1"/>
          <w:shd w:val="clear" w:color="auto" w:fill="auto"/>
          <w14:textFill>
            <w14:solidFill>
              <w14:schemeClr w14:val="tx1"/>
            </w14:solidFill>
          </w14:textFill>
        </w:rPr>
      </w:pPr>
    </w:p>
    <w:p w14:paraId="72F362A7">
      <w:pPr>
        <w:outlineLvl w:val="0"/>
        <w:rPr>
          <w:rFonts w:hint="eastAsia" w:ascii="宋体" w:hAnsi="宋体" w:eastAsia="宋体" w:cs="宋体"/>
          <w:b/>
          <w:color w:val="000000" w:themeColor="text1"/>
          <w:shd w:val="clear" w:color="auto" w:fill="auto"/>
          <w14:textFill>
            <w14:solidFill>
              <w14:schemeClr w14:val="tx1"/>
            </w14:solidFill>
          </w14:textFill>
        </w:rPr>
      </w:pPr>
    </w:p>
    <w:p w14:paraId="601529B7">
      <w:pPr>
        <w:outlineLvl w:val="0"/>
        <w:rPr>
          <w:rFonts w:hint="eastAsia" w:ascii="宋体" w:hAnsi="宋体" w:eastAsia="宋体" w:cs="宋体"/>
          <w:b/>
          <w:color w:val="000000" w:themeColor="text1"/>
          <w:shd w:val="clear" w:color="auto" w:fill="auto"/>
          <w14:textFill>
            <w14:solidFill>
              <w14:schemeClr w14:val="tx1"/>
            </w14:solidFill>
          </w14:textFill>
        </w:rPr>
      </w:pPr>
    </w:p>
    <w:p w14:paraId="7BE2E6BB">
      <w:pPr>
        <w:outlineLvl w:val="0"/>
        <w:rPr>
          <w:rFonts w:hint="eastAsia" w:ascii="宋体" w:hAnsi="宋体" w:eastAsia="宋体" w:cs="宋体"/>
          <w:b/>
          <w:color w:val="000000" w:themeColor="text1"/>
          <w:shd w:val="clear" w:color="auto" w:fill="auto"/>
          <w14:textFill>
            <w14:solidFill>
              <w14:schemeClr w14:val="tx1"/>
            </w14:solidFill>
          </w14:textFill>
        </w:rPr>
      </w:pPr>
    </w:p>
    <w:p w14:paraId="285F002C">
      <w:pPr>
        <w:outlineLvl w:val="0"/>
        <w:rPr>
          <w:rFonts w:hint="eastAsia" w:ascii="宋体" w:hAnsi="宋体" w:eastAsia="宋体" w:cs="宋体"/>
          <w:b/>
          <w:color w:val="000000" w:themeColor="text1"/>
          <w:shd w:val="clear" w:color="auto" w:fill="auto"/>
          <w14:textFill>
            <w14:solidFill>
              <w14:schemeClr w14:val="tx1"/>
            </w14:solidFill>
          </w14:textFill>
        </w:rPr>
      </w:pPr>
    </w:p>
    <w:p w14:paraId="35314C73">
      <w:pPr>
        <w:outlineLvl w:val="0"/>
        <w:rPr>
          <w:rFonts w:hint="eastAsia" w:ascii="宋体" w:hAnsi="宋体" w:eastAsia="宋体" w:cs="宋体"/>
          <w:b/>
          <w:color w:val="000000" w:themeColor="text1"/>
          <w:shd w:val="clear" w:color="auto" w:fill="auto"/>
          <w14:textFill>
            <w14:solidFill>
              <w14:schemeClr w14:val="tx1"/>
            </w14:solidFill>
          </w14:textFill>
        </w:rPr>
      </w:pPr>
    </w:p>
    <w:p w14:paraId="13EFBBF0">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02291714-729D-4752-8B11-BF1C3C3D17AD}"/>
  </w:font>
  <w:font w:name="MS Shell Dlg">
    <w:altName w:val="Microsoft Sans Serif"/>
    <w:panose1 w:val="020B0604020202020204"/>
    <w:charset w:val="00"/>
    <w:family w:val="swiss"/>
    <w:pitch w:val="default"/>
    <w:sig w:usb0="00000000" w:usb1="00000000" w:usb2="00000008" w:usb3="00000000" w:csb0="000101FF" w:csb1="00000000"/>
    <w:embedRegular r:id="rId2" w:fontKey="{DE3AD135-0861-40F2-8259-CCB44C91E85C}"/>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83062E"/>
    <w:rsid w:val="0A9D6183"/>
    <w:rsid w:val="0ACB5503"/>
    <w:rsid w:val="0ACF458A"/>
    <w:rsid w:val="0B1D7F14"/>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4A7245"/>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AD21BF"/>
    <w:rsid w:val="47D41743"/>
    <w:rsid w:val="47D63DB2"/>
    <w:rsid w:val="47F3755A"/>
    <w:rsid w:val="482B71EF"/>
    <w:rsid w:val="487D04F4"/>
    <w:rsid w:val="48A31EA1"/>
    <w:rsid w:val="48FA020D"/>
    <w:rsid w:val="48FE3FFB"/>
    <w:rsid w:val="492C6FBB"/>
    <w:rsid w:val="499D1F70"/>
    <w:rsid w:val="4A1025A8"/>
    <w:rsid w:val="4A832C17"/>
    <w:rsid w:val="4A9100D0"/>
    <w:rsid w:val="4AC26B09"/>
    <w:rsid w:val="4AD056CA"/>
    <w:rsid w:val="4AD41B9B"/>
    <w:rsid w:val="4AED1C9D"/>
    <w:rsid w:val="4B597B89"/>
    <w:rsid w:val="4BE8259F"/>
    <w:rsid w:val="4C025EBB"/>
    <w:rsid w:val="4C4E289A"/>
    <w:rsid w:val="4DB03C57"/>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745699"/>
    <w:rsid w:val="549E2395"/>
    <w:rsid w:val="55297C80"/>
    <w:rsid w:val="5531155E"/>
    <w:rsid w:val="55711857"/>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B5"/>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8F62F8"/>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783234"/>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2335FF"/>
    <w:rsid w:val="77452BA0"/>
    <w:rsid w:val="774923FD"/>
    <w:rsid w:val="777E28EC"/>
    <w:rsid w:val="778613DF"/>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12125</Words>
  <Characters>12394</Characters>
  <Lines>182</Lines>
  <Paragraphs>51</Paragraphs>
  <TotalTime>3</TotalTime>
  <ScaleCrop>false</ScaleCrop>
  <LinksUpToDate>false</LinksUpToDate>
  <CharactersWithSpaces>13375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2025-08-29T08:11:45Z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