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18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盐水分配器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盐水分配器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0.3万元/台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总预算为0.6万元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盐水分配器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盐水分配器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盐水分配器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559E3B84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功能用途：用于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兴龙湖院区</w:t>
      </w:r>
      <w:r>
        <w:rPr>
          <w:rFonts w:hint="eastAsia" w:ascii="楷体" w:hAnsi="楷体" w:eastAsia="楷体" w:cs="楷体"/>
          <w:sz w:val="24"/>
          <w:szCs w:val="24"/>
        </w:rPr>
        <w:t>微生物组细菌真菌药敏试验生理盐水定量配制。</w:t>
      </w:r>
    </w:p>
    <w:p w14:paraId="325E2C24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具体技术需求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：</w:t>
      </w:r>
    </w:p>
    <w:p w14:paraId="6DBC98B2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（1）使用锯齿导轨快速安全的设定体积。</w:t>
      </w:r>
    </w:p>
    <w:p w14:paraId="773AE3E4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（2）广泛应用适用于有机溶液，酸、碱和盐等溶液。</w:t>
      </w:r>
    </w:p>
    <w:p w14:paraId="29458C27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（3）操作简单、洗液快速、排液轻松。</w:t>
      </w:r>
    </w:p>
    <w:p w14:paraId="0497CDAF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（4）量程：1-10mL，精度±0.5%。</w:t>
      </w:r>
    </w:p>
    <w:p w14:paraId="69CAC4F3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（5）配备多种螺纹适配器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包含适配35mm的试剂螺纹口。</w:t>
      </w:r>
      <w:bookmarkStart w:id="0" w:name="_GoBack"/>
      <w:bookmarkEnd w:id="0"/>
    </w:p>
    <w:p w14:paraId="22F29497">
      <w:pPr>
        <w:pStyle w:val="18"/>
        <w:spacing w:line="460" w:lineRule="exact"/>
        <w:ind w:left="42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（6）配置有回流阀。</w:t>
      </w:r>
    </w:p>
    <w:p w14:paraId="518ACC03">
      <w:pPr>
        <w:pStyle w:val="1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（7）分配器整体可高压灭菌消毒。</w:t>
      </w:r>
    </w:p>
    <w:p w14:paraId="6AEC8725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  <w:t>商务要</w:t>
      </w:r>
      <w:r>
        <w:rPr>
          <w:rFonts w:hint="eastAsia" w:ascii="楷体" w:hAnsi="楷体" w:eastAsia="楷体" w:cs="楷体"/>
          <w:b/>
          <w:color w:val="auto"/>
          <w:sz w:val="24"/>
          <w:szCs w:val="24"/>
          <w:highlight w:val="none"/>
        </w:rPr>
        <w:t>求</w:t>
      </w:r>
    </w:p>
    <w:p w14:paraId="2FD83297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设备整机质保期：≥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年。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设备使用寿命：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。</w:t>
      </w:r>
    </w:p>
    <w:p w14:paraId="0DFCF467">
      <w:pPr>
        <w:pStyle w:val="18"/>
        <w:numPr>
          <w:ilvl w:val="0"/>
          <w:numId w:val="5"/>
        </w:numPr>
        <w:spacing w:line="460" w:lineRule="exact"/>
        <w:ind w:firstLineChars="0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设备质保期内，出现不可修复的质量问题需无条件更换全新机器，修复期超过五天时需提供备用机。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质保期内，每年至少维护保养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1次。</w:t>
      </w:r>
    </w:p>
    <w:p w14:paraId="78DB19AB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质保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期内不得随意变更配送单位。</w:t>
      </w:r>
    </w:p>
    <w:p w14:paraId="5D0460AD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若有配套易损件或封闭专用耗材（专机专用）的，需同时报价，否则视为标配。</w:t>
      </w:r>
    </w:p>
    <w:p w14:paraId="613A8A43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设备到货期：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天内。</w:t>
      </w:r>
    </w:p>
    <w:p w14:paraId="72683318">
      <w:pPr>
        <w:pStyle w:val="1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color w:val="0000FF"/>
          <w:sz w:val="24"/>
          <w:szCs w:val="24"/>
          <w:highlight w:val="yellow"/>
        </w:rPr>
      </w:pPr>
    </w:p>
    <w:p w14:paraId="6C671AEC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3E4F"/>
    <w:multiLevelType w:val="singleLevel"/>
    <w:tmpl w:val="B3363E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570DE4"/>
    <w:multiLevelType w:val="multilevel"/>
    <w:tmpl w:val="17570DE4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3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780969"/>
    <w:multiLevelType w:val="multilevel"/>
    <w:tmpl w:val="7B780969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0C65A2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AE81063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DFE4AE2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6B64958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1491</Words>
  <Characters>1596</Characters>
  <Lines>12</Lines>
  <Paragraphs>3</Paragraphs>
  <TotalTime>2</TotalTime>
  <ScaleCrop>false</ScaleCrop>
  <LinksUpToDate>false</LinksUpToDate>
  <CharactersWithSpaces>1793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2025-02-18T04:14:00Z</cp:lastPrinted>
  <dcterms:modified xsi:type="dcterms:W3CDTF">2025-09-02T04:06:17Z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eyJoZGlkIjoiODJmNDUzZDE3MzZmYzNkNTdmNWExYjkwNzUxOWNjMmYiLCJ1c2VySWQiOiIyNzY2MzA5OTgifQ==</vt:lpwstr>
  </property>
</Properties>
</file>