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2025FW107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全科楼会议室及办公室改造服务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11641050"/>
      <w:bookmarkStart w:id="2" w:name="_Toc485108766"/>
      <w:bookmarkStart w:id="3" w:name="_Toc6921"/>
      <w:bookmarkStart w:id="4" w:name="_Toc25875"/>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全科楼会议室及办公室改造服务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全科楼会议室及办公室改造服务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：医院自筹,预算金额：964636.49元。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3812FFA">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1.建筑业企业资质证书（建筑工程施工总承包贰级及以上、建筑机电安装工程贰级及以上、消防设施工程专业承包贰级及以上）</w:t>
      </w:r>
    </w:p>
    <w:p w14:paraId="5362C0B7">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adjustRightInd w:val="0"/>
        <w:spacing w:line="5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投标人应充分考虑完成本工程的各种因素并满足甲方使用要求，除设计变更或采购方要求的改动内容外，总价不作调整。设计变更或采购方要求的改动内容执行上述定额按实结算，其中人工、材料价格按施工同期《重庆工程造价信息》发布价取算数平均值，造价信息没有的材料由双方共同认质认价。</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项目内容：全科楼办公室及会议室改造项目内容详见施工图。安全文明施工费、措施费等由各投标单位结合自身情况统一报价，招标前另行通知现场勘查，勘察完成后发放图纸。不到现场勘察的投标人，一旦中标投标人不得以不完全了解施工现场情况为借口而提出额外赔偿，或延长工期的要求，造成一切损失由投标人承担。</w:t>
      </w:r>
    </w:p>
    <w:p w14:paraId="1F2C738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w:t>
      </w:r>
    </w:p>
    <w:p w14:paraId="58D06CAC">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涉及到焊接的部位，焊工需具有中华人民共和国应急管理部（原国家安全生产监督管理局）颁发的“焊接与热切割作业”证书，并且为本公司员工（提供社保证明）。项目开工前，特种作业人员必须到场，直至项目竣工验收完成，未经我院同意不得随意更换特种作业人员。</w:t>
      </w:r>
    </w:p>
    <w:p w14:paraId="1702757A">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val="en-US" w:eastAsia="zh-CN"/>
        </w:rPr>
        <w:t>.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14:paraId="056F45DA">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val="en-US" w:eastAsia="zh-CN"/>
        </w:rPr>
        <w:t>.本项目完工后需做好各项售后服务。</w:t>
      </w:r>
    </w:p>
    <w:p w14:paraId="3A2D03F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w:t>
      </w:r>
    </w:p>
    <w:p w14:paraId="7517BE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2.工期：不大于40天</w:t>
      </w:r>
    </w:p>
    <w:p w14:paraId="5DC73C2C">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合同签订后5个工作日内，服务方向采购方转账支付合同金额的8%作为履约保证金。验收合格后服务方提供完整的验收资料两套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sz w:val="24"/>
                <w:lang w:val="en-US" w:eastAsia="zh-CN"/>
              </w:rPr>
              <w:t>全科楼会议室及办公室改造项目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4B4E674E">
      <w:pPr>
        <w:tabs>
          <w:tab w:val="left" w:pos="1134"/>
        </w:tabs>
        <w:jc w:val="center"/>
        <w:rPr>
          <w:rFonts w:hint="eastAsia" w:ascii="黑体" w:hAnsi="黑体" w:eastAsia="黑体"/>
          <w:sz w:val="32"/>
          <w:szCs w:val="32"/>
          <w:lang w:val="en-US" w:eastAsia="zh-CN"/>
        </w:rPr>
      </w:pPr>
    </w:p>
    <w:p w14:paraId="43CCCDE4">
      <w:pPr>
        <w:tabs>
          <w:tab w:val="left" w:pos="1134"/>
        </w:tabs>
        <w:jc w:val="center"/>
        <w:rPr>
          <w:rFonts w:hint="eastAsia" w:ascii="黑体" w:hAnsi="黑体" w:eastAsia="黑体"/>
          <w:sz w:val="32"/>
          <w:szCs w:val="32"/>
          <w:lang w:val="en-US" w:eastAsia="zh-CN"/>
        </w:rPr>
      </w:pPr>
    </w:p>
    <w:p w14:paraId="2060F795">
      <w:pPr>
        <w:tabs>
          <w:tab w:val="left" w:pos="1134"/>
        </w:tabs>
        <w:jc w:val="center"/>
        <w:rPr>
          <w:rFonts w:hint="eastAsia" w:ascii="黑体" w:hAnsi="黑体" w:eastAsia="黑体"/>
          <w:sz w:val="32"/>
          <w:szCs w:val="32"/>
          <w:lang w:val="en-US" w:eastAsia="zh-CN"/>
        </w:rPr>
      </w:pPr>
    </w:p>
    <w:p w14:paraId="19C1C5A2">
      <w:pPr>
        <w:tabs>
          <w:tab w:val="left" w:pos="1134"/>
        </w:tabs>
        <w:jc w:val="center"/>
        <w:rPr>
          <w:rFonts w:hint="eastAsia" w:ascii="黑体" w:hAnsi="黑体" w:eastAsia="黑体"/>
          <w:sz w:val="32"/>
          <w:szCs w:val="32"/>
          <w:lang w:val="en-US" w:eastAsia="zh-CN"/>
        </w:rPr>
      </w:pPr>
    </w:p>
    <w:p w14:paraId="2FB87830">
      <w:pPr>
        <w:tabs>
          <w:tab w:val="left" w:pos="1134"/>
        </w:tabs>
        <w:jc w:val="center"/>
        <w:rPr>
          <w:rFonts w:hint="eastAsia" w:ascii="黑体" w:hAnsi="黑体" w:eastAsia="黑体"/>
          <w:sz w:val="32"/>
          <w:szCs w:val="32"/>
          <w:lang w:val="en-US" w:eastAsia="zh-CN"/>
        </w:rPr>
      </w:pPr>
    </w:p>
    <w:p w14:paraId="03395C99">
      <w:pPr>
        <w:tabs>
          <w:tab w:val="left" w:pos="1134"/>
        </w:tabs>
        <w:jc w:val="center"/>
        <w:rPr>
          <w:rFonts w:hint="eastAsia" w:ascii="黑体" w:hAnsi="黑体" w:eastAsia="黑体"/>
          <w:sz w:val="32"/>
          <w:szCs w:val="32"/>
          <w:lang w:val="en-US" w:eastAsia="zh-CN"/>
        </w:rPr>
      </w:pPr>
    </w:p>
    <w:p w14:paraId="76B291F7">
      <w:pPr>
        <w:tabs>
          <w:tab w:val="left" w:pos="1134"/>
        </w:tabs>
        <w:jc w:val="center"/>
        <w:rPr>
          <w:rFonts w:hint="eastAsia" w:ascii="黑体" w:hAnsi="黑体" w:eastAsia="黑体"/>
          <w:sz w:val="32"/>
          <w:szCs w:val="32"/>
          <w:lang w:val="en-US" w:eastAsia="zh-CN"/>
        </w:rPr>
      </w:pPr>
    </w:p>
    <w:p w14:paraId="35AB2EAB">
      <w:pPr>
        <w:tabs>
          <w:tab w:val="left" w:pos="1134"/>
        </w:tabs>
        <w:jc w:val="center"/>
        <w:rPr>
          <w:rFonts w:hint="eastAsia" w:ascii="黑体" w:hAnsi="黑体" w:eastAsia="黑体"/>
          <w:sz w:val="32"/>
          <w:szCs w:val="32"/>
          <w:lang w:val="en-US" w:eastAsia="zh-CN"/>
        </w:rPr>
      </w:pPr>
    </w:p>
    <w:p w14:paraId="700E8F96">
      <w:pPr>
        <w:tabs>
          <w:tab w:val="left" w:pos="1134"/>
        </w:tabs>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附件2</w:t>
      </w:r>
    </w:p>
    <w:p w14:paraId="5F1FA971">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0C0D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3CCBA295">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7097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6D557DE2">
            <w:pPr>
              <w:tabs>
                <w:tab w:val="left" w:pos="1134"/>
              </w:tabs>
              <w:jc w:val="center"/>
              <w:rPr>
                <w:rFonts w:hint="default" w:ascii="黑体" w:hAnsi="黑体" w:eastAsia="黑体"/>
                <w:sz w:val="32"/>
                <w:szCs w:val="32"/>
                <w:vertAlign w:val="baseline"/>
                <w:lang w:val="en-US" w:eastAsia="zh-CN"/>
              </w:rPr>
            </w:pPr>
          </w:p>
        </w:tc>
      </w:tr>
      <w:tr w14:paraId="6774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E5221B7">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铝合金</w:t>
            </w:r>
          </w:p>
        </w:tc>
        <w:tc>
          <w:tcPr>
            <w:tcW w:w="1830" w:type="dxa"/>
            <w:vAlign w:val="center"/>
          </w:tcPr>
          <w:p w14:paraId="77F96EC4">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1061C3B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09BD73D">
            <w:pPr>
              <w:tabs>
                <w:tab w:val="left" w:pos="1134"/>
              </w:tabs>
              <w:jc w:val="center"/>
              <w:rPr>
                <w:rFonts w:hint="default" w:ascii="黑体" w:hAnsi="黑体" w:eastAsia="黑体"/>
                <w:sz w:val="32"/>
                <w:szCs w:val="32"/>
                <w:vertAlign w:val="baseline"/>
                <w:lang w:val="en-US" w:eastAsia="zh-CN"/>
              </w:rPr>
            </w:pPr>
          </w:p>
        </w:tc>
      </w:tr>
      <w:tr w14:paraId="3593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4C90B2C4">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铝方通</w:t>
            </w:r>
          </w:p>
        </w:tc>
        <w:tc>
          <w:tcPr>
            <w:tcW w:w="1830" w:type="dxa"/>
            <w:vAlign w:val="center"/>
          </w:tcPr>
          <w:p w14:paraId="6D04A06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962EE83">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0C98D32">
            <w:pPr>
              <w:tabs>
                <w:tab w:val="left" w:pos="1134"/>
              </w:tabs>
              <w:jc w:val="center"/>
              <w:rPr>
                <w:rFonts w:hint="default" w:ascii="黑体" w:hAnsi="黑体" w:eastAsia="黑体"/>
                <w:sz w:val="32"/>
                <w:szCs w:val="32"/>
                <w:vertAlign w:val="baseline"/>
                <w:lang w:val="en-US" w:eastAsia="zh-CN"/>
              </w:rPr>
            </w:pPr>
          </w:p>
        </w:tc>
      </w:tr>
      <w:tr w14:paraId="3E73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358A031">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石膏板</w:t>
            </w:r>
          </w:p>
        </w:tc>
        <w:tc>
          <w:tcPr>
            <w:tcW w:w="1830" w:type="dxa"/>
            <w:vAlign w:val="center"/>
          </w:tcPr>
          <w:p w14:paraId="6BF43AE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573B31D">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6BAFD240">
            <w:pPr>
              <w:tabs>
                <w:tab w:val="left" w:pos="1134"/>
              </w:tabs>
              <w:jc w:val="center"/>
              <w:rPr>
                <w:rFonts w:hint="default" w:ascii="黑体" w:hAnsi="黑体" w:eastAsia="黑体"/>
                <w:sz w:val="32"/>
                <w:szCs w:val="32"/>
                <w:vertAlign w:val="baseline"/>
                <w:lang w:val="en-US" w:eastAsia="zh-CN"/>
              </w:rPr>
            </w:pPr>
          </w:p>
        </w:tc>
      </w:tr>
      <w:tr w14:paraId="268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0BC014C">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铜芯线</w:t>
            </w:r>
          </w:p>
        </w:tc>
        <w:tc>
          <w:tcPr>
            <w:tcW w:w="1830" w:type="dxa"/>
            <w:vAlign w:val="center"/>
          </w:tcPr>
          <w:p w14:paraId="26693EB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46E0CFB">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D6D7E47">
            <w:pPr>
              <w:tabs>
                <w:tab w:val="left" w:pos="1134"/>
              </w:tabs>
              <w:jc w:val="center"/>
              <w:rPr>
                <w:rFonts w:hint="default" w:ascii="黑体" w:hAnsi="黑体" w:eastAsia="黑体"/>
                <w:sz w:val="32"/>
                <w:szCs w:val="32"/>
                <w:vertAlign w:val="baseline"/>
                <w:lang w:val="en-US" w:eastAsia="zh-CN"/>
              </w:rPr>
            </w:pPr>
          </w:p>
        </w:tc>
      </w:tr>
      <w:tr w14:paraId="6C0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0B05E91">
            <w:pPr>
              <w:tabs>
                <w:tab w:val="left" w:pos="1134"/>
              </w:tabs>
              <w:jc w:val="center"/>
              <w:rPr>
                <w:rFonts w:hint="default" w:ascii="宋体" w:hAnsi="宋体" w:eastAsia="宋体" w:cs="宋体"/>
                <w:sz w:val="24"/>
                <w:szCs w:val="24"/>
                <w:vertAlign w:val="baseline"/>
                <w:lang w:val="en-US" w:eastAsia="zh-CN"/>
              </w:rPr>
            </w:pPr>
            <w:r>
              <w:rPr>
                <w:rFonts w:hint="eastAsia" w:ascii="宋体" w:hAnsi="宋体"/>
                <w:sz w:val="24"/>
                <w:lang w:val="en-US" w:eastAsia="zh-CN"/>
              </w:rPr>
              <w:t>乳胶漆</w:t>
            </w:r>
          </w:p>
        </w:tc>
        <w:tc>
          <w:tcPr>
            <w:tcW w:w="1830" w:type="dxa"/>
            <w:vAlign w:val="center"/>
          </w:tcPr>
          <w:p w14:paraId="31731BA0">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D4718A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4694A36">
            <w:pPr>
              <w:tabs>
                <w:tab w:val="left" w:pos="1134"/>
              </w:tabs>
              <w:jc w:val="center"/>
              <w:rPr>
                <w:rFonts w:hint="default" w:ascii="黑体" w:hAnsi="黑体" w:eastAsia="黑体"/>
                <w:sz w:val="32"/>
                <w:szCs w:val="32"/>
                <w:vertAlign w:val="baseline"/>
                <w:lang w:val="en-US" w:eastAsia="zh-CN"/>
              </w:rPr>
            </w:pPr>
          </w:p>
        </w:tc>
      </w:tr>
      <w:tr w14:paraId="2D47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5B5F0">
            <w:pPr>
              <w:tabs>
                <w:tab w:val="left" w:pos="1134"/>
              </w:tabs>
              <w:jc w:val="center"/>
              <w:rPr>
                <w:rFonts w:hint="eastAsia" w:ascii="宋体" w:hAnsi="宋体"/>
                <w:sz w:val="24"/>
                <w:lang w:val="en-US" w:eastAsia="zh-CN"/>
              </w:rPr>
            </w:pPr>
            <w:r>
              <w:rPr>
                <w:rFonts w:hint="eastAsia" w:ascii="宋体" w:hAnsi="宋体"/>
                <w:sz w:val="24"/>
                <w:lang w:val="en-US" w:eastAsia="zh-CN"/>
              </w:rPr>
              <w:t>线管</w:t>
            </w:r>
          </w:p>
        </w:tc>
        <w:tc>
          <w:tcPr>
            <w:tcW w:w="1830" w:type="dxa"/>
            <w:vAlign w:val="center"/>
          </w:tcPr>
          <w:p w14:paraId="0AEB3CA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CA88502">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0700122A">
            <w:pPr>
              <w:tabs>
                <w:tab w:val="left" w:pos="1134"/>
              </w:tabs>
              <w:jc w:val="center"/>
              <w:rPr>
                <w:rFonts w:hint="default" w:ascii="黑体" w:hAnsi="黑体" w:eastAsia="黑体"/>
                <w:sz w:val="32"/>
                <w:szCs w:val="32"/>
                <w:vertAlign w:val="baseline"/>
                <w:lang w:val="en-US" w:eastAsia="zh-CN"/>
              </w:rPr>
            </w:pPr>
          </w:p>
        </w:tc>
      </w:tr>
      <w:tr w14:paraId="584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07D9A48">
            <w:pPr>
              <w:tabs>
                <w:tab w:val="left" w:pos="1134"/>
              </w:tabs>
              <w:jc w:val="center"/>
              <w:rPr>
                <w:rFonts w:hint="eastAsia" w:ascii="宋体" w:hAnsi="宋体"/>
                <w:sz w:val="24"/>
                <w:lang w:val="en-US" w:eastAsia="zh-CN"/>
              </w:rPr>
            </w:pPr>
            <w:r>
              <w:rPr>
                <w:rFonts w:hint="eastAsia" w:ascii="宋体" w:hAnsi="宋体"/>
                <w:sz w:val="24"/>
                <w:lang w:val="en-US" w:eastAsia="zh-CN"/>
              </w:rPr>
              <w:t>开关、插座</w:t>
            </w:r>
          </w:p>
        </w:tc>
        <w:tc>
          <w:tcPr>
            <w:tcW w:w="1830" w:type="dxa"/>
            <w:vAlign w:val="center"/>
          </w:tcPr>
          <w:p w14:paraId="58DCBEB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7B325E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8109273">
            <w:pPr>
              <w:tabs>
                <w:tab w:val="left" w:pos="1134"/>
              </w:tabs>
              <w:jc w:val="center"/>
              <w:rPr>
                <w:rFonts w:hint="default" w:ascii="黑体" w:hAnsi="黑体" w:eastAsia="黑体"/>
                <w:sz w:val="32"/>
                <w:szCs w:val="32"/>
                <w:vertAlign w:val="baseline"/>
                <w:lang w:val="en-US" w:eastAsia="zh-CN"/>
              </w:rPr>
            </w:pPr>
          </w:p>
        </w:tc>
      </w:tr>
      <w:tr w14:paraId="2CDB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9F837C0">
            <w:pPr>
              <w:tabs>
                <w:tab w:val="left" w:pos="1134"/>
              </w:tabs>
              <w:jc w:val="center"/>
              <w:rPr>
                <w:rFonts w:hint="eastAsia" w:ascii="宋体" w:hAnsi="宋体"/>
                <w:sz w:val="24"/>
                <w:lang w:val="en-US" w:eastAsia="zh-CN"/>
              </w:rPr>
            </w:pPr>
            <w:r>
              <w:rPr>
                <w:rFonts w:hint="eastAsia" w:ascii="宋体" w:hAnsi="宋体"/>
                <w:sz w:val="24"/>
                <w:lang w:val="en-US" w:eastAsia="zh-CN"/>
              </w:rPr>
              <w:t>筒灯</w:t>
            </w:r>
          </w:p>
        </w:tc>
        <w:tc>
          <w:tcPr>
            <w:tcW w:w="1830" w:type="dxa"/>
            <w:vAlign w:val="center"/>
          </w:tcPr>
          <w:p w14:paraId="2647FE84">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4C31C66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497ECB74">
            <w:pPr>
              <w:tabs>
                <w:tab w:val="left" w:pos="1134"/>
              </w:tabs>
              <w:jc w:val="center"/>
              <w:rPr>
                <w:rFonts w:hint="default" w:ascii="黑体" w:hAnsi="黑体" w:eastAsia="黑体"/>
                <w:sz w:val="32"/>
                <w:szCs w:val="32"/>
                <w:vertAlign w:val="baseline"/>
                <w:lang w:val="en-US" w:eastAsia="zh-CN"/>
              </w:rPr>
            </w:pPr>
          </w:p>
        </w:tc>
      </w:tr>
      <w:tr w14:paraId="3DD4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0446970">
            <w:pPr>
              <w:tabs>
                <w:tab w:val="left" w:pos="1134"/>
              </w:tabs>
              <w:jc w:val="center"/>
              <w:rPr>
                <w:rFonts w:hint="default" w:ascii="宋体" w:hAnsi="宋体"/>
                <w:sz w:val="24"/>
                <w:lang w:val="en-US" w:eastAsia="zh-CN"/>
              </w:rPr>
            </w:pPr>
            <w:r>
              <w:rPr>
                <w:rFonts w:hint="eastAsia" w:ascii="宋体" w:hAnsi="宋体"/>
                <w:sz w:val="24"/>
                <w:lang w:val="en-US" w:eastAsia="zh-CN"/>
              </w:rPr>
              <w:t>弱电线</w:t>
            </w:r>
          </w:p>
        </w:tc>
        <w:tc>
          <w:tcPr>
            <w:tcW w:w="1830" w:type="dxa"/>
            <w:vAlign w:val="center"/>
          </w:tcPr>
          <w:p w14:paraId="5EFA63FE">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F24B2E9">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D8E2DB1">
            <w:pPr>
              <w:tabs>
                <w:tab w:val="left" w:pos="1134"/>
              </w:tabs>
              <w:jc w:val="center"/>
              <w:rPr>
                <w:rFonts w:hint="default" w:ascii="黑体" w:hAnsi="黑体" w:eastAsia="黑体"/>
                <w:sz w:val="32"/>
                <w:szCs w:val="32"/>
                <w:vertAlign w:val="baseline"/>
                <w:lang w:val="en-US" w:eastAsia="zh-CN"/>
              </w:rPr>
            </w:pPr>
          </w:p>
        </w:tc>
      </w:tr>
      <w:tr w14:paraId="157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B44AD4D">
            <w:pPr>
              <w:tabs>
                <w:tab w:val="left" w:pos="1134"/>
              </w:tabs>
              <w:jc w:val="center"/>
              <w:rPr>
                <w:rFonts w:hint="eastAsia" w:ascii="宋体" w:hAnsi="宋体"/>
                <w:sz w:val="24"/>
                <w:lang w:val="en-US" w:eastAsia="zh-CN"/>
              </w:rPr>
            </w:pPr>
            <w:r>
              <w:rPr>
                <w:rFonts w:hint="eastAsia" w:ascii="宋体" w:hAnsi="宋体"/>
                <w:sz w:val="24"/>
                <w:lang w:val="en-US" w:eastAsia="zh-CN"/>
              </w:rPr>
              <w:t>不锈钢</w:t>
            </w:r>
          </w:p>
        </w:tc>
        <w:tc>
          <w:tcPr>
            <w:tcW w:w="1830" w:type="dxa"/>
            <w:vAlign w:val="center"/>
          </w:tcPr>
          <w:p w14:paraId="3B6B71A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12C84D6D">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4052001">
            <w:pPr>
              <w:tabs>
                <w:tab w:val="left" w:pos="1134"/>
              </w:tabs>
              <w:jc w:val="center"/>
              <w:rPr>
                <w:rFonts w:hint="default" w:ascii="黑体" w:hAnsi="黑体" w:eastAsia="黑体"/>
                <w:sz w:val="32"/>
                <w:szCs w:val="32"/>
                <w:vertAlign w:val="baseline"/>
                <w:lang w:val="en-US" w:eastAsia="zh-CN"/>
              </w:rPr>
            </w:pPr>
          </w:p>
        </w:tc>
      </w:tr>
      <w:tr w14:paraId="414B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28747CF">
            <w:pPr>
              <w:tabs>
                <w:tab w:val="left" w:pos="1134"/>
              </w:tabs>
              <w:jc w:val="center"/>
              <w:rPr>
                <w:rFonts w:hint="eastAsia" w:ascii="宋体" w:hAnsi="宋体"/>
                <w:sz w:val="24"/>
                <w:lang w:val="en-US" w:eastAsia="zh-CN"/>
              </w:rPr>
            </w:pPr>
            <w:r>
              <w:rPr>
                <w:rFonts w:hint="eastAsia" w:ascii="宋体" w:hAnsi="宋体"/>
                <w:sz w:val="24"/>
                <w:lang w:val="en-US" w:eastAsia="zh-CN"/>
              </w:rPr>
              <w:t>钢化玻璃</w:t>
            </w:r>
          </w:p>
        </w:tc>
        <w:tc>
          <w:tcPr>
            <w:tcW w:w="1830" w:type="dxa"/>
            <w:vAlign w:val="center"/>
          </w:tcPr>
          <w:p w14:paraId="60A6F42B">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42BEA767">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14123B">
            <w:pPr>
              <w:tabs>
                <w:tab w:val="left" w:pos="1134"/>
              </w:tabs>
              <w:jc w:val="center"/>
              <w:rPr>
                <w:rFonts w:hint="default" w:ascii="黑体" w:hAnsi="黑体" w:eastAsia="黑体"/>
                <w:sz w:val="32"/>
                <w:szCs w:val="32"/>
                <w:vertAlign w:val="baseline"/>
                <w:lang w:val="en-US" w:eastAsia="zh-CN"/>
              </w:rPr>
            </w:pPr>
          </w:p>
        </w:tc>
      </w:tr>
      <w:tr w14:paraId="4964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7252BAA">
            <w:pPr>
              <w:tabs>
                <w:tab w:val="left" w:pos="1134"/>
              </w:tabs>
              <w:jc w:val="center"/>
              <w:rPr>
                <w:rFonts w:hint="eastAsia" w:ascii="宋体" w:hAnsi="宋体"/>
                <w:sz w:val="24"/>
                <w:lang w:val="en-US" w:eastAsia="zh-CN"/>
              </w:rPr>
            </w:pPr>
            <w:r>
              <w:rPr>
                <w:rFonts w:hint="eastAsia" w:ascii="宋体" w:hAnsi="宋体"/>
                <w:sz w:val="24"/>
                <w:lang w:val="en-US" w:eastAsia="zh-CN"/>
              </w:rPr>
              <w:t>硅钙板</w:t>
            </w:r>
          </w:p>
        </w:tc>
        <w:tc>
          <w:tcPr>
            <w:tcW w:w="1830" w:type="dxa"/>
            <w:vAlign w:val="center"/>
          </w:tcPr>
          <w:p w14:paraId="76E65E5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08D1AF2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8213AFF">
            <w:pPr>
              <w:tabs>
                <w:tab w:val="left" w:pos="1134"/>
              </w:tabs>
              <w:jc w:val="center"/>
              <w:rPr>
                <w:rFonts w:hint="default" w:ascii="黑体" w:hAnsi="黑体" w:eastAsia="黑体"/>
                <w:sz w:val="32"/>
                <w:szCs w:val="32"/>
                <w:vertAlign w:val="baseline"/>
                <w:lang w:val="en-US" w:eastAsia="zh-CN"/>
              </w:rPr>
            </w:pPr>
          </w:p>
        </w:tc>
      </w:tr>
      <w:tr w14:paraId="0277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1AAB740">
            <w:pPr>
              <w:tabs>
                <w:tab w:val="left" w:pos="1134"/>
              </w:tabs>
              <w:jc w:val="center"/>
              <w:rPr>
                <w:rFonts w:hint="default" w:ascii="宋体" w:hAnsi="宋体"/>
                <w:sz w:val="24"/>
                <w:lang w:val="en-US" w:eastAsia="zh-CN"/>
              </w:rPr>
            </w:pPr>
            <w:r>
              <w:rPr>
                <w:rFonts w:hint="eastAsia" w:ascii="宋体" w:hAnsi="宋体"/>
                <w:sz w:val="24"/>
                <w:lang w:val="en-US" w:eastAsia="zh-CN"/>
              </w:rPr>
              <w:t>PVC地胶</w:t>
            </w:r>
          </w:p>
        </w:tc>
        <w:tc>
          <w:tcPr>
            <w:tcW w:w="1830" w:type="dxa"/>
            <w:vAlign w:val="center"/>
          </w:tcPr>
          <w:p w14:paraId="0F0BC56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8A180D9">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3E1E64A7">
            <w:pPr>
              <w:tabs>
                <w:tab w:val="left" w:pos="1134"/>
              </w:tabs>
              <w:jc w:val="center"/>
              <w:rPr>
                <w:rFonts w:hint="default" w:ascii="黑体" w:hAnsi="黑体" w:eastAsia="黑体"/>
                <w:sz w:val="32"/>
                <w:szCs w:val="32"/>
                <w:vertAlign w:val="baseline"/>
                <w:lang w:val="en-US" w:eastAsia="zh-CN"/>
              </w:rPr>
            </w:pPr>
          </w:p>
        </w:tc>
      </w:tr>
    </w:tbl>
    <w:p w14:paraId="1050F8DD">
      <w:pPr>
        <w:outlineLvl w:val="0"/>
        <w:rPr>
          <w:rFonts w:hint="eastAsia" w:ascii="宋体" w:hAnsi="宋体" w:eastAsia="宋体" w:cs="宋体"/>
          <w:b/>
          <w:color w:val="000000" w:themeColor="text1"/>
          <w:shd w:val="clear" w:color="auto" w:fill="auto"/>
          <w14:textFill>
            <w14:solidFill>
              <w14:schemeClr w14:val="tx1"/>
            </w14:solidFill>
          </w14:textFill>
        </w:rPr>
      </w:pPr>
    </w:p>
    <w:p w14:paraId="4A035ADE">
      <w:pPr>
        <w:outlineLvl w:val="0"/>
        <w:rPr>
          <w:rFonts w:hint="eastAsia" w:ascii="宋体" w:hAnsi="宋体" w:eastAsia="宋体" w:cs="宋体"/>
          <w:b/>
          <w:color w:val="000000" w:themeColor="text1"/>
          <w:shd w:val="clear" w:color="auto" w:fill="auto"/>
          <w14:textFill>
            <w14:solidFill>
              <w14:schemeClr w14:val="tx1"/>
            </w14:solidFill>
          </w14:textFill>
        </w:rPr>
      </w:pPr>
    </w:p>
    <w:p w14:paraId="7411208A">
      <w:pPr>
        <w:outlineLvl w:val="0"/>
        <w:rPr>
          <w:rFonts w:hint="eastAsia" w:ascii="宋体" w:hAnsi="宋体" w:eastAsia="宋体" w:cs="宋体"/>
          <w:b/>
          <w:color w:val="000000" w:themeColor="text1"/>
          <w:shd w:val="clear" w:color="auto" w:fill="auto"/>
          <w14:textFill>
            <w14:solidFill>
              <w14:schemeClr w14:val="tx1"/>
            </w14:solidFill>
          </w14:textFill>
        </w:rPr>
      </w:pPr>
    </w:p>
    <w:p w14:paraId="0D291D18">
      <w:pPr>
        <w:outlineLvl w:val="0"/>
        <w:rPr>
          <w:rFonts w:hint="eastAsia" w:ascii="宋体" w:hAnsi="宋体" w:eastAsia="宋体" w:cs="宋体"/>
          <w:b/>
          <w:color w:val="000000" w:themeColor="text1"/>
          <w:shd w:val="clear" w:color="auto" w:fill="auto"/>
          <w14:textFill>
            <w14:solidFill>
              <w14:schemeClr w14:val="tx1"/>
            </w14:solidFill>
          </w14:textFill>
        </w:rPr>
      </w:pPr>
    </w:p>
    <w:p w14:paraId="377D5317">
      <w:pPr>
        <w:outlineLvl w:val="0"/>
        <w:rPr>
          <w:rFonts w:hint="eastAsia" w:ascii="宋体" w:hAnsi="宋体" w:eastAsia="宋体" w:cs="宋体"/>
          <w:b/>
          <w:color w:val="000000" w:themeColor="text1"/>
          <w:shd w:val="clear" w:color="auto" w:fill="auto"/>
          <w14:textFill>
            <w14:solidFill>
              <w14:schemeClr w14:val="tx1"/>
            </w14:solidFill>
          </w14:textFill>
        </w:rPr>
      </w:pPr>
    </w:p>
    <w:p w14:paraId="5FB52867">
      <w:pPr>
        <w:outlineLvl w:val="0"/>
        <w:rPr>
          <w:rFonts w:hint="eastAsia" w:ascii="宋体" w:hAnsi="宋体" w:eastAsia="宋体" w:cs="宋体"/>
          <w:b/>
          <w:color w:val="000000" w:themeColor="text1"/>
          <w:shd w:val="clear" w:color="auto" w:fill="auto"/>
          <w14:textFill>
            <w14:solidFill>
              <w14:schemeClr w14:val="tx1"/>
            </w14:solidFill>
          </w14:textFill>
        </w:rPr>
      </w:pPr>
    </w:p>
    <w:p w14:paraId="37668CD5">
      <w:pPr>
        <w:outlineLvl w:val="0"/>
        <w:rPr>
          <w:rFonts w:hint="eastAsia" w:ascii="宋体" w:hAnsi="宋体" w:eastAsia="宋体" w:cs="宋体"/>
          <w:b/>
          <w:color w:val="000000" w:themeColor="text1"/>
          <w:shd w:val="clear" w:color="auto" w:fill="auto"/>
          <w14:textFill>
            <w14:solidFill>
              <w14:schemeClr w14:val="tx1"/>
            </w14:solidFill>
          </w14:textFill>
        </w:rPr>
      </w:pPr>
    </w:p>
    <w:p w14:paraId="338729D9">
      <w:pPr>
        <w:outlineLvl w:val="0"/>
        <w:rPr>
          <w:rFonts w:hint="eastAsia" w:ascii="宋体" w:hAnsi="宋体" w:eastAsia="宋体" w:cs="宋体"/>
          <w:b/>
          <w:color w:val="000000" w:themeColor="text1"/>
          <w:shd w:val="clear" w:color="auto" w:fill="auto"/>
          <w14:textFill>
            <w14:solidFill>
              <w14:schemeClr w14:val="tx1"/>
            </w14:solidFill>
          </w14:textFill>
        </w:rPr>
      </w:pPr>
    </w:p>
    <w:p w14:paraId="341442B6">
      <w:pPr>
        <w:outlineLvl w:val="0"/>
        <w:rPr>
          <w:rFonts w:hint="eastAsia" w:ascii="宋体" w:hAnsi="宋体" w:eastAsia="宋体" w:cs="宋体"/>
          <w:b/>
          <w:color w:val="000000" w:themeColor="text1"/>
          <w:shd w:val="clear" w:color="auto" w:fill="auto"/>
          <w14:textFill>
            <w14:solidFill>
              <w14:schemeClr w14:val="tx1"/>
            </w14:solidFill>
          </w14:textFill>
        </w:rPr>
      </w:pPr>
    </w:p>
    <w:p w14:paraId="2BF1FA0C">
      <w:pPr>
        <w:outlineLvl w:val="0"/>
        <w:rPr>
          <w:rFonts w:hint="eastAsia" w:ascii="宋体" w:hAnsi="宋体" w:eastAsia="宋体" w:cs="宋体"/>
          <w:b/>
          <w:color w:val="000000" w:themeColor="text1"/>
          <w:shd w:val="clear" w:color="auto" w:fill="auto"/>
          <w14:textFill>
            <w14:solidFill>
              <w14:schemeClr w14:val="tx1"/>
            </w14:solidFill>
          </w14:textFill>
        </w:rPr>
      </w:pPr>
    </w:p>
    <w:p w14:paraId="718B0735">
      <w:pPr>
        <w:outlineLvl w:val="0"/>
        <w:rPr>
          <w:rFonts w:hint="eastAsia" w:ascii="宋体" w:hAnsi="宋体" w:eastAsia="宋体" w:cs="宋体"/>
          <w:b/>
          <w:color w:val="000000" w:themeColor="text1"/>
          <w:shd w:val="clear" w:color="auto" w:fill="auto"/>
          <w14:textFill>
            <w14:solidFill>
              <w14:schemeClr w14:val="tx1"/>
            </w14:solidFill>
          </w14:textFill>
        </w:rPr>
      </w:pPr>
    </w:p>
    <w:p w14:paraId="0F7F1E2E">
      <w:pPr>
        <w:outlineLvl w:val="0"/>
        <w:rPr>
          <w:rFonts w:hint="eastAsia" w:ascii="宋体" w:hAnsi="宋体" w:eastAsia="宋体" w:cs="宋体"/>
          <w:b/>
          <w:color w:val="000000" w:themeColor="text1"/>
          <w:shd w:val="clear" w:color="auto" w:fill="auto"/>
          <w14:textFill>
            <w14:solidFill>
              <w14:schemeClr w14:val="tx1"/>
            </w14:solidFill>
          </w14:textFill>
        </w:rPr>
      </w:pPr>
    </w:p>
    <w:p w14:paraId="6D797591">
      <w:pPr>
        <w:outlineLvl w:val="0"/>
        <w:rPr>
          <w:rFonts w:hint="eastAsia" w:ascii="宋体" w:hAnsi="宋体" w:eastAsia="宋体" w:cs="宋体"/>
          <w:b/>
          <w:color w:val="000000" w:themeColor="text1"/>
          <w:shd w:val="clear" w:color="auto" w:fill="auto"/>
          <w14:textFill>
            <w14:solidFill>
              <w14:schemeClr w14:val="tx1"/>
            </w14:solidFill>
          </w14:textFill>
        </w:rPr>
      </w:pPr>
    </w:p>
    <w:p w14:paraId="65D453D8">
      <w:pPr>
        <w:outlineLvl w:val="0"/>
        <w:rPr>
          <w:rFonts w:hint="eastAsia" w:ascii="宋体" w:hAnsi="宋体" w:eastAsia="宋体" w:cs="宋体"/>
          <w:b/>
          <w:color w:val="000000" w:themeColor="text1"/>
          <w:shd w:val="clear" w:color="auto" w:fill="auto"/>
          <w14:textFill>
            <w14:solidFill>
              <w14:schemeClr w14:val="tx1"/>
            </w14:solidFill>
          </w14:textFill>
        </w:rPr>
      </w:pPr>
    </w:p>
    <w:p w14:paraId="0514A7DC">
      <w:pPr>
        <w:outlineLvl w:val="0"/>
        <w:rPr>
          <w:rFonts w:hint="eastAsia" w:ascii="宋体" w:hAnsi="宋体" w:eastAsia="宋体" w:cs="宋体"/>
          <w:b/>
          <w:color w:val="000000" w:themeColor="text1"/>
          <w:shd w:val="clear" w:color="auto" w:fill="auto"/>
          <w14:textFill>
            <w14:solidFill>
              <w14:schemeClr w14:val="tx1"/>
            </w14:solidFill>
          </w14:textFill>
        </w:rPr>
      </w:pPr>
    </w:p>
    <w:p w14:paraId="3F0C3568">
      <w:pPr>
        <w:outlineLvl w:val="0"/>
        <w:rPr>
          <w:rFonts w:hint="eastAsia" w:ascii="宋体" w:hAnsi="宋体" w:eastAsia="宋体" w:cs="宋体"/>
          <w:b/>
          <w:color w:val="000000" w:themeColor="text1"/>
          <w:shd w:val="clear" w:color="auto" w:fill="auto"/>
          <w14:textFill>
            <w14:solidFill>
              <w14:schemeClr w14:val="tx1"/>
            </w14:solidFill>
          </w14:textFill>
        </w:rPr>
      </w:pPr>
    </w:p>
    <w:p w14:paraId="4A19EED5">
      <w:pPr>
        <w:outlineLvl w:val="0"/>
        <w:rPr>
          <w:rFonts w:hint="eastAsia" w:ascii="宋体" w:hAnsi="宋体" w:eastAsia="宋体" w:cs="宋体"/>
          <w:b/>
          <w:color w:val="000000" w:themeColor="text1"/>
          <w:shd w:val="clear" w:color="auto" w:fill="auto"/>
          <w14:textFill>
            <w14:solidFill>
              <w14:schemeClr w14:val="tx1"/>
            </w14:solidFill>
          </w14:textFill>
        </w:rPr>
      </w:pPr>
    </w:p>
    <w:p w14:paraId="294A08B0">
      <w:pPr>
        <w:outlineLvl w:val="0"/>
        <w:rPr>
          <w:rFonts w:hint="eastAsia" w:ascii="宋体" w:hAnsi="宋体" w:eastAsia="宋体" w:cs="宋体"/>
          <w:b/>
          <w:color w:val="000000" w:themeColor="text1"/>
          <w:shd w:val="clear" w:color="auto" w:fill="auto"/>
          <w14:textFill>
            <w14:solidFill>
              <w14:schemeClr w14:val="tx1"/>
            </w14:solidFill>
          </w14:textFill>
        </w:rPr>
      </w:pPr>
    </w:p>
    <w:p w14:paraId="4D500164">
      <w:pPr>
        <w:outlineLvl w:val="0"/>
        <w:rPr>
          <w:rFonts w:hint="eastAsia" w:ascii="宋体" w:hAnsi="宋体" w:eastAsia="宋体" w:cs="宋体"/>
          <w:b/>
          <w:color w:val="000000" w:themeColor="text1"/>
          <w:shd w:val="clear" w:color="auto" w:fill="auto"/>
          <w14:textFill>
            <w14:solidFill>
              <w14:schemeClr w14:val="tx1"/>
            </w14:solidFill>
          </w14:textFill>
        </w:rPr>
      </w:pPr>
    </w:p>
    <w:p w14:paraId="498366D5">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7872CF23">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ADB801">
      <w:pPr>
        <w:outlineLvl w:val="0"/>
        <w:rPr>
          <w:rFonts w:hint="eastAsia" w:ascii="宋体" w:hAnsi="宋体" w:eastAsia="宋体" w:cs="宋体"/>
          <w:b/>
          <w:color w:val="000000" w:themeColor="text1"/>
          <w:shd w:val="clear" w:color="auto" w:fill="auto"/>
          <w14:textFill>
            <w14:solidFill>
              <w14:schemeClr w14:val="tx1"/>
            </w14:solidFill>
          </w14:textFill>
        </w:rPr>
      </w:pPr>
    </w:p>
    <w:p w14:paraId="079622FD">
      <w:pPr>
        <w:outlineLvl w:val="0"/>
        <w:rPr>
          <w:rFonts w:hint="eastAsia" w:ascii="宋体" w:hAnsi="宋体" w:eastAsia="宋体" w:cs="宋体"/>
          <w:b/>
          <w:color w:val="000000" w:themeColor="text1"/>
          <w:shd w:val="clear" w:color="auto" w:fill="auto"/>
          <w14:textFill>
            <w14:solidFill>
              <w14:schemeClr w14:val="tx1"/>
            </w14:solidFill>
          </w14:textFill>
        </w:rPr>
      </w:pPr>
    </w:p>
    <w:p w14:paraId="41FBED1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2D4B31-E977-45CA-87D6-96C67535009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3314AC8E-A945-41F1-BFB4-E2BD81EBF363}"/>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1FBD4375-6FD8-4130-86F3-47374614D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11095</Words>
  <Characters>11320</Characters>
  <Lines>182</Lines>
  <Paragraphs>51</Paragraphs>
  <TotalTime>0</TotalTime>
  <ScaleCrop>false</ScaleCrop>
  <LinksUpToDate>false</LinksUpToDate>
  <CharactersWithSpaces>11563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2025-09-03T23:57:35Z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