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2025FW111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二号楼中央空调6楼EPS应急电源维修配件采购</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九月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6921"/>
      <w:bookmarkStart w:id="2" w:name="_Toc25875"/>
      <w:bookmarkStart w:id="3" w:name="_Toc11641050"/>
      <w:bookmarkStart w:id="4" w:name="_Toc12789052"/>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二号楼中央空调6楼EPS应急电源维修配件采购</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3893526"/>
      <w:bookmarkStart w:id="11"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二号楼中央空调6楼EPS应急电源维修配件采购</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质保日期：自验收合格日起一年以上</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：医院自筹,预算金额：19500元。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1.报价为包干价，包含货物费、服务费、人工费、车费、住宿费、餐饮费、材料费、保险费、代理费、税金费用等的费用，均由成交供应商承担。(报价表见第六章)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9"/>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403569780"/>
      <w:bookmarkStart w:id="43" w:name="_Toc19143"/>
      <w:bookmarkStart w:id="44" w:name="_Toc102227319"/>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4B9A636E">
      <w:pPr>
        <w:keepNext w:val="0"/>
        <w:keepLines w:val="0"/>
        <w:pageBreakBefore w:val="0"/>
        <w:widowControl w:val="0"/>
        <w:kinsoku/>
        <w:wordWrap/>
        <w:overflowPunct/>
        <w:topLinePunct w:val="0"/>
        <w:autoSpaceDE/>
        <w:autoSpaceDN/>
        <w:bidi w:val="0"/>
        <w:adjustRightInd w:val="0"/>
        <w:snapToGrid w:val="0"/>
        <w:spacing w:line="570" w:lineRule="exact"/>
        <w:ind w:firstLine="480" w:firstLineChars="200"/>
        <w:textAlignment w:val="auto"/>
        <w:rPr>
          <w:rFonts w:hint="eastAsia" w:ascii="仿宋" w:hAnsi="仿宋" w:eastAsia="仿宋" w:cs="仿宋"/>
          <w:sz w:val="32"/>
          <w:szCs w:val="32"/>
          <w:lang w:val="en-US" w:eastAsia="zh-CN"/>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仿宋" w:hAnsi="仿宋" w:eastAsia="仿宋" w:cs="仿宋"/>
          <w:sz w:val="32"/>
          <w:szCs w:val="32"/>
          <w:lang w:eastAsia="zh-CN"/>
        </w:rPr>
        <w:t>本</w:t>
      </w:r>
      <w:r>
        <w:rPr>
          <w:rFonts w:hint="eastAsia" w:ascii="仿宋" w:hAnsi="仿宋" w:eastAsia="仿宋" w:cs="仿宋"/>
          <w:sz w:val="32"/>
          <w:szCs w:val="32"/>
          <w:lang w:val="en-US" w:eastAsia="zh-CN"/>
        </w:rPr>
        <w:t xml:space="preserve">次采购的配件（设备）将用于萱花院区二号楼6楼的EPS应急电源（型号：HSYJ-90K33/0030M）维修，具体参数如下： </w:t>
      </w:r>
    </w:p>
    <w:tbl>
      <w:tblPr>
        <w:tblStyle w:val="60"/>
        <w:tblW w:w="88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4"/>
        <w:gridCol w:w="1137"/>
        <w:gridCol w:w="3960"/>
        <w:gridCol w:w="567"/>
        <w:gridCol w:w="567"/>
        <w:gridCol w:w="1020"/>
      </w:tblGrid>
      <w:tr w14:paraId="15A4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7" w:type="dxa"/>
            <w:vAlign w:val="center"/>
          </w:tcPr>
          <w:p w14:paraId="6FA61462">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序号</w:t>
            </w:r>
          </w:p>
        </w:tc>
        <w:tc>
          <w:tcPr>
            <w:tcW w:w="994" w:type="dxa"/>
            <w:vAlign w:val="center"/>
          </w:tcPr>
          <w:p w14:paraId="7F793D89">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设备</w:t>
            </w:r>
          </w:p>
          <w:p w14:paraId="7EE153A5">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名称</w:t>
            </w:r>
          </w:p>
        </w:tc>
        <w:tc>
          <w:tcPr>
            <w:tcW w:w="1137" w:type="dxa"/>
            <w:vAlign w:val="center"/>
          </w:tcPr>
          <w:p w14:paraId="3172C83A">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原型号</w:t>
            </w:r>
          </w:p>
        </w:tc>
        <w:tc>
          <w:tcPr>
            <w:tcW w:w="3960" w:type="dxa"/>
            <w:vAlign w:val="center"/>
          </w:tcPr>
          <w:p w14:paraId="0E2A6138">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规格</w:t>
            </w:r>
          </w:p>
        </w:tc>
        <w:tc>
          <w:tcPr>
            <w:tcW w:w="567" w:type="dxa"/>
            <w:vAlign w:val="center"/>
          </w:tcPr>
          <w:p w14:paraId="4DD3DF2F">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数量</w:t>
            </w:r>
          </w:p>
        </w:tc>
        <w:tc>
          <w:tcPr>
            <w:tcW w:w="567" w:type="dxa"/>
            <w:vAlign w:val="center"/>
          </w:tcPr>
          <w:p w14:paraId="6B53140B">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单位</w:t>
            </w:r>
          </w:p>
        </w:tc>
        <w:tc>
          <w:tcPr>
            <w:tcW w:w="1020" w:type="dxa"/>
            <w:vAlign w:val="center"/>
          </w:tcPr>
          <w:p w14:paraId="6707D6A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备注</w:t>
            </w:r>
          </w:p>
        </w:tc>
      </w:tr>
      <w:tr w14:paraId="2B9D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67" w:type="dxa"/>
            <w:vAlign w:val="center"/>
          </w:tcPr>
          <w:p w14:paraId="4311DBB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1</w:t>
            </w:r>
          </w:p>
        </w:tc>
        <w:tc>
          <w:tcPr>
            <w:tcW w:w="994" w:type="dxa"/>
            <w:vAlign w:val="center"/>
          </w:tcPr>
          <w:p w14:paraId="77FD251E">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充电</w:t>
            </w:r>
          </w:p>
          <w:p w14:paraId="2BB98BF7">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模块</w:t>
            </w:r>
          </w:p>
        </w:tc>
        <w:tc>
          <w:tcPr>
            <w:tcW w:w="1137" w:type="dxa"/>
            <w:vAlign w:val="center"/>
          </w:tcPr>
          <w:p w14:paraId="01C82A1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600X03ZZ</w:t>
            </w:r>
          </w:p>
        </w:tc>
        <w:tc>
          <w:tcPr>
            <w:tcW w:w="3960" w:type="dxa"/>
            <w:vAlign w:val="center"/>
          </w:tcPr>
          <w:p w14:paraId="5953444C">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额定输入电压：AC380V±5%；</w:t>
            </w:r>
          </w:p>
          <w:p w14:paraId="633BA0D7">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输出电压范围:DC450V~600V；</w:t>
            </w:r>
          </w:p>
          <w:p w14:paraId="6E58F2E1">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输出电流范围：0.3A~3A；</w:t>
            </w:r>
          </w:p>
          <w:p w14:paraId="2BE6274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冷却方式：自然冷却；</w:t>
            </w:r>
          </w:p>
          <w:p w14:paraId="703F788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充电机效率：≥95%</w:t>
            </w:r>
          </w:p>
          <w:p w14:paraId="5C949E1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具备自动限流保护，输出过压保护，输出短路保护等功能</w:t>
            </w:r>
          </w:p>
        </w:tc>
        <w:tc>
          <w:tcPr>
            <w:tcW w:w="567" w:type="dxa"/>
            <w:vAlign w:val="center"/>
          </w:tcPr>
          <w:p w14:paraId="19D64F60">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4</w:t>
            </w:r>
          </w:p>
        </w:tc>
        <w:tc>
          <w:tcPr>
            <w:tcW w:w="567" w:type="dxa"/>
            <w:vAlign w:val="center"/>
          </w:tcPr>
          <w:p w14:paraId="3FE10AB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台</w:t>
            </w:r>
          </w:p>
        </w:tc>
        <w:tc>
          <w:tcPr>
            <w:tcW w:w="1020" w:type="dxa"/>
            <w:vAlign w:val="center"/>
          </w:tcPr>
          <w:p w14:paraId="74F55308">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sz w:val="22"/>
                <w:szCs w:val="22"/>
                <w:lang w:val="en-US" w:eastAsia="zh-CN"/>
              </w:rPr>
            </w:pPr>
            <w:r>
              <w:rPr>
                <w:rFonts w:hint="eastAsia" w:ascii="仿宋" w:hAnsi="仿宋" w:eastAsia="仿宋" w:cs="仿宋"/>
                <w:sz w:val="22"/>
                <w:szCs w:val="22"/>
                <w:lang w:val="en-US" w:eastAsia="zh-CN"/>
              </w:rPr>
              <w:t>适配机组，也可提供功能优于原型号产品。</w:t>
            </w:r>
          </w:p>
        </w:tc>
      </w:tr>
    </w:tbl>
    <w:p w14:paraId="52B9D71B">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bookmarkStart w:id="74" w:name="OLE_LINK17"/>
      <w:bookmarkStart w:id="75" w:name="OLE_LINK18"/>
      <w:r>
        <w:rPr>
          <w:rFonts w:hint="eastAsia" w:ascii="宋体" w:hAnsi="宋体" w:eastAsia="宋体" w:cs="宋体"/>
          <w:color w:val="FF0000"/>
          <w:sz w:val="24"/>
          <w:szCs w:val="24"/>
          <w:shd w:val="clear" w:color="auto" w:fill="auto"/>
          <w:lang w:val="en-US" w:eastAsia="zh-CN"/>
        </w:rPr>
        <w:t>2、</w:t>
      </w:r>
      <w:bookmarkEnd w:id="74"/>
      <w:bookmarkEnd w:id="75"/>
      <w:r>
        <w:rPr>
          <w:rFonts w:hint="eastAsia" w:ascii="宋体" w:hAnsi="宋体" w:eastAsia="宋体" w:cs="宋体"/>
          <w:color w:val="FF0000"/>
          <w:sz w:val="24"/>
          <w:szCs w:val="24"/>
          <w:shd w:val="clear" w:color="auto" w:fill="auto"/>
          <w:lang w:val="en-US" w:eastAsia="zh-CN"/>
        </w:rPr>
        <w:t>参选供应商提供的产品必须是原厂合格产品，提供合格证明。</w:t>
      </w:r>
    </w:p>
    <w:p w14:paraId="3DD2763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 xml:space="preserve">3、成交供应商有义务监督维保单位完成配件与材料的更换，也可承诺自行进行更换。需确保材料和配件质量合格且安装正确，所提供的配件必须保证质量合格，若因产品质量问题致使机组在使用过程中出现故障并造成损失，经鉴定后将追偿损失。 </w:t>
      </w:r>
    </w:p>
    <w:p w14:paraId="57EE05D4">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4、成交供应商若需更换设备，须在甲方管理部门的指导下完成维修工作，以降低对使用部门正常运作的影响。</w:t>
      </w:r>
    </w:p>
    <w:p w14:paraId="17EA6B9F">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成交供应商需将替换下来的废料运送至指定地点，同时确保现场恢复清洁。对于具体的现场施工环境、更换范围以及涉及的设备，必须进行现场勘查，相关联系电话为：85371292。不到现场勘察的投标人，一旦中标，不得以不完全了解施工现场情况为借口而提出额外赔偿或延长工期的要求，造成一切损失由投标人承担。</w:t>
      </w:r>
    </w:p>
    <w:p w14:paraId="01FE8E1F">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6" w:name="_Toc17014"/>
      <w:bookmarkStart w:id="77"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6"/>
      <w:bookmarkEnd w:id="77"/>
      <w:bookmarkStart w:id="78" w:name="_Toc11641055"/>
      <w:bookmarkStart w:id="79"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80" w:name="_Toc11645"/>
      <w:bookmarkStart w:id="81" w:name="_Toc7358"/>
      <w:bookmarkStart w:id="82" w:name="_Toc485108793"/>
      <w:bookmarkStart w:id="83"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FC8BA3B">
      <w:pPr>
        <w:snapToGrid w:val="0"/>
        <w:spacing w:line="400" w:lineRule="exact"/>
        <w:ind w:firstLine="480" w:firstLineChars="200"/>
        <w:jc w:val="left"/>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1、在履行合同义务期间，若成交供应商给甲方造成任何损失，均由响应单位承担。包括但不限于因操作失误导致的设备损坏，或造成人员伤亡及其他财产损失。</w:t>
      </w:r>
    </w:p>
    <w:p w14:paraId="41ECA619">
      <w:pPr>
        <w:snapToGrid w:val="0"/>
        <w:spacing w:line="400" w:lineRule="exact"/>
        <w:ind w:firstLine="480" w:firstLineChars="200"/>
        <w:jc w:val="left"/>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2、配件及材料到货期限：自合同签订日起，5日内提供全部合格且符合要求的产品。</w:t>
      </w:r>
    </w:p>
    <w:p w14:paraId="2E047952">
      <w:pPr>
        <w:snapToGrid w:val="0"/>
        <w:spacing w:line="400" w:lineRule="exact"/>
        <w:ind w:firstLine="480" w:firstLineChars="200"/>
        <w:jc w:val="left"/>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3、质保日期：设备运行正常后，进行验收，自验收合格日起一年及以上。</w:t>
      </w:r>
    </w:p>
    <w:p w14:paraId="1FA2B8A7">
      <w:pPr>
        <w:snapToGrid w:val="0"/>
        <w:spacing w:line="400" w:lineRule="exact"/>
        <w:ind w:firstLine="480" w:firstLineChars="200"/>
        <w:jc w:val="left"/>
        <w:rPr>
          <w:rFonts w:hint="default"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 xml:space="preserve">4、付款方式：合同签订后5日内，服务方向采购方转账支付合同金额的8%作为履约保证金。采购方凭验收资料和合法发票后60日内转账支付合同价款，履约保证金在履约期满1年后无息支付。 </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80"/>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1"/>
      <w:bookmarkEnd w:id="82"/>
      <w:bookmarkEnd w:id="83"/>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8"/>
      <w:bookmarkEnd w:id="79"/>
      <w:bookmarkStart w:id="84" w:name="_Toc14840"/>
      <w:bookmarkStart w:id="85" w:name="_Toc403569796"/>
      <w:bookmarkStart w:id="86" w:name="_Toc15711"/>
      <w:bookmarkStart w:id="87" w:name="_Toc485108794"/>
      <w:bookmarkStart w:id="88" w:name="_Toc26989"/>
      <w:bookmarkStart w:id="89" w:name="_Toc303945820"/>
      <w:bookmarkStart w:id="9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4"/>
      <w:bookmarkEnd w:id="85"/>
      <w:bookmarkEnd w:id="86"/>
      <w:bookmarkEnd w:id="87"/>
      <w:bookmarkEnd w:id="88"/>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30815"/>
      <w:bookmarkStart w:id="9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1"/>
      <w:bookmarkEnd w:id="9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7"/>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17879"/>
      <w:bookmarkStart w:id="99"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8"/>
      <w:bookmarkEnd w:id="9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10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54718204"/>
      <w:bookmarkStart w:id="10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1"/>
      <w:bookmarkEnd w:id="10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25177"/>
      <w:bookmarkStart w:id="10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5"/>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4"/>
      <w:bookmarkEnd w:id="10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9"/>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54718206"/>
      <w:bookmarkStart w:id="111"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10"/>
      <w:bookmarkEnd w:id="11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2" w:name="_Toc12985"/>
      <w:bookmarkStart w:id="11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3"/>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54718207"/>
      <w:bookmarkStart w:id="115"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4"/>
      <w:bookmarkEnd w:id="11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8"/>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1"/>
      <w:bookmarkStart w:id="120"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9"/>
      <w:bookmarkEnd w:id="12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3" w:name="_Toc31719"/>
      <w:bookmarkStart w:id="124" w:name="_Toc54718210"/>
      <w:bookmarkStart w:id="125" w:name="_Toc26580"/>
      <w:bookmarkStart w:id="12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3"/>
      <w:bookmarkEnd w:id="12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8"/>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5"/>
      <w:bookmarkEnd w:id="12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9"/>
      <w:bookmarkEnd w:id="13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5"/>
    </w:p>
    <w:bookmarkEnd w:id="89"/>
    <w:bookmarkEnd w:id="90"/>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6" w:name="_Hlt41879464"/>
      <w:bookmarkEnd w:id="136"/>
      <w:bookmarkStart w:id="137" w:name="_Toc12789072"/>
      <w:bookmarkStart w:id="138" w:name="_Toc14085"/>
      <w:bookmarkStart w:id="139" w:name="_Toc485108795"/>
      <w:bookmarkStart w:id="140" w:name="_Toc29521"/>
      <w:bookmarkStart w:id="141"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7"/>
      <w:bookmarkEnd w:id="138"/>
      <w:bookmarkEnd w:id="139"/>
      <w:bookmarkEnd w:id="140"/>
      <w:bookmarkEnd w:id="141"/>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2"/>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3"/>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4"/>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5" w:name="_Toc38358147"/>
      <w:bookmarkStart w:id="146" w:name="OLE_LINK11"/>
      <w:bookmarkStart w:id="147"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5"/>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8"/>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9" w:name="_Toc5685"/>
      <w:bookmarkStart w:id="150" w:name="_Toc19884"/>
      <w:bookmarkStart w:id="151"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9"/>
      <w:bookmarkEnd w:id="150"/>
      <w:bookmarkEnd w:id="151"/>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2"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2"/>
    </w:p>
    <w:bookmarkEnd w:id="146"/>
    <w:bookmarkEnd w:id="147"/>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3" w:name="_Toc342913419"/>
      <w:bookmarkStart w:id="154" w:name="_Toc480979018"/>
      <w:bookmarkStart w:id="155" w:name="_Toc485108796"/>
      <w:bookmarkStart w:id="156" w:name="_Toc313888360"/>
      <w:bookmarkStart w:id="157" w:name="_Toc313008356"/>
      <w:bookmarkStart w:id="158" w:name="_Toc5565"/>
      <w:bookmarkStart w:id="159" w:name="_Toc12789073"/>
      <w:bookmarkStart w:id="160"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3"/>
      <w:bookmarkEnd w:id="154"/>
      <w:bookmarkEnd w:id="155"/>
      <w:bookmarkEnd w:id="156"/>
      <w:bookmarkEnd w:id="157"/>
      <w:bookmarkEnd w:id="158"/>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9"/>
    <w:bookmarkEnd w:id="160"/>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61" w:name="_Toc480979019"/>
      <w:bookmarkStart w:id="162" w:name="_Toc313888361"/>
      <w:bookmarkStart w:id="163" w:name="_Toc342913420"/>
      <w:bookmarkStart w:id="164" w:name="_Toc313008357"/>
      <w:bookmarkStart w:id="165" w:name="_Toc485108797"/>
      <w:r>
        <w:rPr>
          <w:rFonts w:hint="eastAsia"/>
          <w:color w:val="000000" w:themeColor="text1"/>
          <w:sz w:val="32"/>
          <w:szCs w:val="36"/>
          <w14:textFill>
            <w14:solidFill>
              <w14:schemeClr w14:val="tx1"/>
            </w14:solidFill>
          </w14:textFill>
        </w:rPr>
        <w:t>报价表</w:t>
      </w:r>
    </w:p>
    <w:tbl>
      <w:tblPr>
        <w:tblStyle w:val="60"/>
        <w:tblW w:w="10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994"/>
        <w:gridCol w:w="1137"/>
        <w:gridCol w:w="3960"/>
        <w:gridCol w:w="567"/>
        <w:gridCol w:w="567"/>
        <w:gridCol w:w="1020"/>
        <w:gridCol w:w="1020"/>
        <w:gridCol w:w="1020"/>
      </w:tblGrid>
      <w:tr w14:paraId="55DA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7" w:type="dxa"/>
            <w:vAlign w:val="center"/>
          </w:tcPr>
          <w:p w14:paraId="19052A7F">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序号</w:t>
            </w:r>
          </w:p>
        </w:tc>
        <w:tc>
          <w:tcPr>
            <w:tcW w:w="994" w:type="dxa"/>
            <w:vAlign w:val="center"/>
          </w:tcPr>
          <w:p w14:paraId="4FB98322">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设备</w:t>
            </w:r>
          </w:p>
          <w:p w14:paraId="7B69EE8C">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名称</w:t>
            </w:r>
          </w:p>
        </w:tc>
        <w:tc>
          <w:tcPr>
            <w:tcW w:w="1137" w:type="dxa"/>
            <w:vAlign w:val="center"/>
          </w:tcPr>
          <w:p w14:paraId="2903B0CF">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原型号</w:t>
            </w:r>
          </w:p>
        </w:tc>
        <w:tc>
          <w:tcPr>
            <w:tcW w:w="3960" w:type="dxa"/>
            <w:vAlign w:val="center"/>
          </w:tcPr>
          <w:p w14:paraId="5E307895">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规格</w:t>
            </w:r>
          </w:p>
        </w:tc>
        <w:tc>
          <w:tcPr>
            <w:tcW w:w="567" w:type="dxa"/>
            <w:vAlign w:val="center"/>
          </w:tcPr>
          <w:p w14:paraId="3819D594">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数量</w:t>
            </w:r>
          </w:p>
        </w:tc>
        <w:tc>
          <w:tcPr>
            <w:tcW w:w="567" w:type="dxa"/>
            <w:vAlign w:val="center"/>
          </w:tcPr>
          <w:p w14:paraId="52170ED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单位</w:t>
            </w:r>
          </w:p>
        </w:tc>
        <w:tc>
          <w:tcPr>
            <w:tcW w:w="1020" w:type="dxa"/>
            <w:vAlign w:val="center"/>
          </w:tcPr>
          <w:p w14:paraId="4952B5AB">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品牌</w:t>
            </w:r>
          </w:p>
        </w:tc>
        <w:tc>
          <w:tcPr>
            <w:tcW w:w="1020" w:type="dxa"/>
            <w:vAlign w:val="center"/>
          </w:tcPr>
          <w:p w14:paraId="7224B1B9">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单价（元）</w:t>
            </w:r>
          </w:p>
        </w:tc>
        <w:tc>
          <w:tcPr>
            <w:tcW w:w="1020" w:type="dxa"/>
            <w:vAlign w:val="center"/>
          </w:tcPr>
          <w:p w14:paraId="0C1ED421">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备注</w:t>
            </w:r>
          </w:p>
        </w:tc>
      </w:tr>
      <w:tr w14:paraId="5CCF0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67" w:type="dxa"/>
            <w:vAlign w:val="center"/>
          </w:tcPr>
          <w:p w14:paraId="4489449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1</w:t>
            </w:r>
          </w:p>
        </w:tc>
        <w:tc>
          <w:tcPr>
            <w:tcW w:w="994" w:type="dxa"/>
            <w:vAlign w:val="center"/>
          </w:tcPr>
          <w:p w14:paraId="19A7FD38">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充电</w:t>
            </w:r>
          </w:p>
          <w:p w14:paraId="649D6F71">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模块</w:t>
            </w:r>
          </w:p>
        </w:tc>
        <w:tc>
          <w:tcPr>
            <w:tcW w:w="1137" w:type="dxa"/>
            <w:vAlign w:val="center"/>
          </w:tcPr>
          <w:p w14:paraId="1ECB7A6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600X03ZZ</w:t>
            </w:r>
          </w:p>
        </w:tc>
        <w:tc>
          <w:tcPr>
            <w:tcW w:w="3960" w:type="dxa"/>
            <w:vAlign w:val="center"/>
          </w:tcPr>
          <w:p w14:paraId="0CF24B18">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额定输入电压：AC380V±5%；</w:t>
            </w:r>
          </w:p>
          <w:p w14:paraId="23E94033">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输出电压范围:DC450V~600V；</w:t>
            </w:r>
          </w:p>
          <w:p w14:paraId="34611B6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输出电流范围：0.3A~3A；</w:t>
            </w:r>
          </w:p>
          <w:p w14:paraId="71ECFA9D">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冷却方式：自然冷却；</w:t>
            </w:r>
          </w:p>
          <w:p w14:paraId="3202406A">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充电机效率：≥95%</w:t>
            </w:r>
          </w:p>
          <w:p w14:paraId="583D84D8">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具备自动限流保护，输出过压保护，输出短路保护等功能</w:t>
            </w:r>
          </w:p>
        </w:tc>
        <w:tc>
          <w:tcPr>
            <w:tcW w:w="567" w:type="dxa"/>
            <w:vAlign w:val="center"/>
          </w:tcPr>
          <w:p w14:paraId="63640142">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4</w:t>
            </w:r>
          </w:p>
        </w:tc>
        <w:tc>
          <w:tcPr>
            <w:tcW w:w="567" w:type="dxa"/>
            <w:vAlign w:val="center"/>
          </w:tcPr>
          <w:p w14:paraId="2AA8CE1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台</w:t>
            </w:r>
          </w:p>
        </w:tc>
        <w:tc>
          <w:tcPr>
            <w:tcW w:w="1020" w:type="dxa"/>
            <w:vAlign w:val="center"/>
          </w:tcPr>
          <w:p w14:paraId="5EF1EFB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p>
        </w:tc>
        <w:tc>
          <w:tcPr>
            <w:tcW w:w="1020" w:type="dxa"/>
            <w:vAlign w:val="center"/>
          </w:tcPr>
          <w:p w14:paraId="678B65A2">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p>
        </w:tc>
        <w:tc>
          <w:tcPr>
            <w:tcW w:w="1020" w:type="dxa"/>
            <w:vAlign w:val="center"/>
          </w:tcPr>
          <w:p w14:paraId="3A271371">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适配机组，也可提供功能优于原型号产品。</w:t>
            </w:r>
          </w:p>
        </w:tc>
      </w:tr>
      <w:tr w14:paraId="68671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812" w:type="dxa"/>
            <w:gridSpan w:val="7"/>
            <w:vAlign w:val="center"/>
          </w:tcPr>
          <w:p w14:paraId="3E693CDE">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总价（元）</w:t>
            </w:r>
          </w:p>
        </w:tc>
        <w:tc>
          <w:tcPr>
            <w:tcW w:w="2040" w:type="dxa"/>
            <w:gridSpan w:val="2"/>
            <w:vAlign w:val="center"/>
          </w:tcPr>
          <w:p w14:paraId="568F105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p>
        </w:tc>
      </w:tr>
      <w:tr w14:paraId="7F34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812" w:type="dxa"/>
            <w:gridSpan w:val="7"/>
            <w:vAlign w:val="center"/>
          </w:tcPr>
          <w:p w14:paraId="2F67D4E7">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center"/>
              <w:textAlignment w:val="auto"/>
              <w:rPr>
                <w:rFonts w:hint="eastAsia" w:ascii="仿宋" w:hAnsi="仿宋" w:eastAsia="仿宋" w:cs="仿宋"/>
                <w:color w:val="FF0000"/>
                <w:sz w:val="22"/>
                <w:szCs w:val="22"/>
                <w:lang w:val="en-US" w:eastAsia="zh-CN"/>
              </w:rPr>
            </w:pPr>
            <w:r>
              <w:rPr>
                <w:rFonts w:hint="eastAsia" w:ascii="仿宋" w:hAnsi="仿宋" w:eastAsia="仿宋" w:cs="仿宋"/>
                <w:color w:val="FF0000"/>
                <w:sz w:val="22"/>
                <w:szCs w:val="22"/>
                <w:lang w:val="en-US" w:eastAsia="zh-CN"/>
              </w:rPr>
              <w:t>质保期（年）</w:t>
            </w:r>
          </w:p>
        </w:tc>
        <w:tc>
          <w:tcPr>
            <w:tcW w:w="2040" w:type="dxa"/>
            <w:gridSpan w:val="2"/>
            <w:vAlign w:val="center"/>
          </w:tcPr>
          <w:p w14:paraId="564919B6">
            <w:pPr>
              <w:keepNext w:val="0"/>
              <w:keepLines w:val="0"/>
              <w:pageBreakBefore w:val="0"/>
              <w:widowControl w:val="0"/>
              <w:kinsoku/>
              <w:wordWrap/>
              <w:overflowPunct/>
              <w:topLinePunct w:val="0"/>
              <w:autoSpaceDE/>
              <w:autoSpaceDN/>
              <w:bidi w:val="0"/>
              <w:adjustRightInd w:val="0"/>
              <w:snapToGrid w:val="0"/>
              <w:spacing w:line="240" w:lineRule="auto"/>
              <w:ind w:left="-42" w:leftChars="-20" w:right="-63" w:rightChars="-30" w:firstLine="0" w:firstLineChars="0"/>
              <w:jc w:val="both"/>
              <w:textAlignment w:val="auto"/>
              <w:rPr>
                <w:rFonts w:hint="eastAsia" w:ascii="仿宋" w:hAnsi="仿宋" w:eastAsia="仿宋" w:cs="仿宋"/>
                <w:color w:val="FF0000"/>
                <w:sz w:val="22"/>
                <w:szCs w:val="22"/>
                <w:lang w:val="en-US" w:eastAsia="zh-CN"/>
              </w:rPr>
            </w:pPr>
          </w:p>
        </w:tc>
      </w:tr>
    </w:tbl>
    <w:p w14:paraId="3C8DB968">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p>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6" w:name="_Toc9883"/>
      <w:bookmarkStart w:id="167"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467BBE81">
      <w:pPr>
        <w:outlineLvl w:val="0"/>
        <w:rPr>
          <w:rFonts w:hint="eastAsia" w:ascii="宋体" w:hAnsi="宋体" w:eastAsia="宋体" w:cs="宋体"/>
          <w:b/>
          <w:color w:val="000000" w:themeColor="text1"/>
          <w:shd w:val="clear" w:color="auto" w:fill="auto"/>
          <w14:textFill>
            <w14:solidFill>
              <w14:schemeClr w14:val="tx1"/>
            </w14:solidFill>
          </w14:textFill>
        </w:rPr>
      </w:pPr>
    </w:p>
    <w:p w14:paraId="677A5D3A">
      <w:pPr>
        <w:outlineLvl w:val="0"/>
        <w:rPr>
          <w:rFonts w:hint="eastAsia" w:ascii="宋体" w:hAnsi="宋体" w:eastAsia="宋体" w:cs="宋体"/>
          <w:b/>
          <w:color w:val="000000" w:themeColor="text1"/>
          <w:shd w:val="clear" w:color="auto" w:fill="auto"/>
          <w14:textFill>
            <w14:solidFill>
              <w14:schemeClr w14:val="tx1"/>
            </w14:solidFill>
          </w14:textFill>
        </w:rPr>
      </w:pPr>
    </w:p>
    <w:p w14:paraId="59E700E6">
      <w:pPr>
        <w:outlineLvl w:val="0"/>
        <w:rPr>
          <w:rFonts w:hint="eastAsia" w:ascii="宋体" w:hAnsi="宋体" w:eastAsia="宋体" w:cs="宋体"/>
          <w:b/>
          <w:color w:val="000000" w:themeColor="text1"/>
          <w:shd w:val="clear" w:color="auto" w:fill="auto"/>
          <w14:textFill>
            <w14:solidFill>
              <w14:schemeClr w14:val="tx1"/>
            </w14:solidFill>
          </w14:textFill>
        </w:rPr>
      </w:pPr>
    </w:p>
    <w:p w14:paraId="1D9A76E3">
      <w:pPr>
        <w:outlineLvl w:val="0"/>
        <w:rPr>
          <w:rFonts w:hint="eastAsia" w:ascii="宋体" w:hAnsi="宋体" w:eastAsia="宋体" w:cs="宋体"/>
          <w:b/>
          <w:color w:val="000000" w:themeColor="text1"/>
          <w:shd w:val="clear" w:color="auto" w:fill="auto"/>
          <w14:textFill>
            <w14:solidFill>
              <w14:schemeClr w14:val="tx1"/>
            </w14:solidFill>
          </w14:textFill>
        </w:rPr>
      </w:pPr>
    </w:p>
    <w:p w14:paraId="0C6F570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1"/>
      <w:bookmarkEnd w:id="162"/>
      <w:bookmarkEnd w:id="163"/>
      <w:bookmarkEnd w:id="164"/>
      <w:bookmarkEnd w:id="165"/>
      <w:bookmarkEnd w:id="166"/>
      <w:bookmarkEnd w:id="16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9941"/>
      <w:bookmarkStart w:id="180"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008359"/>
      <w:bookmarkStart w:id="182" w:name="_Toc342913422"/>
      <w:bookmarkStart w:id="183" w:name="_Toc313888363"/>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1" w:fontKey="{E587C19C-E54F-4BB6-922E-4D3580BFD04E}"/>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78B71992-F7F8-4730-8525-66C9CC065411}"/>
  </w:font>
  <w:font w:name="MS Shell Dlg">
    <w:altName w:val="Microsoft Sans Serif"/>
    <w:panose1 w:val="020B0604020202020204"/>
    <w:charset w:val="00"/>
    <w:family w:val="swiss"/>
    <w:pitch w:val="default"/>
    <w:sig w:usb0="00000000" w:usb1="00000000" w:usb2="00000008" w:usb3="00000000" w:csb0="000101FF" w:csb1="00000000"/>
    <w:embedRegular r:id="rId3" w:fontKey="{18CC8487-AD0D-4051-9CF5-8944C3F7951D}"/>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C09ED"/>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A581DA4"/>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449D3"/>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800292"/>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C6270AD"/>
    <w:rsid w:val="4DBE5CAD"/>
    <w:rsid w:val="4DD75684"/>
    <w:rsid w:val="4E0D2518"/>
    <w:rsid w:val="4E231003"/>
    <w:rsid w:val="4E3873B7"/>
    <w:rsid w:val="4EF70D4B"/>
    <w:rsid w:val="4F154014"/>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2F65C0"/>
    <w:rsid w:val="576D5122"/>
    <w:rsid w:val="57AE74AF"/>
    <w:rsid w:val="584112B9"/>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14145</Words>
  <Characters>14646</Characters>
  <Lines>182</Lines>
  <Paragraphs>51</Paragraphs>
  <TotalTime>1</TotalTime>
  <ScaleCrop>false</ScaleCrop>
  <LinksUpToDate>false</LinksUpToDate>
  <CharactersWithSpaces>15756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2025-09-24T02:34:35Z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