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2025FW115q</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兴龙湖院区污水在线监测运维服务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3588"/>
      <w:bookmarkStart w:id="2" w:name="_Toc6921"/>
      <w:bookmarkStart w:id="3" w:name="_Toc12789052"/>
      <w:bookmarkStart w:id="4" w:name="_Toc485108766"/>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兴龙湖院区污水在线监测运维服务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28443"/>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兴龙湖院区污水在线监测运维服务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服务期：2025年10月至2027年6月4日，具体服务时间以采购方电话通知为准。</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：医院自筹,预算金额：4.15万元。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3A51D71D">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重庆市污染治理设施运行服务能力评价证书—自动连续监控（水），等级要求三级及以上</w:t>
      </w:r>
      <w:r>
        <w:rPr>
          <w:rFonts w:hint="eastAsia" w:ascii="宋体" w:hAnsi="宋体" w:eastAsia="宋体" w:cs="宋体"/>
          <w:color w:val="FF0000"/>
          <w:sz w:val="24"/>
          <w:szCs w:val="24"/>
          <w:shd w:val="clear" w:color="auto" w:fill="auto"/>
          <w:lang w:eastAsia="zh-CN"/>
        </w:rPr>
        <w:t>。</w:t>
      </w:r>
    </w:p>
    <w:p w14:paraId="0B0E0F81">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环境污染治理设施运行人员技能培训证书（自动连续监测水）</w:t>
      </w:r>
      <w:r>
        <w:rPr>
          <w:rFonts w:hint="eastAsia" w:ascii="宋体" w:hAnsi="宋体" w:eastAsia="宋体" w:cs="宋体"/>
          <w:color w:val="FF0000"/>
          <w:sz w:val="24"/>
          <w:szCs w:val="24"/>
          <w:shd w:val="clear" w:color="auto" w:fill="auto"/>
          <w:lang w:val="en-US" w:eastAsia="zh-CN"/>
        </w:rPr>
        <w:t>。</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bookmarkStart w:id="189" w:name="_GoBack"/>
      <w:bookmarkEnd w:id="189"/>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价为包干价，包含但不限于服务费、检测费、维修材料费、保险、税费等各项费用。(报价表见第六章)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342913393"/>
      <w:bookmarkStart w:id="42" w:name="_Toc179714298"/>
      <w:bookmarkStart w:id="43" w:name="_Toc403569780"/>
      <w:bookmarkStart w:id="44" w:name="_Toc18122"/>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342913395"/>
      <w:bookmarkStart w:id="57" w:name="_Toc3212"/>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51BA4014">
      <w:pPr>
        <w:spacing w:line="46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1、对污水处理站在线监测系统进行运行维护管理，确保流量计、数采仪正常运行，保证在线监测流量数据上传正常，数据有效传输率须达到95%及以上。</w:t>
      </w:r>
    </w:p>
    <w:p w14:paraId="1D768619">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2、服务方需做好运维相应记录，每季度出具有效的流量比对检测报告。</w:t>
      </w:r>
    </w:p>
    <w:p w14:paraId="690A1541">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3、服务方须严格遵守国家的相关法律法规，在服务过程中应采取有效的安全措施，保证工作人员和其他人员的人身安全，并承担因安全事故导致的一切经济和法律责任。如有损坏财产须照价赔偿。</w:t>
      </w:r>
    </w:p>
    <w:p w14:paraId="0D94194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586C2D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BAC5BF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B161A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B359F4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784FB2">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1、服务期：2025年10月-2027年6月4日，具体服务时间以采购方电话通知为准。</w:t>
      </w:r>
    </w:p>
    <w:p w14:paraId="76C079D4">
      <w:pPr>
        <w:spacing w:line="4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付款方式：服务方梅服务满12个月，采购方支付一次服务费用，服务方按时完成工作并出具有效检测报告，采购方自收到合法发票审核无误后60日内付款。(如若最后一次服务周期没满12个月，按照实际服务时间据实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5711"/>
      <w:bookmarkStart w:id="83" w:name="_Toc485108794"/>
      <w:bookmarkStart w:id="84" w:name="_Toc14840"/>
      <w:bookmarkStart w:id="85" w:name="_Toc403569796"/>
      <w:bookmarkStart w:id="86" w:name="_Toc26989"/>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29521"/>
      <w:bookmarkStart w:id="138" w:name="_Toc13696"/>
      <w:bookmarkStart w:id="139"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5685"/>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5565"/>
      <w:bookmarkStart w:id="153" w:name="_Toc480979018"/>
      <w:bookmarkStart w:id="154" w:name="_Toc342913419"/>
      <w:bookmarkStart w:id="155" w:name="_Toc485108796"/>
      <w:bookmarkStart w:id="156" w:name="_Toc313888360"/>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rPr>
      </w:pPr>
      <w:bookmarkStart w:id="159" w:name="_Toc485108797"/>
      <w:bookmarkStart w:id="160" w:name="_Toc9883"/>
      <w:bookmarkStart w:id="161" w:name="_Toc313008357"/>
      <w:bookmarkStart w:id="162" w:name="_Toc342913420"/>
      <w:bookmarkStart w:id="163" w:name="_Toc12908"/>
      <w:bookmarkStart w:id="164" w:name="_Toc313888361"/>
      <w:bookmarkStart w:id="165" w:name="_Toc480979019"/>
      <w:r>
        <w:rPr>
          <w:rFonts w:hint="eastAsia" w:ascii="黑体" w:hAnsi="黑体" w:eastAsia="黑体"/>
          <w:sz w:val="32"/>
          <w:szCs w:val="32"/>
        </w:rPr>
        <w:t>报 价 表</w:t>
      </w:r>
    </w:p>
    <w:tbl>
      <w:tblPr>
        <w:tblStyle w:val="59"/>
        <w:tblW w:w="7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939"/>
        <w:gridCol w:w="4362"/>
      </w:tblGrid>
      <w:tr w14:paraId="6D55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15" w:type="dxa"/>
            <w:vAlign w:val="center"/>
          </w:tcPr>
          <w:p w14:paraId="3F3DA5EA">
            <w:pPr>
              <w:pStyle w:val="52"/>
              <w:spacing w:beforeAutospacing="0" w:afterAutospacing="0" w:line="480" w:lineRule="auto"/>
              <w:jc w:val="center"/>
              <w:rPr>
                <w:szCs w:val="28"/>
              </w:rPr>
            </w:pPr>
            <w:r>
              <w:rPr>
                <w:rFonts w:hint="eastAsia"/>
                <w:szCs w:val="28"/>
              </w:rPr>
              <w:t>名称</w:t>
            </w:r>
          </w:p>
        </w:tc>
        <w:tc>
          <w:tcPr>
            <w:tcW w:w="1939" w:type="dxa"/>
          </w:tcPr>
          <w:p w14:paraId="3D980FBA">
            <w:pPr>
              <w:pStyle w:val="52"/>
              <w:spacing w:beforeAutospacing="0" w:afterAutospacing="0" w:line="480" w:lineRule="auto"/>
              <w:jc w:val="center"/>
              <w:rPr>
                <w:szCs w:val="28"/>
              </w:rPr>
            </w:pPr>
            <w:r>
              <w:rPr>
                <w:rFonts w:hint="eastAsia"/>
                <w:szCs w:val="28"/>
              </w:rPr>
              <w:t>价格（元/月）</w:t>
            </w:r>
          </w:p>
        </w:tc>
        <w:tc>
          <w:tcPr>
            <w:tcW w:w="4362" w:type="dxa"/>
            <w:vAlign w:val="center"/>
          </w:tcPr>
          <w:p w14:paraId="7246497B">
            <w:pPr>
              <w:pStyle w:val="52"/>
              <w:spacing w:beforeAutospacing="0" w:afterAutospacing="0" w:line="480" w:lineRule="auto"/>
              <w:jc w:val="center"/>
              <w:rPr>
                <w:szCs w:val="28"/>
              </w:rPr>
            </w:pPr>
            <w:r>
              <w:rPr>
                <w:rFonts w:hint="eastAsia"/>
                <w:szCs w:val="28"/>
              </w:rPr>
              <w:t>备注</w:t>
            </w:r>
          </w:p>
        </w:tc>
      </w:tr>
      <w:tr w14:paraId="301F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15" w:type="dxa"/>
            <w:vAlign w:val="center"/>
          </w:tcPr>
          <w:p w14:paraId="0CC1B65B">
            <w:pPr>
              <w:pStyle w:val="52"/>
              <w:spacing w:beforeAutospacing="0" w:afterAutospacing="0" w:line="480" w:lineRule="auto"/>
              <w:jc w:val="center"/>
              <w:rPr>
                <w:szCs w:val="28"/>
              </w:rPr>
            </w:pPr>
            <w:r>
              <w:rPr>
                <w:rFonts w:hint="eastAsia"/>
                <w:szCs w:val="28"/>
              </w:rPr>
              <w:t>服务费</w:t>
            </w:r>
          </w:p>
        </w:tc>
        <w:tc>
          <w:tcPr>
            <w:tcW w:w="1939" w:type="dxa"/>
          </w:tcPr>
          <w:p w14:paraId="410C7D8D">
            <w:pPr>
              <w:pStyle w:val="52"/>
              <w:spacing w:beforeAutospacing="0" w:afterAutospacing="0" w:line="480" w:lineRule="auto"/>
              <w:jc w:val="center"/>
              <w:rPr>
                <w:szCs w:val="28"/>
              </w:rPr>
            </w:pPr>
          </w:p>
        </w:tc>
        <w:tc>
          <w:tcPr>
            <w:tcW w:w="4362" w:type="dxa"/>
            <w:vAlign w:val="center"/>
          </w:tcPr>
          <w:p w14:paraId="36ADB569">
            <w:pPr>
              <w:pStyle w:val="52"/>
              <w:spacing w:beforeAutospacing="0" w:afterAutospacing="0" w:line="480" w:lineRule="auto"/>
              <w:rPr>
                <w:szCs w:val="28"/>
              </w:rPr>
            </w:pPr>
            <w:r>
              <w:rPr>
                <w:rFonts w:hint="eastAsia"/>
                <w:color w:val="FF0000"/>
              </w:rPr>
              <w:t>服务费包含：</w:t>
            </w:r>
            <w:r>
              <w:rPr>
                <w:color w:val="FF0000"/>
              </w:rPr>
              <w:t>在线监测设施的维修，零配件的更换（1000元以下</w:t>
            </w:r>
            <w:r>
              <w:rPr>
                <w:rFonts w:hint="eastAsia"/>
                <w:color w:val="FF0000"/>
              </w:rPr>
              <w:t>/单次</w:t>
            </w:r>
            <w:r>
              <w:rPr>
                <w:color w:val="FF0000"/>
              </w:rPr>
              <w:t>）</w:t>
            </w:r>
            <w:r>
              <w:t>。</w:t>
            </w:r>
          </w:p>
        </w:tc>
      </w:tr>
    </w:tbl>
    <w:p w14:paraId="5128F37E">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价为包干价，包含但不限于服务费、检测费、维修材料费、保险、税费等各项费用。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381A82A5">
      <w:pPr>
        <w:outlineLvl w:val="0"/>
        <w:rPr>
          <w:rFonts w:hint="eastAsia" w:ascii="宋体" w:hAnsi="宋体" w:eastAsia="宋体" w:cs="宋体"/>
          <w:b/>
          <w:color w:val="000000" w:themeColor="text1"/>
          <w:shd w:val="clear" w:color="auto" w:fill="auto"/>
          <w14:textFill>
            <w14:solidFill>
              <w14:schemeClr w14:val="tx1"/>
            </w14:solidFill>
          </w14:textFill>
        </w:rPr>
      </w:pPr>
    </w:p>
    <w:p w14:paraId="6BAE2102">
      <w:pPr>
        <w:outlineLvl w:val="0"/>
        <w:rPr>
          <w:rFonts w:hint="eastAsia" w:ascii="宋体" w:hAnsi="宋体" w:eastAsia="宋体" w:cs="宋体"/>
          <w:b/>
          <w:color w:val="000000" w:themeColor="text1"/>
          <w:shd w:val="clear" w:color="auto" w:fill="auto"/>
          <w14:textFill>
            <w14:solidFill>
              <w14:schemeClr w14:val="tx1"/>
            </w14:solidFill>
          </w14:textFill>
        </w:rPr>
      </w:pPr>
    </w:p>
    <w:p w14:paraId="25898B3A">
      <w:pPr>
        <w:outlineLvl w:val="0"/>
        <w:rPr>
          <w:rFonts w:hint="eastAsia" w:ascii="宋体" w:hAnsi="宋体" w:eastAsia="宋体" w:cs="宋体"/>
          <w:b/>
          <w:color w:val="000000" w:themeColor="text1"/>
          <w:shd w:val="clear" w:color="auto" w:fill="auto"/>
          <w14:textFill>
            <w14:solidFill>
              <w14:schemeClr w14:val="tx1"/>
            </w14:solidFill>
          </w14:textFill>
        </w:rPr>
      </w:pPr>
    </w:p>
    <w:p w14:paraId="66ADE586">
      <w:pPr>
        <w:outlineLvl w:val="0"/>
        <w:rPr>
          <w:rFonts w:hint="eastAsia" w:ascii="宋体" w:hAnsi="宋体" w:eastAsia="宋体" w:cs="宋体"/>
          <w:b/>
          <w:color w:val="000000" w:themeColor="text1"/>
          <w:shd w:val="clear" w:color="auto" w:fill="auto"/>
          <w14:textFill>
            <w14:solidFill>
              <w14:schemeClr w14:val="tx1"/>
            </w14:solidFill>
          </w14:textFill>
        </w:rPr>
      </w:pPr>
    </w:p>
    <w:p w14:paraId="785D7C0B">
      <w:pPr>
        <w:outlineLvl w:val="0"/>
        <w:rPr>
          <w:rFonts w:hint="eastAsia" w:ascii="宋体" w:hAnsi="宋体" w:eastAsia="宋体" w:cs="宋体"/>
          <w:b/>
          <w:color w:val="000000" w:themeColor="text1"/>
          <w:shd w:val="clear" w:color="auto" w:fill="auto"/>
          <w14:textFill>
            <w14:solidFill>
              <w14:schemeClr w14:val="tx1"/>
            </w14:solidFill>
          </w14:textFill>
        </w:rPr>
      </w:pPr>
    </w:p>
    <w:p w14:paraId="33868A1A">
      <w:pPr>
        <w:outlineLvl w:val="0"/>
        <w:rPr>
          <w:rFonts w:hint="eastAsia" w:ascii="宋体" w:hAnsi="宋体" w:eastAsia="宋体" w:cs="宋体"/>
          <w:b/>
          <w:color w:val="000000" w:themeColor="text1"/>
          <w:shd w:val="clear" w:color="auto" w:fill="auto"/>
          <w14:textFill>
            <w14:solidFill>
              <w14:schemeClr w14:val="tx1"/>
            </w14:solidFill>
          </w14:textFill>
        </w:rPr>
      </w:pPr>
    </w:p>
    <w:p w14:paraId="290A60AA">
      <w:pPr>
        <w:outlineLvl w:val="0"/>
        <w:rPr>
          <w:rFonts w:hint="eastAsia" w:ascii="宋体" w:hAnsi="宋体" w:eastAsia="宋体" w:cs="宋体"/>
          <w:b/>
          <w:color w:val="000000" w:themeColor="text1"/>
          <w:shd w:val="clear" w:color="auto" w:fill="auto"/>
          <w14:textFill>
            <w14:solidFill>
              <w14:schemeClr w14:val="tx1"/>
            </w14:solidFill>
          </w14:textFill>
        </w:rPr>
      </w:pPr>
    </w:p>
    <w:p w14:paraId="3F947E22">
      <w:pPr>
        <w:outlineLvl w:val="0"/>
        <w:rPr>
          <w:rFonts w:hint="eastAsia" w:ascii="宋体" w:hAnsi="宋体" w:eastAsia="宋体" w:cs="宋体"/>
          <w:b/>
          <w:color w:val="000000" w:themeColor="text1"/>
          <w:shd w:val="clear" w:color="auto" w:fill="auto"/>
          <w14:textFill>
            <w14:solidFill>
              <w14:schemeClr w14:val="tx1"/>
            </w14:solidFill>
          </w14:textFill>
        </w:rPr>
      </w:pPr>
    </w:p>
    <w:p w14:paraId="763A550D">
      <w:pPr>
        <w:outlineLvl w:val="0"/>
        <w:rPr>
          <w:rFonts w:hint="eastAsia" w:ascii="宋体" w:hAnsi="宋体" w:eastAsia="宋体" w:cs="宋体"/>
          <w:b/>
          <w:color w:val="000000" w:themeColor="text1"/>
          <w:shd w:val="clear" w:color="auto" w:fill="auto"/>
          <w14:textFill>
            <w14:solidFill>
              <w14:schemeClr w14:val="tx1"/>
            </w14:solidFill>
          </w14:textFill>
        </w:rPr>
      </w:pPr>
    </w:p>
    <w:p w14:paraId="3DC1783C">
      <w:pPr>
        <w:outlineLvl w:val="0"/>
        <w:rPr>
          <w:rFonts w:hint="eastAsia" w:ascii="宋体" w:hAnsi="宋体" w:eastAsia="宋体" w:cs="宋体"/>
          <w:b/>
          <w:color w:val="000000" w:themeColor="text1"/>
          <w:shd w:val="clear" w:color="auto" w:fill="auto"/>
          <w14:textFill>
            <w14:solidFill>
              <w14:schemeClr w14:val="tx1"/>
            </w14:solidFill>
          </w14:textFill>
        </w:rPr>
      </w:pPr>
    </w:p>
    <w:p w14:paraId="37F5353E">
      <w:pPr>
        <w:outlineLvl w:val="0"/>
        <w:rPr>
          <w:rFonts w:hint="eastAsia" w:ascii="宋体" w:hAnsi="宋体" w:eastAsia="宋体" w:cs="宋体"/>
          <w:b/>
          <w:color w:val="000000" w:themeColor="text1"/>
          <w:shd w:val="clear" w:color="auto" w:fill="auto"/>
          <w14:textFill>
            <w14:solidFill>
              <w14:schemeClr w14:val="tx1"/>
            </w14:solidFill>
          </w14:textFill>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DC2260D-0CAE-42CF-A327-553F28D00EB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6C0235D6-3927-47FC-920E-E721C7AD6B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8EF1631"/>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4406F"/>
    <w:rsid w:val="1AE84C93"/>
    <w:rsid w:val="1B1D5FE3"/>
    <w:rsid w:val="1B484046"/>
    <w:rsid w:val="1B4A5E5B"/>
    <w:rsid w:val="1B925650"/>
    <w:rsid w:val="1C0025BA"/>
    <w:rsid w:val="1C66752D"/>
    <w:rsid w:val="1C6945DA"/>
    <w:rsid w:val="1C7905B6"/>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461035"/>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AA25DEC"/>
    <w:rsid w:val="3AC648F5"/>
    <w:rsid w:val="3B30241A"/>
    <w:rsid w:val="3B5B756F"/>
    <w:rsid w:val="3B870893"/>
    <w:rsid w:val="3BA13299"/>
    <w:rsid w:val="3C4F6F1A"/>
    <w:rsid w:val="3CAB140C"/>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7D04F4"/>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4F9E4D4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12081</Words>
  <Characters>12361</Characters>
  <Lines>182</Lines>
  <Paragraphs>51</Paragraphs>
  <TotalTime>1</TotalTime>
  <ScaleCrop>false</ScaleCrop>
  <LinksUpToDate>false</LinksUpToDate>
  <CharactersWithSpaces>13398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2025-09-25T08:14:32Z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