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兴龙湖院区无组织废气检测服务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1641050"/>
      <w:bookmarkStart w:id="2" w:name="_Toc6921"/>
      <w:bookmarkStart w:id="3" w:name="_Toc23588"/>
      <w:bookmarkStart w:id="4" w:name="_Toc12789052"/>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兴龙湖院区无组织废气检测服务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兴龙湖院区无组织废气检测服务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服务期：2025年10月-2027年12月31日，具体服务时间以采购方电话通知为准。</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：医院自筹,预算金额：20250元。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3A51D71D">
      <w:pPr>
        <w:spacing w:line="48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具备相应的从业资质，相关资质须得到重庆市卫健委的认可及准入</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参选报价为包干价，包含服务费、材料费、保险费、税费等各项费用。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9"/>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8122"/>
      <w:bookmarkStart w:id="42" w:name="_Toc342913393"/>
      <w:bookmarkStart w:id="43" w:name="_Toc102227319"/>
      <w:bookmarkStart w:id="44" w:name="_Toc179714298"/>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57CFF32">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1、定期完成对污水处理站周边环境进行监测。</w:t>
      </w:r>
    </w:p>
    <w:p w14:paraId="4D4BE876">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（1）检测频次：每季度检测一次。</w:t>
      </w:r>
    </w:p>
    <w:p w14:paraId="16E16DE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（2）监测点：按照排污许可证的描述确定。</w:t>
      </w:r>
    </w:p>
    <w:p w14:paraId="1D80482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（3）监测因子：甲烷、臭气浓度、氨气、氯气、硫化氢，每个因子至少非连续采样3次。</w:t>
      </w:r>
    </w:p>
    <w:p w14:paraId="1A877F99">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（4）检测报告：每季度采样后15个工作日内向采购方提交</w:t>
      </w:r>
      <w:bookmarkStart w:id="76" w:name="OLE_LINK46"/>
      <w:bookmarkStart w:id="77" w:name="OLE_LINK45"/>
      <w:r>
        <w:rPr>
          <w:rFonts w:hint="eastAsia" w:ascii="宋体" w:hAnsi="宋体" w:eastAsia="宋体" w:cs="宋体"/>
          <w:color w:val="FF0000"/>
          <w:sz w:val="24"/>
          <w:szCs w:val="24"/>
          <w:shd w:val="clear" w:color="auto" w:fill="auto"/>
          <w:lang w:val="en-US" w:eastAsia="zh-CN"/>
        </w:rPr>
        <w:t>检测报告</w:t>
      </w:r>
      <w:bookmarkEnd w:id="76"/>
      <w:bookmarkEnd w:id="77"/>
      <w:r>
        <w:rPr>
          <w:rFonts w:hint="eastAsia" w:ascii="宋体" w:hAnsi="宋体" w:eastAsia="宋体" w:cs="宋体"/>
          <w:color w:val="FF0000"/>
          <w:sz w:val="24"/>
          <w:szCs w:val="24"/>
          <w:shd w:val="clear" w:color="auto" w:fill="auto"/>
          <w:lang w:val="en-US" w:eastAsia="zh-CN"/>
        </w:rPr>
        <w:t>。</w:t>
      </w:r>
    </w:p>
    <w:p w14:paraId="4D7A373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2、服务方开展各项工作须符合国家及行业的相关标准、规程及要求。</w:t>
      </w:r>
    </w:p>
    <w:p w14:paraId="3C6A91E4">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3、在服务过程中，服务方应采取有效的安全措施，保证工作人员和其他人员的人身安全，并承担因安全事故导致的一切经济和法律责任。如有损坏财产须照价赔偿。</w:t>
      </w:r>
    </w:p>
    <w:p w14:paraId="544472E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0FC90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03569795"/>
      <w:bookmarkStart w:id="8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1、服务期：2025年10月-2027年12月31日，具体服务时间以采购方电话通知为准。</w:t>
      </w:r>
    </w:p>
    <w:p w14:paraId="76C079D4">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2、付款方式：服务方每按时完成12个月全部工作并出具正式的检测报告，采购方凭服务方提供的正式发票于60日内转账支付年服务费用。(如若最后一个服务周期没满12个月，则按照实际服务时间，据实结算)</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03569796"/>
      <w:bookmarkStart w:id="85" w:name="_Toc14840"/>
      <w:bookmarkStart w:id="86" w:name="_Toc26989"/>
      <w:bookmarkStart w:id="87" w:name="_Toc15711"/>
      <w:bookmarkStart w:id="88" w:name="_Toc485108794"/>
      <w:bookmarkStart w:id="89" w:name="_Toc148265480"/>
      <w:bookmarkStart w:id="90"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241"/>
      <w:bookmarkStart w:id="11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4085"/>
      <w:bookmarkStart w:id="140" w:name="_Toc13696"/>
      <w:bookmarkStart w:id="141"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0"/>
      <w:bookmarkStart w:id="147"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21293"/>
      <w:bookmarkStart w:id="150" w:name="_Toc5685"/>
      <w:bookmarkStart w:id="15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313888360"/>
      <w:bookmarkStart w:id="156" w:name="_Toc480979018"/>
      <w:bookmarkStart w:id="157" w:name="_Toc5565"/>
      <w:bookmarkStart w:id="158" w:name="_Toc485108796"/>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61" w:name="_Toc12908"/>
      <w:bookmarkStart w:id="162" w:name="_Toc313008357"/>
      <w:bookmarkStart w:id="163" w:name="_Toc480979019"/>
      <w:bookmarkStart w:id="164" w:name="_Toc9883"/>
      <w:bookmarkStart w:id="165" w:name="_Toc313888361"/>
      <w:bookmarkStart w:id="166" w:name="_Toc342913420"/>
      <w:bookmarkStart w:id="167" w:name="_Toc485108797"/>
      <w:r>
        <w:rPr>
          <w:rFonts w:hint="eastAsia" w:ascii="黑体" w:hAnsi="黑体" w:eastAsia="黑体"/>
          <w:sz w:val="32"/>
          <w:szCs w:val="32"/>
        </w:rPr>
        <w:t>报 价 表</w:t>
      </w:r>
    </w:p>
    <w:tbl>
      <w:tblPr>
        <w:tblStyle w:val="59"/>
        <w:tblW w:w="9473" w:type="dxa"/>
        <w:jc w:val="center"/>
        <w:tblLayout w:type="fixed"/>
        <w:tblCellMar>
          <w:top w:w="0" w:type="dxa"/>
          <w:left w:w="108" w:type="dxa"/>
          <w:bottom w:w="0" w:type="dxa"/>
          <w:right w:w="108" w:type="dxa"/>
        </w:tblCellMar>
      </w:tblPr>
      <w:tblGrid>
        <w:gridCol w:w="2093"/>
        <w:gridCol w:w="1575"/>
        <w:gridCol w:w="1500"/>
        <w:gridCol w:w="1388"/>
        <w:gridCol w:w="1726"/>
        <w:gridCol w:w="1191"/>
      </w:tblGrid>
      <w:tr w14:paraId="36B43CFF">
        <w:tblPrEx>
          <w:tblCellMar>
            <w:top w:w="0" w:type="dxa"/>
            <w:left w:w="108" w:type="dxa"/>
            <w:bottom w:w="0" w:type="dxa"/>
            <w:right w:w="108" w:type="dxa"/>
          </w:tblCellMar>
        </w:tblPrEx>
        <w:trPr>
          <w:trHeight w:val="715" w:hRule="atLeast"/>
          <w:jc w:val="center"/>
        </w:trPr>
        <w:tc>
          <w:tcPr>
            <w:tcW w:w="2093" w:type="dxa"/>
            <w:tcBorders>
              <w:top w:val="single" w:color="auto" w:sz="4" w:space="0"/>
              <w:left w:val="single" w:color="auto" w:sz="4" w:space="0"/>
              <w:bottom w:val="single" w:color="000000" w:sz="8" w:space="0"/>
              <w:right w:val="single" w:color="000000" w:sz="8" w:space="0"/>
            </w:tcBorders>
            <w:shd w:val="clear" w:color="auto" w:fill="auto"/>
            <w:vAlign w:val="center"/>
          </w:tcPr>
          <w:p w14:paraId="6B535A2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名称</w:t>
            </w:r>
          </w:p>
        </w:tc>
        <w:tc>
          <w:tcPr>
            <w:tcW w:w="1575" w:type="dxa"/>
            <w:tcBorders>
              <w:top w:val="single" w:color="auto" w:sz="4" w:space="0"/>
              <w:left w:val="nil"/>
              <w:bottom w:val="single" w:color="000000" w:sz="8" w:space="0"/>
              <w:right w:val="single" w:color="000000" w:sz="8" w:space="0"/>
            </w:tcBorders>
            <w:shd w:val="clear" w:color="auto" w:fill="auto"/>
            <w:vAlign w:val="center"/>
          </w:tcPr>
          <w:p w14:paraId="6DAB183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数量</w:t>
            </w:r>
          </w:p>
        </w:tc>
        <w:tc>
          <w:tcPr>
            <w:tcW w:w="1500" w:type="dxa"/>
            <w:tcBorders>
              <w:top w:val="single" w:color="auto" w:sz="4" w:space="0"/>
              <w:left w:val="nil"/>
              <w:bottom w:val="single" w:color="000000" w:sz="8" w:space="0"/>
              <w:right w:val="single" w:color="000000" w:sz="8" w:space="0"/>
            </w:tcBorders>
            <w:shd w:val="clear" w:color="auto" w:fill="auto"/>
            <w:vAlign w:val="center"/>
          </w:tcPr>
          <w:p w14:paraId="2755500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w:t>
            </w:r>
          </w:p>
        </w:tc>
        <w:tc>
          <w:tcPr>
            <w:tcW w:w="1388" w:type="dxa"/>
            <w:tcBorders>
              <w:top w:val="single" w:color="auto" w:sz="4" w:space="0"/>
              <w:left w:val="nil"/>
              <w:bottom w:val="single" w:color="000000" w:sz="8" w:space="0"/>
              <w:right w:val="single" w:color="000000" w:sz="8" w:space="0"/>
            </w:tcBorders>
            <w:shd w:val="clear" w:color="auto" w:fill="auto"/>
            <w:vAlign w:val="center"/>
          </w:tcPr>
          <w:p w14:paraId="460A2D7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单价（元</w:t>
            </w:r>
            <w:r>
              <w:rPr>
                <w:rFonts w:hint="eastAsia" w:ascii="仿宋" w:hAnsi="仿宋" w:eastAsia="仿宋" w:cs="仿宋"/>
                <w:color w:val="000000"/>
                <w:kern w:val="0"/>
                <w:sz w:val="24"/>
                <w:lang w:val="en-US" w:eastAsia="zh-CN"/>
              </w:rPr>
              <w:t>/每次</w:t>
            </w:r>
            <w:r>
              <w:rPr>
                <w:rFonts w:hint="eastAsia" w:ascii="仿宋" w:hAnsi="仿宋" w:eastAsia="仿宋" w:cs="仿宋"/>
                <w:color w:val="000000"/>
                <w:kern w:val="0"/>
                <w:sz w:val="24"/>
              </w:rPr>
              <w:t>）</w:t>
            </w:r>
          </w:p>
        </w:tc>
        <w:tc>
          <w:tcPr>
            <w:tcW w:w="1726" w:type="dxa"/>
            <w:tcBorders>
              <w:top w:val="single" w:color="auto" w:sz="4" w:space="0"/>
              <w:left w:val="nil"/>
              <w:bottom w:val="single" w:color="000000" w:sz="8" w:space="0"/>
              <w:right w:val="single" w:color="000000" w:sz="8" w:space="0"/>
            </w:tcBorders>
            <w:shd w:val="clear" w:color="auto" w:fill="auto"/>
            <w:vAlign w:val="center"/>
          </w:tcPr>
          <w:p w14:paraId="65F03E1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eastAsia="zh-CN"/>
              </w:rPr>
              <w:t>小计</w:t>
            </w:r>
            <w:r>
              <w:rPr>
                <w:rFonts w:hint="eastAsia" w:ascii="仿宋" w:hAnsi="仿宋" w:eastAsia="仿宋" w:cs="仿宋"/>
                <w:color w:val="000000"/>
                <w:kern w:val="0"/>
                <w:sz w:val="24"/>
              </w:rPr>
              <w:t>（元</w:t>
            </w:r>
            <w:r>
              <w:rPr>
                <w:rFonts w:hint="eastAsia" w:ascii="仿宋" w:hAnsi="仿宋" w:eastAsia="仿宋" w:cs="仿宋"/>
                <w:color w:val="000000"/>
                <w:kern w:val="0"/>
                <w:sz w:val="24"/>
                <w:lang w:val="en-US" w:eastAsia="zh-CN"/>
              </w:rPr>
              <w:t>/年</w:t>
            </w:r>
            <w:r>
              <w:rPr>
                <w:rFonts w:hint="eastAsia" w:ascii="仿宋" w:hAnsi="仿宋" w:eastAsia="仿宋" w:cs="仿宋"/>
                <w:color w:val="000000"/>
                <w:kern w:val="0"/>
                <w:sz w:val="24"/>
              </w:rPr>
              <w:t>）</w:t>
            </w:r>
          </w:p>
        </w:tc>
        <w:tc>
          <w:tcPr>
            <w:tcW w:w="1191" w:type="dxa"/>
            <w:tcBorders>
              <w:top w:val="single" w:color="auto" w:sz="4" w:space="0"/>
              <w:left w:val="nil"/>
              <w:bottom w:val="single" w:color="000000" w:sz="8" w:space="0"/>
              <w:right w:val="single" w:color="auto" w:sz="4" w:space="0"/>
            </w:tcBorders>
            <w:shd w:val="clear" w:color="auto" w:fill="auto"/>
            <w:vAlign w:val="center"/>
          </w:tcPr>
          <w:p w14:paraId="634EABC0">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14:paraId="6A36550E">
        <w:tblPrEx>
          <w:tblCellMar>
            <w:top w:w="0" w:type="dxa"/>
            <w:left w:w="108" w:type="dxa"/>
            <w:bottom w:w="0" w:type="dxa"/>
            <w:right w:w="108" w:type="dxa"/>
          </w:tblCellMar>
        </w:tblPrEx>
        <w:trPr>
          <w:trHeight w:val="955" w:hRule="atLeast"/>
          <w:jc w:val="center"/>
        </w:trPr>
        <w:tc>
          <w:tcPr>
            <w:tcW w:w="2093" w:type="dxa"/>
            <w:tcBorders>
              <w:top w:val="nil"/>
              <w:left w:val="single" w:color="auto" w:sz="4" w:space="0"/>
              <w:bottom w:val="single" w:color="auto" w:sz="4" w:space="0"/>
              <w:right w:val="single" w:color="000000" w:sz="8" w:space="0"/>
            </w:tcBorders>
            <w:shd w:val="clear" w:color="auto" w:fill="auto"/>
            <w:vAlign w:val="center"/>
          </w:tcPr>
          <w:p w14:paraId="057CD4F7">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rPr>
              <w:t xml:space="preserve"> 无组织废气检测</w:t>
            </w:r>
            <w:r>
              <w:rPr>
                <w:rFonts w:hint="eastAsia" w:ascii="仿宋" w:hAnsi="仿宋" w:eastAsia="仿宋" w:cs="仿宋"/>
                <w:color w:val="000000"/>
                <w:sz w:val="24"/>
                <w:lang w:eastAsia="zh-CN"/>
              </w:rPr>
              <w:t>服务</w:t>
            </w:r>
          </w:p>
        </w:tc>
        <w:tc>
          <w:tcPr>
            <w:tcW w:w="1575" w:type="dxa"/>
            <w:tcBorders>
              <w:top w:val="nil"/>
              <w:left w:val="nil"/>
              <w:bottom w:val="single" w:color="auto" w:sz="4" w:space="0"/>
              <w:right w:val="single" w:color="000000" w:sz="8" w:space="0"/>
            </w:tcBorders>
            <w:shd w:val="clear" w:color="auto" w:fill="auto"/>
            <w:vAlign w:val="center"/>
          </w:tcPr>
          <w:p w14:paraId="4800E853">
            <w:pPr>
              <w:widowControl/>
              <w:jc w:val="center"/>
              <w:textAlignment w:val="center"/>
              <w:rPr>
                <w:rFonts w:ascii="方正仿宋_GBK" w:hAnsi="仿宋" w:eastAsia="方正仿宋_GBK" w:cs="仿宋"/>
                <w:color w:val="000000"/>
                <w:sz w:val="24"/>
              </w:rPr>
            </w:pPr>
            <w:r>
              <w:rPr>
                <w:rFonts w:hint="eastAsia" w:ascii="方正仿宋_GBK" w:hAnsi="仿宋" w:eastAsia="方正仿宋_GBK" w:cs="仿宋"/>
                <w:color w:val="000000"/>
                <w:sz w:val="24"/>
              </w:rPr>
              <w:t>9</w:t>
            </w:r>
          </w:p>
        </w:tc>
        <w:tc>
          <w:tcPr>
            <w:tcW w:w="1500" w:type="dxa"/>
            <w:tcBorders>
              <w:top w:val="nil"/>
              <w:left w:val="nil"/>
              <w:bottom w:val="single" w:color="auto" w:sz="4" w:space="0"/>
              <w:right w:val="single" w:color="000000" w:sz="8" w:space="0"/>
            </w:tcBorders>
            <w:shd w:val="clear" w:color="auto" w:fill="auto"/>
            <w:vAlign w:val="center"/>
          </w:tcPr>
          <w:p w14:paraId="290365A1">
            <w:pPr>
              <w:widowControl/>
              <w:jc w:val="center"/>
              <w:textAlignment w:val="center"/>
              <w:rPr>
                <w:rFonts w:ascii="方正仿宋_GBK" w:hAnsi="仿宋" w:eastAsia="方正仿宋_GBK" w:cs="仿宋"/>
                <w:color w:val="000000"/>
                <w:sz w:val="24"/>
              </w:rPr>
            </w:pPr>
            <w:r>
              <w:rPr>
                <w:rFonts w:hint="eastAsia" w:ascii="方正仿宋_GBK" w:hAnsi="仿宋" w:eastAsia="方正仿宋_GBK" w:cs="仿宋"/>
                <w:color w:val="000000"/>
                <w:sz w:val="24"/>
              </w:rPr>
              <w:t>次</w:t>
            </w:r>
          </w:p>
        </w:tc>
        <w:tc>
          <w:tcPr>
            <w:tcW w:w="1388" w:type="dxa"/>
            <w:tcBorders>
              <w:top w:val="nil"/>
              <w:left w:val="nil"/>
              <w:bottom w:val="single" w:color="auto" w:sz="4" w:space="0"/>
              <w:right w:val="single" w:color="000000" w:sz="8" w:space="0"/>
            </w:tcBorders>
            <w:shd w:val="clear" w:color="auto" w:fill="auto"/>
            <w:vAlign w:val="center"/>
          </w:tcPr>
          <w:p w14:paraId="304D8391">
            <w:pPr>
              <w:widowControl/>
              <w:jc w:val="center"/>
              <w:textAlignment w:val="center"/>
              <w:rPr>
                <w:rFonts w:ascii="方正仿宋_GBK" w:hAnsi="仿宋" w:eastAsia="方正仿宋_GBK" w:cs="仿宋"/>
                <w:sz w:val="24"/>
              </w:rPr>
            </w:pPr>
          </w:p>
        </w:tc>
        <w:tc>
          <w:tcPr>
            <w:tcW w:w="1726" w:type="dxa"/>
            <w:tcBorders>
              <w:top w:val="nil"/>
              <w:left w:val="nil"/>
              <w:bottom w:val="single" w:color="auto" w:sz="4" w:space="0"/>
              <w:right w:val="single" w:color="000000" w:sz="8" w:space="0"/>
            </w:tcBorders>
            <w:shd w:val="clear" w:color="auto" w:fill="auto"/>
            <w:vAlign w:val="center"/>
          </w:tcPr>
          <w:p w14:paraId="0413511A">
            <w:pPr>
              <w:widowControl/>
              <w:jc w:val="center"/>
              <w:textAlignment w:val="center"/>
              <w:rPr>
                <w:rFonts w:ascii="方正仿宋_GBK" w:hAnsi="仿宋" w:eastAsia="方正仿宋_GBK" w:cs="仿宋"/>
                <w:sz w:val="24"/>
              </w:rPr>
            </w:pPr>
          </w:p>
        </w:tc>
        <w:tc>
          <w:tcPr>
            <w:tcW w:w="1191" w:type="dxa"/>
            <w:tcBorders>
              <w:top w:val="nil"/>
              <w:left w:val="nil"/>
              <w:bottom w:val="single" w:color="auto" w:sz="4" w:space="0"/>
              <w:right w:val="single" w:color="auto" w:sz="4" w:space="0"/>
            </w:tcBorders>
            <w:shd w:val="clear" w:color="auto" w:fill="auto"/>
            <w:vAlign w:val="center"/>
          </w:tcPr>
          <w:p w14:paraId="10E91EE7">
            <w:pPr>
              <w:widowControl/>
              <w:jc w:val="center"/>
              <w:textAlignment w:val="center"/>
              <w:rPr>
                <w:rFonts w:ascii="仿宋" w:hAnsi="仿宋" w:eastAsia="仿宋" w:cs="仿宋"/>
                <w:sz w:val="24"/>
              </w:rPr>
            </w:pPr>
          </w:p>
        </w:tc>
      </w:tr>
    </w:tbl>
    <w:p w14:paraId="7132D9B5">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sz w:val="28"/>
          <w:szCs w:val="28"/>
          <w:lang w:val="en-US" w:eastAsia="zh-CN"/>
        </w:rPr>
        <w:t>1.</w:t>
      </w:r>
      <w:r>
        <w:rPr>
          <w:rFonts w:hint="eastAsia" w:ascii="宋体" w:hAnsi="宋体" w:eastAsia="宋体" w:cs="宋体"/>
          <w:color w:val="FF0000"/>
          <w:sz w:val="24"/>
          <w:szCs w:val="24"/>
          <w:shd w:val="clear" w:color="auto" w:fill="auto"/>
          <w:lang w:eastAsia="zh-CN"/>
        </w:rPr>
        <w:t>参选报价为包干价，包含服务费、材料费、保险费、税费等各项费用。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6EBBEDFD">
      <w:pPr>
        <w:outlineLvl w:val="0"/>
        <w:rPr>
          <w:rFonts w:hint="eastAsia" w:ascii="宋体" w:hAnsi="宋体" w:eastAsia="宋体" w:cs="宋体"/>
          <w:b/>
          <w:color w:val="000000" w:themeColor="text1"/>
          <w:shd w:val="clear" w:color="auto" w:fill="auto"/>
          <w14:textFill>
            <w14:solidFill>
              <w14:schemeClr w14:val="tx1"/>
            </w14:solidFill>
          </w14:textFill>
        </w:rPr>
      </w:pPr>
    </w:p>
    <w:p w14:paraId="543A0EF7">
      <w:pPr>
        <w:outlineLvl w:val="0"/>
        <w:rPr>
          <w:rFonts w:hint="eastAsia" w:ascii="宋体" w:hAnsi="宋体" w:eastAsia="宋体" w:cs="宋体"/>
          <w:b/>
          <w:color w:val="000000" w:themeColor="text1"/>
          <w:shd w:val="clear" w:color="auto" w:fill="auto"/>
          <w14:textFill>
            <w14:solidFill>
              <w14:schemeClr w14:val="tx1"/>
            </w14:solidFill>
          </w14:textFill>
        </w:rPr>
      </w:pPr>
    </w:p>
    <w:p w14:paraId="7BDDF4D6">
      <w:pPr>
        <w:outlineLvl w:val="0"/>
        <w:rPr>
          <w:rFonts w:hint="eastAsia" w:ascii="宋体" w:hAnsi="宋体" w:eastAsia="宋体" w:cs="宋体"/>
          <w:b/>
          <w:color w:val="000000" w:themeColor="text1"/>
          <w:shd w:val="clear" w:color="auto" w:fill="auto"/>
          <w14:textFill>
            <w14:solidFill>
              <w14:schemeClr w14:val="tx1"/>
            </w14:solidFill>
          </w14:textFill>
        </w:rPr>
      </w:pPr>
    </w:p>
    <w:p w14:paraId="33A3B8A1">
      <w:pPr>
        <w:outlineLvl w:val="0"/>
        <w:rPr>
          <w:rFonts w:hint="eastAsia" w:ascii="宋体" w:hAnsi="宋体" w:eastAsia="宋体" w:cs="宋体"/>
          <w:b/>
          <w:color w:val="000000" w:themeColor="text1"/>
          <w:shd w:val="clear" w:color="auto" w:fill="auto"/>
          <w14:textFill>
            <w14:solidFill>
              <w14:schemeClr w14:val="tx1"/>
            </w14:solidFill>
          </w14:textFill>
        </w:rPr>
      </w:pPr>
    </w:p>
    <w:p w14:paraId="06CDD01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91" w:name="_GoBack"/>
      <w:bookmarkEnd w:id="191"/>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313008358"/>
      <w:bookmarkStart w:id="170" w:name="_Toc342913421"/>
      <w:bookmarkStart w:id="171" w:name="_Toc485108798"/>
      <w:bookmarkStart w:id="172" w:name="_Toc313888362"/>
      <w:bookmarkStart w:id="173" w:name="_Toc480979020"/>
      <w:bookmarkStart w:id="174"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03BDB3-8E7B-407B-813F-E15855D6F4A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DB2772D7-8A7C-469E-97E2-B644A7431112}"/>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DD528677-37BF-433E-8ABF-47F11F1DA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6D4DAA"/>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935565"/>
    <w:rsid w:val="17E52B34"/>
    <w:rsid w:val="18130842"/>
    <w:rsid w:val="18465822"/>
    <w:rsid w:val="18675712"/>
    <w:rsid w:val="188B43F5"/>
    <w:rsid w:val="18E50010"/>
    <w:rsid w:val="18F71640"/>
    <w:rsid w:val="19394057"/>
    <w:rsid w:val="199C2358"/>
    <w:rsid w:val="19B7492C"/>
    <w:rsid w:val="19F908B3"/>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645A8"/>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1F1152"/>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11953</Words>
  <Characters>12232</Characters>
  <Lines>182</Lines>
  <Paragraphs>51</Paragraphs>
  <TotalTime>6</TotalTime>
  <ScaleCrop>false</ScaleCrop>
  <LinksUpToDate>false</LinksUpToDate>
  <CharactersWithSpaces>13270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2025-09-26T08:38:34Z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