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2025FW112</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有害生物防治服务（兴龙湖院区）</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6921"/>
      <w:bookmarkStart w:id="2" w:name="_Toc485108766"/>
      <w:bookmarkStart w:id="3" w:name="_Toc12789052"/>
      <w:bookmarkStart w:id="4" w:name="_Toc11641050"/>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有害生物防治服务（兴龙湖院区）</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313893526"/>
      <w:bookmarkStart w:id="10" w:name="_Toc485108767"/>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有害生物防治服务（兴龙湖院区）</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服务期：2025年10月-2028年4月18日，具体服务开始时间以采购方电话通知为准</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：医院自筹,常规防治项目预算为113400元。隐翅虫和红火蚁费用不包含在项目预算内，费用按实际产生据实结算。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w:t>
      </w:r>
      <w:bookmarkStart w:id="189" w:name="_GoBack"/>
      <w:bookmarkEnd w:id="189"/>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参选报价</w:t>
      </w:r>
      <w:r>
        <w:rPr>
          <w:rFonts w:hint="eastAsia" w:ascii="宋体" w:hAnsi="宋体" w:eastAsia="宋体" w:cs="宋体"/>
          <w:color w:val="FF0000"/>
          <w:sz w:val="24"/>
          <w:szCs w:val="24"/>
          <w:shd w:val="clear" w:color="auto" w:fill="auto"/>
        </w:rPr>
        <w:t>为包干价，包含但不限于服务费、保险费、药剂费等所有费用</w:t>
      </w:r>
      <w:r>
        <w:rPr>
          <w:rFonts w:hint="eastAsia" w:ascii="宋体" w:hAnsi="宋体" w:eastAsia="宋体" w:cs="宋体"/>
          <w:color w:val="FF0000"/>
          <w:sz w:val="24"/>
          <w:szCs w:val="24"/>
          <w:shd w:val="clear" w:color="auto" w:fill="auto"/>
          <w:lang w:eastAsia="zh-CN"/>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8"/>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342913393"/>
      <w:bookmarkStart w:id="43" w:name="_Toc403569780"/>
      <w:bookmarkStart w:id="44" w:name="_Toc179714298"/>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80C885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74" w:name="_Toc4364"/>
      <w:bookmarkStart w:id="75" w:name="_Toc17014"/>
      <w:r>
        <w:rPr>
          <w:rFonts w:hint="eastAsia" w:ascii="宋体" w:hAnsi="宋体" w:eastAsia="宋体" w:cs="宋体"/>
          <w:color w:val="FF0000"/>
          <w:sz w:val="24"/>
          <w:szCs w:val="24"/>
          <w:shd w:val="clear" w:color="auto" w:fill="auto"/>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服务区域：兴龙湖院区</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5B6B7B0">
      <w:pPr>
        <w:spacing w:line="580" w:lineRule="exact"/>
        <w:ind w:firstLine="480" w:firstLineChars="200"/>
        <w:rPr>
          <w:rFonts w:ascii="Times New Roman" w:hAnsi="Times New Roman" w:eastAsia="方正仿宋_GBK"/>
          <w:color w:val="FF0000"/>
          <w:sz w:val="28"/>
          <w:szCs w:val="28"/>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服务内容：灭鼠、灭蚂蚁、灭蟑螂、灭蚊蝇。</w:t>
      </w:r>
      <w:r>
        <w:rPr>
          <w:rFonts w:hint="eastAsia" w:ascii="宋体" w:hAnsi="宋体" w:eastAsia="宋体" w:cs="宋体"/>
          <w:color w:val="FF0000"/>
          <w:sz w:val="24"/>
          <w:szCs w:val="24"/>
          <w:shd w:val="clear" w:color="auto" w:fill="auto"/>
        </w:rPr>
        <w:t>特殊防治内容包含隐翅虫、红火蚁。</w:t>
      </w:r>
    </w:p>
    <w:p w14:paraId="6B655B3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9F9665C">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按照国家相关要求，进行老鼠、蟑螂、蚂蚁（不含红火蚁）、蚊子、苍蝇等有害生物的防治。</w:t>
      </w:r>
    </w:p>
    <w:p w14:paraId="5BB5AD4E">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提供药剂生产商出具证明，保证药品为正规厂家生产。投标人所选用药品的有效成分、含量和剂型必须符合各类场所的用药要求。杜绝使用来源不明无“三证”或质量不稳定的卫生杀虫剂，确保灭效和人畜等各项安全，符合环保的有关要求。投标人必须提供主要药品厂商的有效“三证”（即：农药登记证、农药生产许可证书、技术监督部门备案的企业标准）复印件（加盖生产企业鲜章）和厂家出具的药物质量保证书，未提供或提供不全的其投标无效。</w:t>
      </w:r>
    </w:p>
    <w:p w14:paraId="359E1AF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常规药剂要求。</w:t>
      </w:r>
    </w:p>
    <w:p w14:paraId="3C6C17E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（1）灭鼠：溴敌隆，有效成份：≥0.005%溴敌隆，剂型：毒饵。 </w:t>
      </w:r>
    </w:p>
    <w:p w14:paraId="2D9B505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（2）灭蚊、蝇：氯菊烯丙菊，有效成份：≥15%氯菊酯•S-生物烯丙菊酯，剂型：水乳剂。 </w:t>
      </w:r>
    </w:p>
    <w:p w14:paraId="72A18AD4">
      <w:pPr>
        <w:spacing w:line="594"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FF0000"/>
          <w:sz w:val="24"/>
          <w:szCs w:val="24"/>
          <w:shd w:val="clear" w:color="auto" w:fill="auto"/>
        </w:rPr>
        <w:t>（3）灭蟑螂：顺式氯氰菊酯，有效成分：≥8%顺式氯氰菊酯（含复配制剂），剂型：可湿性粉剂。</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108C1F47">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6、制定相应的操作规程和应急预案。在服务过程中，严格执行操作规程，不能造成采购方物品及设备的腐蚀和损坏。如有损坏照价赔偿。若造成伤人或中毒事故，由服务方承担法律责任及全额赔偿。</w:t>
      </w:r>
    </w:p>
    <w:p w14:paraId="7E915A44">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7、在合同期内防治效果未达到爱国卫生规定标准由服务方负责，增加的杀虫、灭鼠等费用由乙方承担，直至达到规定标准。</w:t>
      </w:r>
    </w:p>
    <w:p w14:paraId="2D213BB5">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服务方工作人员必须严格遵守采购方的规章制度，做到安全操作、文明施工。在履行本合同过程中发生的包括但不限于服务方人员工伤或人身损害，造成采购方或第三人身损害或财产损失等事故均由服务方自行解决，并由服务方自行承担所有的经济责任和法律责任。</w:t>
      </w:r>
    </w:p>
    <w:p w14:paraId="16A7ED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9、服务方须指派专业人员开展相关工作，各项工作须严格按照相关操作规程开展，做好工作记录；每季度提供虫、鼠密度监测报告给采购方。</w:t>
      </w:r>
    </w:p>
    <w:p w14:paraId="09F0A70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10、服务方在接到服务需求时，须在2小时内作出反应（含节假日），积极有效地解决问题。</w:t>
      </w:r>
    </w:p>
    <w:p w14:paraId="74A1F7A3">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11、按照病媒生物繁殖规律制定年度防治计划。服务方须每月开展2次全院巡查防治工作。如遇特殊防疫需求时，服务方须根据采购方要求每周开展1次全面巡查防治工作。每次完成相关工作后由采购方签字确认，防治过程中如发现问题应立即进行处置。</w:t>
      </w:r>
    </w:p>
    <w:p w14:paraId="2FDDA82F">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12、采购方有临时需要或其它特殊情况时，服务方须在接到采购方电话通知后1小时内上门处置，每次完成处置后由采购方相关部门签字确认。 </w:t>
      </w:r>
    </w:p>
    <w:p w14:paraId="3066B5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0FC90C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6206F6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06991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8FC125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CB8A93">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2709F6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D3E6AE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C5650F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586C2DC">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C0B15C">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1、服务期：2025年10月-2028年4月18日，具体服务开始时间以采购方电话通知为准。</w:t>
      </w:r>
    </w:p>
    <w:p w14:paraId="76C079D4">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2、付款方式：合同签订后，在服务方按时完成各项防治工作及无其它违约情况下，每半年向服务方转账支付一次服务费用，服务费根据服务区域据实结算。服务方提供的合法发票经采购方审核无误后60日内付款。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ascii="黑体" w:hAnsi="黑体" w:eastAsia="黑体"/>
          <w:sz w:val="32"/>
          <w:szCs w:val="32"/>
        </w:rPr>
        <w:t>报 价 表</w:t>
      </w:r>
    </w:p>
    <w:tbl>
      <w:tblPr>
        <w:tblStyle w:val="59"/>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401"/>
        <w:gridCol w:w="1843"/>
        <w:gridCol w:w="2698"/>
      </w:tblGrid>
      <w:tr w14:paraId="3F1C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76" w:type="dxa"/>
            <w:shd w:val="clear" w:color="auto" w:fill="auto"/>
            <w:noWrap w:val="0"/>
            <w:vAlign w:val="center"/>
          </w:tcPr>
          <w:p w14:paraId="09B0EAD4">
            <w:pPr>
              <w:jc w:val="center"/>
              <w:rPr>
                <w:rFonts w:hint="eastAsia"/>
                <w:b/>
                <w:sz w:val="24"/>
              </w:rPr>
            </w:pPr>
            <w:r>
              <w:rPr>
                <w:rFonts w:hint="eastAsia"/>
                <w:b/>
                <w:sz w:val="24"/>
              </w:rPr>
              <w:t>序号</w:t>
            </w:r>
          </w:p>
        </w:tc>
        <w:tc>
          <w:tcPr>
            <w:tcW w:w="2401" w:type="dxa"/>
            <w:shd w:val="clear" w:color="auto" w:fill="auto"/>
            <w:noWrap w:val="0"/>
            <w:vAlign w:val="center"/>
          </w:tcPr>
          <w:p w14:paraId="1E94C8A2">
            <w:pPr>
              <w:jc w:val="center"/>
              <w:rPr>
                <w:rFonts w:hint="eastAsia"/>
                <w:b/>
                <w:sz w:val="24"/>
              </w:rPr>
            </w:pPr>
            <w:r>
              <w:rPr>
                <w:rFonts w:hint="eastAsia"/>
                <w:b/>
                <w:sz w:val="24"/>
              </w:rPr>
              <w:t>服务区域</w:t>
            </w:r>
          </w:p>
        </w:tc>
        <w:tc>
          <w:tcPr>
            <w:tcW w:w="1843" w:type="dxa"/>
            <w:shd w:val="clear" w:color="auto" w:fill="auto"/>
            <w:noWrap w:val="0"/>
            <w:vAlign w:val="center"/>
          </w:tcPr>
          <w:p w14:paraId="6E7F8C40">
            <w:pPr>
              <w:jc w:val="center"/>
              <w:rPr>
                <w:rFonts w:hint="eastAsia"/>
                <w:b/>
                <w:sz w:val="24"/>
              </w:rPr>
            </w:pPr>
            <w:r>
              <w:rPr>
                <w:rFonts w:hint="eastAsia"/>
                <w:b/>
                <w:sz w:val="24"/>
              </w:rPr>
              <w:t>服务费（元/月）</w:t>
            </w:r>
          </w:p>
        </w:tc>
        <w:tc>
          <w:tcPr>
            <w:tcW w:w="2698" w:type="dxa"/>
            <w:shd w:val="clear" w:color="auto" w:fill="auto"/>
            <w:noWrap w:val="0"/>
            <w:vAlign w:val="center"/>
          </w:tcPr>
          <w:p w14:paraId="2AC93003">
            <w:pPr>
              <w:jc w:val="center"/>
              <w:rPr>
                <w:rFonts w:hint="eastAsia"/>
                <w:b/>
                <w:sz w:val="24"/>
              </w:rPr>
            </w:pPr>
            <w:r>
              <w:rPr>
                <w:rFonts w:hint="eastAsia"/>
                <w:b/>
                <w:sz w:val="24"/>
              </w:rPr>
              <w:t>备注</w:t>
            </w:r>
          </w:p>
        </w:tc>
      </w:tr>
      <w:tr w14:paraId="434D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76" w:type="dxa"/>
            <w:shd w:val="clear" w:color="auto" w:fill="auto"/>
            <w:noWrap w:val="0"/>
            <w:vAlign w:val="center"/>
          </w:tcPr>
          <w:p w14:paraId="57B2FFA7">
            <w:pPr>
              <w:jc w:val="center"/>
              <w:rPr>
                <w:rFonts w:hint="eastAsia"/>
                <w:sz w:val="24"/>
              </w:rPr>
            </w:pPr>
            <w:r>
              <w:rPr>
                <w:rFonts w:hint="eastAsia"/>
                <w:sz w:val="24"/>
              </w:rPr>
              <w:t>1</w:t>
            </w:r>
          </w:p>
        </w:tc>
        <w:tc>
          <w:tcPr>
            <w:tcW w:w="2401" w:type="dxa"/>
            <w:shd w:val="clear" w:color="auto" w:fill="auto"/>
            <w:noWrap w:val="0"/>
            <w:vAlign w:val="center"/>
          </w:tcPr>
          <w:p w14:paraId="6F3C9564">
            <w:pPr>
              <w:jc w:val="center"/>
              <w:rPr>
                <w:rFonts w:hint="eastAsia"/>
                <w:sz w:val="24"/>
              </w:rPr>
            </w:pPr>
            <w:r>
              <w:rPr>
                <w:rFonts w:hint="eastAsia"/>
                <w:sz w:val="24"/>
              </w:rPr>
              <w:t>门诊综合楼</w:t>
            </w:r>
          </w:p>
        </w:tc>
        <w:tc>
          <w:tcPr>
            <w:tcW w:w="1843" w:type="dxa"/>
            <w:shd w:val="clear" w:color="auto" w:fill="auto"/>
            <w:noWrap w:val="0"/>
            <w:vAlign w:val="center"/>
          </w:tcPr>
          <w:p w14:paraId="40715005">
            <w:pPr>
              <w:jc w:val="center"/>
              <w:rPr>
                <w:rFonts w:hint="eastAsia"/>
                <w:sz w:val="24"/>
              </w:rPr>
            </w:pPr>
          </w:p>
        </w:tc>
        <w:tc>
          <w:tcPr>
            <w:tcW w:w="2698" w:type="dxa"/>
            <w:shd w:val="clear" w:color="auto" w:fill="auto"/>
            <w:noWrap w:val="0"/>
            <w:vAlign w:val="center"/>
          </w:tcPr>
          <w:p w14:paraId="5FDF93B1">
            <w:pPr>
              <w:rPr>
                <w:rFonts w:hint="eastAsia"/>
                <w:sz w:val="24"/>
              </w:rPr>
            </w:pPr>
            <w:r>
              <w:rPr>
                <w:rFonts w:hint="eastAsia"/>
                <w:sz w:val="24"/>
              </w:rPr>
              <w:t>面积约140000平方米</w:t>
            </w:r>
          </w:p>
        </w:tc>
      </w:tr>
      <w:tr w14:paraId="6902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76" w:type="dxa"/>
            <w:shd w:val="clear" w:color="auto" w:fill="auto"/>
            <w:noWrap w:val="0"/>
            <w:vAlign w:val="center"/>
          </w:tcPr>
          <w:p w14:paraId="3EAEDE9C">
            <w:pPr>
              <w:jc w:val="center"/>
              <w:rPr>
                <w:rFonts w:hint="eastAsia"/>
                <w:sz w:val="24"/>
              </w:rPr>
            </w:pPr>
            <w:r>
              <w:rPr>
                <w:rFonts w:hint="eastAsia"/>
                <w:sz w:val="24"/>
              </w:rPr>
              <w:t>2</w:t>
            </w:r>
          </w:p>
        </w:tc>
        <w:tc>
          <w:tcPr>
            <w:tcW w:w="2401" w:type="dxa"/>
            <w:shd w:val="clear" w:color="auto" w:fill="auto"/>
            <w:noWrap w:val="0"/>
            <w:vAlign w:val="center"/>
          </w:tcPr>
          <w:p w14:paraId="00625171">
            <w:pPr>
              <w:jc w:val="center"/>
              <w:rPr>
                <w:rFonts w:hint="eastAsia"/>
                <w:sz w:val="24"/>
              </w:rPr>
            </w:pPr>
            <w:r>
              <w:rPr>
                <w:rFonts w:hint="eastAsia"/>
                <w:sz w:val="24"/>
              </w:rPr>
              <w:t>全科楼</w:t>
            </w:r>
          </w:p>
        </w:tc>
        <w:tc>
          <w:tcPr>
            <w:tcW w:w="1843" w:type="dxa"/>
            <w:shd w:val="clear" w:color="auto" w:fill="auto"/>
            <w:noWrap w:val="0"/>
            <w:vAlign w:val="center"/>
          </w:tcPr>
          <w:p w14:paraId="03C34ADB">
            <w:pPr>
              <w:jc w:val="center"/>
              <w:rPr>
                <w:rFonts w:hint="eastAsia"/>
                <w:sz w:val="24"/>
              </w:rPr>
            </w:pPr>
          </w:p>
        </w:tc>
        <w:tc>
          <w:tcPr>
            <w:tcW w:w="2698" w:type="dxa"/>
            <w:shd w:val="clear" w:color="auto" w:fill="auto"/>
            <w:noWrap w:val="0"/>
            <w:vAlign w:val="center"/>
          </w:tcPr>
          <w:p w14:paraId="764A9E71">
            <w:pPr>
              <w:rPr>
                <w:rFonts w:hint="eastAsia"/>
                <w:sz w:val="24"/>
              </w:rPr>
            </w:pPr>
            <w:r>
              <w:rPr>
                <w:rFonts w:hint="eastAsia"/>
                <w:sz w:val="24"/>
              </w:rPr>
              <w:t>面积约30000平方米</w:t>
            </w:r>
          </w:p>
        </w:tc>
      </w:tr>
      <w:tr w14:paraId="6795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76" w:type="dxa"/>
            <w:shd w:val="clear" w:color="auto" w:fill="auto"/>
            <w:noWrap w:val="0"/>
            <w:vAlign w:val="center"/>
          </w:tcPr>
          <w:p w14:paraId="2BB127F4">
            <w:pPr>
              <w:jc w:val="center"/>
              <w:rPr>
                <w:rFonts w:hint="eastAsia"/>
                <w:sz w:val="24"/>
              </w:rPr>
            </w:pPr>
            <w:r>
              <w:rPr>
                <w:rFonts w:hint="eastAsia"/>
                <w:sz w:val="24"/>
              </w:rPr>
              <w:t>3</w:t>
            </w:r>
          </w:p>
        </w:tc>
        <w:tc>
          <w:tcPr>
            <w:tcW w:w="2401" w:type="dxa"/>
            <w:shd w:val="clear" w:color="auto" w:fill="auto"/>
            <w:noWrap w:val="0"/>
            <w:vAlign w:val="center"/>
          </w:tcPr>
          <w:p w14:paraId="5A344B99">
            <w:pPr>
              <w:jc w:val="center"/>
              <w:rPr>
                <w:rFonts w:hint="eastAsia"/>
                <w:sz w:val="24"/>
              </w:rPr>
            </w:pPr>
            <w:r>
              <w:rPr>
                <w:rFonts w:hint="eastAsia"/>
                <w:sz w:val="24"/>
              </w:rPr>
              <w:t>教学部</w:t>
            </w:r>
          </w:p>
        </w:tc>
        <w:tc>
          <w:tcPr>
            <w:tcW w:w="1843" w:type="dxa"/>
            <w:shd w:val="clear" w:color="auto" w:fill="auto"/>
            <w:noWrap w:val="0"/>
            <w:vAlign w:val="center"/>
          </w:tcPr>
          <w:p w14:paraId="03F183CC">
            <w:pPr>
              <w:jc w:val="center"/>
              <w:rPr>
                <w:rFonts w:hint="eastAsia"/>
                <w:sz w:val="24"/>
              </w:rPr>
            </w:pPr>
          </w:p>
        </w:tc>
        <w:tc>
          <w:tcPr>
            <w:tcW w:w="2698" w:type="dxa"/>
            <w:shd w:val="clear" w:color="auto" w:fill="auto"/>
            <w:noWrap w:val="0"/>
            <w:vAlign w:val="center"/>
          </w:tcPr>
          <w:p w14:paraId="346D8E61">
            <w:pPr>
              <w:rPr>
                <w:rFonts w:hint="eastAsia"/>
                <w:sz w:val="24"/>
              </w:rPr>
            </w:pPr>
            <w:r>
              <w:rPr>
                <w:rFonts w:hint="eastAsia"/>
                <w:sz w:val="24"/>
              </w:rPr>
              <w:t>面积约40000平方米</w:t>
            </w:r>
          </w:p>
        </w:tc>
      </w:tr>
      <w:tr w14:paraId="3915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677" w:type="dxa"/>
            <w:gridSpan w:val="2"/>
            <w:shd w:val="clear" w:color="auto" w:fill="auto"/>
            <w:noWrap w:val="0"/>
            <w:vAlign w:val="center"/>
          </w:tcPr>
          <w:p w14:paraId="26724736">
            <w:pPr>
              <w:jc w:val="center"/>
              <w:rPr>
                <w:rFonts w:hint="eastAsia" w:eastAsiaTheme="minorEastAsia"/>
                <w:sz w:val="24"/>
                <w:lang w:eastAsia="zh-CN"/>
              </w:rPr>
            </w:pPr>
            <w:r>
              <w:rPr>
                <w:rFonts w:hint="eastAsia"/>
                <w:sz w:val="24"/>
                <w:lang w:eastAsia="zh-CN"/>
              </w:rPr>
              <w:t>总价（元/月）：</w:t>
            </w:r>
          </w:p>
        </w:tc>
        <w:tc>
          <w:tcPr>
            <w:tcW w:w="4541" w:type="dxa"/>
            <w:gridSpan w:val="2"/>
            <w:shd w:val="clear" w:color="auto" w:fill="auto"/>
            <w:noWrap w:val="0"/>
            <w:vAlign w:val="center"/>
          </w:tcPr>
          <w:p w14:paraId="6CFFFADE">
            <w:pPr>
              <w:rPr>
                <w:rFonts w:hint="eastAsia"/>
                <w:sz w:val="24"/>
              </w:rPr>
            </w:pPr>
          </w:p>
        </w:tc>
      </w:tr>
    </w:tbl>
    <w:p w14:paraId="56270F8C">
      <w:pPr>
        <w:spacing w:line="360" w:lineRule="auto"/>
        <w:rPr>
          <w:rFonts w:hint="eastAsia" w:ascii="宋体" w:hAnsi="宋体"/>
          <w:sz w:val="28"/>
          <w:szCs w:val="28"/>
        </w:rPr>
      </w:pPr>
    </w:p>
    <w:p w14:paraId="46420D74">
      <w:pPr>
        <w:spacing w:line="400" w:lineRule="exact"/>
        <w:ind w:firstLine="560" w:firstLineChars="200"/>
        <w:rPr>
          <w:rFonts w:hint="eastAsia" w:ascii="仿宋" w:hAnsi="仿宋" w:eastAsia="仿宋"/>
          <w:b/>
          <w:bCs/>
          <w:sz w:val="32"/>
          <w:szCs w:val="32"/>
        </w:rPr>
      </w:pPr>
      <w:r>
        <w:rPr>
          <w:rFonts w:hint="eastAsia" w:ascii="宋体" w:hAnsi="宋体"/>
          <w:sz w:val="28"/>
          <w:szCs w:val="28"/>
        </w:rPr>
        <w:t>备注：</w:t>
      </w:r>
      <w:r>
        <w:rPr>
          <w:rFonts w:hint="eastAsia" w:ascii="宋体" w:hAnsi="宋体" w:eastAsia="宋体" w:cs="宋体"/>
          <w:color w:val="FF0000"/>
          <w:sz w:val="24"/>
          <w:szCs w:val="24"/>
          <w:shd w:val="clear" w:color="auto" w:fill="auto"/>
          <w:lang w:eastAsia="zh-CN"/>
        </w:rPr>
        <w:t>参选报价</w:t>
      </w:r>
      <w:r>
        <w:rPr>
          <w:rFonts w:hint="eastAsia" w:ascii="宋体" w:hAnsi="宋体" w:eastAsia="宋体" w:cs="宋体"/>
          <w:color w:val="FF0000"/>
          <w:sz w:val="24"/>
          <w:szCs w:val="24"/>
          <w:shd w:val="clear" w:color="auto" w:fill="auto"/>
        </w:rPr>
        <w:t>为包干价，包含但不限于服务费、保险费、药剂费等所有费用</w:t>
      </w:r>
      <w:r>
        <w:rPr>
          <w:rFonts w:hint="eastAsia" w:ascii="宋体" w:hAnsi="宋体" w:eastAsia="宋体" w:cs="宋体"/>
          <w:color w:val="FF0000"/>
          <w:sz w:val="24"/>
          <w:szCs w:val="24"/>
          <w:shd w:val="clear" w:color="auto" w:fill="auto"/>
          <w:lang w:eastAsia="zh-CN"/>
        </w:rPr>
        <w:t>。</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4B4E674E">
      <w:pPr>
        <w:tabs>
          <w:tab w:val="left" w:pos="1134"/>
        </w:tabs>
        <w:jc w:val="center"/>
        <w:rPr>
          <w:rFonts w:hint="eastAsia" w:ascii="黑体" w:hAnsi="黑体" w:eastAsia="黑体"/>
          <w:sz w:val="32"/>
          <w:szCs w:val="32"/>
          <w:lang w:val="en-US" w:eastAsia="zh-CN"/>
        </w:rPr>
      </w:pPr>
    </w:p>
    <w:p w14:paraId="43CCCDE4">
      <w:pPr>
        <w:tabs>
          <w:tab w:val="left" w:pos="1134"/>
        </w:tabs>
        <w:jc w:val="center"/>
        <w:rPr>
          <w:rFonts w:hint="eastAsia" w:ascii="黑体" w:hAnsi="黑体" w:eastAsia="黑体"/>
          <w:sz w:val="32"/>
          <w:szCs w:val="32"/>
          <w:lang w:val="en-US" w:eastAsia="zh-CN"/>
        </w:rPr>
      </w:pPr>
    </w:p>
    <w:p w14:paraId="2060F795">
      <w:pPr>
        <w:tabs>
          <w:tab w:val="left" w:pos="1134"/>
        </w:tabs>
        <w:jc w:val="center"/>
        <w:rPr>
          <w:rFonts w:hint="eastAsia" w:ascii="黑体" w:hAnsi="黑体" w:eastAsia="黑体"/>
          <w:sz w:val="32"/>
          <w:szCs w:val="32"/>
          <w:lang w:val="en-US" w:eastAsia="zh-CN"/>
        </w:rPr>
      </w:pPr>
    </w:p>
    <w:p w14:paraId="19C1C5A2">
      <w:pPr>
        <w:tabs>
          <w:tab w:val="left" w:pos="1134"/>
        </w:tabs>
        <w:jc w:val="center"/>
        <w:rPr>
          <w:rFonts w:hint="eastAsia" w:ascii="黑体" w:hAnsi="黑体" w:eastAsia="黑体"/>
          <w:sz w:val="32"/>
          <w:szCs w:val="32"/>
          <w:lang w:val="en-US" w:eastAsia="zh-CN"/>
        </w:rPr>
      </w:pPr>
    </w:p>
    <w:p w14:paraId="2FB87830">
      <w:pPr>
        <w:tabs>
          <w:tab w:val="left" w:pos="1134"/>
        </w:tabs>
        <w:jc w:val="center"/>
        <w:rPr>
          <w:rFonts w:hint="eastAsia" w:ascii="黑体" w:hAnsi="黑体" w:eastAsia="黑体"/>
          <w:sz w:val="32"/>
          <w:szCs w:val="32"/>
          <w:lang w:val="en-US" w:eastAsia="zh-CN"/>
        </w:rPr>
      </w:pPr>
    </w:p>
    <w:p w14:paraId="03395C99">
      <w:pPr>
        <w:tabs>
          <w:tab w:val="left" w:pos="1134"/>
        </w:tabs>
        <w:jc w:val="center"/>
        <w:rPr>
          <w:rFonts w:hint="eastAsia" w:ascii="黑体" w:hAnsi="黑体" w:eastAsia="黑体"/>
          <w:sz w:val="32"/>
          <w:szCs w:val="32"/>
          <w:lang w:val="en-US" w:eastAsia="zh-CN"/>
        </w:rPr>
      </w:pPr>
    </w:p>
    <w:p w14:paraId="76B291F7">
      <w:pPr>
        <w:tabs>
          <w:tab w:val="left" w:pos="1134"/>
        </w:tabs>
        <w:jc w:val="center"/>
        <w:rPr>
          <w:rFonts w:hint="eastAsia" w:ascii="黑体" w:hAnsi="黑体" w:eastAsia="黑体"/>
          <w:sz w:val="32"/>
          <w:szCs w:val="32"/>
          <w:lang w:val="en-US" w:eastAsia="zh-CN"/>
        </w:rPr>
      </w:pPr>
    </w:p>
    <w:p w14:paraId="35AB2EAB">
      <w:pPr>
        <w:tabs>
          <w:tab w:val="left" w:pos="1134"/>
        </w:tabs>
        <w:jc w:val="center"/>
        <w:rPr>
          <w:rFonts w:hint="eastAsia" w:ascii="黑体" w:hAnsi="黑体" w:eastAsia="黑体"/>
          <w:sz w:val="32"/>
          <w:szCs w:val="32"/>
          <w:lang w:val="en-US" w:eastAsia="zh-CN"/>
        </w:rPr>
      </w:pPr>
    </w:p>
    <w:p w14:paraId="64ACF1D4">
      <w:pPr>
        <w:tabs>
          <w:tab w:val="left" w:pos="1134"/>
        </w:tabs>
        <w:jc w:val="center"/>
        <w:rPr>
          <w:rFonts w:hint="eastAsia" w:ascii="黑体" w:hAnsi="黑体" w:eastAsia="黑体"/>
          <w:sz w:val="32"/>
          <w:szCs w:val="32"/>
          <w:lang w:val="en-US" w:eastAsia="zh-CN"/>
        </w:rPr>
      </w:pPr>
    </w:p>
    <w:p w14:paraId="7517A06E">
      <w:pPr>
        <w:tabs>
          <w:tab w:val="left" w:pos="1134"/>
        </w:tabs>
        <w:jc w:val="center"/>
        <w:rPr>
          <w:rFonts w:hint="eastAsia" w:ascii="黑体" w:hAnsi="黑体" w:eastAsia="黑体"/>
          <w:sz w:val="32"/>
          <w:szCs w:val="32"/>
          <w:lang w:val="en-US" w:eastAsia="zh-CN"/>
        </w:rPr>
      </w:pPr>
    </w:p>
    <w:p w14:paraId="73CE8C45">
      <w:pPr>
        <w:tabs>
          <w:tab w:val="left" w:pos="1134"/>
        </w:tabs>
        <w:jc w:val="center"/>
        <w:rPr>
          <w:rFonts w:hint="eastAsia" w:ascii="黑体" w:hAnsi="黑体" w:eastAsia="黑体"/>
          <w:sz w:val="32"/>
          <w:szCs w:val="32"/>
          <w:lang w:val="en-US" w:eastAsia="zh-CN"/>
        </w:rPr>
      </w:pPr>
    </w:p>
    <w:p w14:paraId="24ED0ABF">
      <w:pPr>
        <w:tabs>
          <w:tab w:val="left" w:pos="1134"/>
        </w:tabs>
        <w:jc w:val="center"/>
        <w:rPr>
          <w:rFonts w:hint="eastAsia" w:ascii="黑体" w:hAnsi="黑体" w:eastAsia="黑体"/>
          <w:sz w:val="32"/>
          <w:szCs w:val="32"/>
          <w:lang w:val="en-US" w:eastAsia="zh-CN"/>
        </w:rPr>
      </w:pPr>
    </w:p>
    <w:p w14:paraId="5DAC3656">
      <w:pPr>
        <w:tabs>
          <w:tab w:val="left" w:pos="1134"/>
        </w:tabs>
        <w:jc w:val="center"/>
        <w:rPr>
          <w:rFonts w:hint="eastAsia" w:ascii="黑体" w:hAnsi="黑体" w:eastAsia="黑体"/>
          <w:sz w:val="32"/>
          <w:szCs w:val="32"/>
          <w:lang w:val="en-US" w:eastAsia="zh-CN"/>
        </w:rPr>
      </w:pPr>
    </w:p>
    <w:p w14:paraId="66915EA7">
      <w:pPr>
        <w:jc w:val="center"/>
        <w:rPr>
          <w:rFonts w:hint="eastAsia"/>
          <w:sz w:val="24"/>
        </w:rPr>
      </w:pPr>
      <w:r>
        <w:rPr>
          <w:rFonts w:hint="eastAsia"/>
          <w:sz w:val="24"/>
        </w:rPr>
        <w:t>报价表2</w:t>
      </w:r>
    </w:p>
    <w:tbl>
      <w:tblPr>
        <w:tblStyle w:val="59"/>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017"/>
        <w:gridCol w:w="1843"/>
        <w:gridCol w:w="2567"/>
      </w:tblGrid>
      <w:tr w14:paraId="163F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10" w:type="dxa"/>
            <w:shd w:val="clear" w:color="auto" w:fill="auto"/>
            <w:noWrap w:val="0"/>
            <w:vAlign w:val="center"/>
          </w:tcPr>
          <w:p w14:paraId="0FF03645">
            <w:pPr>
              <w:jc w:val="center"/>
              <w:rPr>
                <w:rFonts w:hint="eastAsia"/>
                <w:b/>
                <w:sz w:val="24"/>
              </w:rPr>
            </w:pPr>
            <w:r>
              <w:rPr>
                <w:rFonts w:hint="eastAsia"/>
                <w:b/>
                <w:color w:val="000000" w:themeColor="text1"/>
                <w:sz w:val="24"/>
                <w14:textFill>
                  <w14:solidFill>
                    <w14:schemeClr w14:val="tx1"/>
                  </w14:solidFill>
                </w14:textFill>
              </w:rPr>
              <w:t>序号</w:t>
            </w:r>
          </w:p>
        </w:tc>
        <w:tc>
          <w:tcPr>
            <w:tcW w:w="3017" w:type="dxa"/>
            <w:shd w:val="clear" w:color="auto" w:fill="auto"/>
            <w:noWrap w:val="0"/>
            <w:vAlign w:val="center"/>
          </w:tcPr>
          <w:p w14:paraId="23FC5EF6">
            <w:pPr>
              <w:jc w:val="center"/>
              <w:rPr>
                <w:rFonts w:hint="eastAsia"/>
                <w:b/>
                <w:sz w:val="24"/>
              </w:rPr>
            </w:pPr>
            <w:r>
              <w:rPr>
                <w:rFonts w:hint="eastAsia"/>
                <w:b/>
                <w:color w:val="000000" w:themeColor="text1"/>
                <w:sz w:val="24"/>
                <w14:textFill>
                  <w14:solidFill>
                    <w14:schemeClr w14:val="tx1"/>
                  </w14:solidFill>
                </w14:textFill>
              </w:rPr>
              <w:t>区域/内容</w:t>
            </w:r>
          </w:p>
        </w:tc>
        <w:tc>
          <w:tcPr>
            <w:tcW w:w="1843" w:type="dxa"/>
            <w:shd w:val="clear" w:color="auto" w:fill="auto"/>
            <w:noWrap w:val="0"/>
            <w:vAlign w:val="top"/>
          </w:tcPr>
          <w:p w14:paraId="03DE2E97">
            <w:pPr>
              <w:jc w:val="center"/>
              <w:rPr>
                <w:rFonts w:hint="eastAsia"/>
                <w:b/>
                <w:sz w:val="24"/>
              </w:rPr>
            </w:pPr>
            <w:r>
              <w:rPr>
                <w:b/>
                <w:color w:val="000000" w:themeColor="text1"/>
                <w:sz w:val="24"/>
                <w14:textFill>
                  <w14:solidFill>
                    <w14:schemeClr w14:val="tx1"/>
                  </w14:solidFill>
                </w14:textFill>
              </w:rPr>
              <w:t>项目</w:t>
            </w:r>
          </w:p>
        </w:tc>
        <w:tc>
          <w:tcPr>
            <w:tcW w:w="2567" w:type="dxa"/>
            <w:shd w:val="clear" w:color="auto" w:fill="auto"/>
            <w:noWrap w:val="0"/>
            <w:vAlign w:val="center"/>
          </w:tcPr>
          <w:p w14:paraId="7D117767">
            <w:pPr>
              <w:jc w:val="center"/>
              <w:rPr>
                <w:rFonts w:hint="eastAsia"/>
                <w:b/>
                <w:sz w:val="24"/>
              </w:rPr>
            </w:pPr>
            <w:r>
              <w:rPr>
                <w:rFonts w:hint="eastAsia"/>
                <w:b/>
                <w:color w:val="000000" w:themeColor="text1"/>
                <w:sz w:val="24"/>
                <w14:textFill>
                  <w14:solidFill>
                    <w14:schemeClr w14:val="tx1"/>
                  </w14:solidFill>
                </w14:textFill>
              </w:rPr>
              <w:t>价格（元/次）</w:t>
            </w:r>
          </w:p>
        </w:tc>
      </w:tr>
      <w:tr w14:paraId="1F06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restart"/>
            <w:shd w:val="clear" w:color="auto" w:fill="auto"/>
            <w:noWrap w:val="0"/>
            <w:vAlign w:val="center"/>
          </w:tcPr>
          <w:p w14:paraId="39C4E072">
            <w:pPr>
              <w:jc w:val="center"/>
              <w:rPr>
                <w:rFonts w:hint="eastAsia"/>
                <w:sz w:val="24"/>
              </w:rPr>
            </w:pPr>
            <w:r>
              <w:rPr>
                <w:rFonts w:hint="eastAsia"/>
                <w:color w:val="000000" w:themeColor="text1"/>
                <w:sz w:val="24"/>
                <w14:textFill>
                  <w14:solidFill>
                    <w14:schemeClr w14:val="tx1"/>
                  </w14:solidFill>
                </w14:textFill>
              </w:rPr>
              <w:t>1</w:t>
            </w:r>
          </w:p>
        </w:tc>
        <w:tc>
          <w:tcPr>
            <w:tcW w:w="3017" w:type="dxa"/>
            <w:vMerge w:val="restart"/>
            <w:shd w:val="clear" w:color="auto" w:fill="auto"/>
            <w:noWrap w:val="0"/>
            <w:vAlign w:val="center"/>
          </w:tcPr>
          <w:p w14:paraId="1B3B101E">
            <w:pPr>
              <w:jc w:val="center"/>
              <w:rPr>
                <w:rFonts w:hint="eastAsia"/>
                <w:sz w:val="24"/>
              </w:rPr>
            </w:pPr>
            <w:r>
              <w:rPr>
                <w:rFonts w:hint="eastAsia"/>
                <w:color w:val="000000" w:themeColor="text1"/>
                <w:sz w:val="24"/>
                <w14:textFill>
                  <w14:solidFill>
                    <w14:schemeClr w14:val="tx1"/>
                  </w14:solidFill>
                </w14:textFill>
              </w:rPr>
              <w:t>门诊综合楼</w:t>
            </w:r>
          </w:p>
        </w:tc>
        <w:tc>
          <w:tcPr>
            <w:tcW w:w="1843" w:type="dxa"/>
            <w:shd w:val="clear" w:color="auto" w:fill="auto"/>
            <w:noWrap w:val="0"/>
            <w:vAlign w:val="center"/>
          </w:tcPr>
          <w:p w14:paraId="76C754B7">
            <w:pPr>
              <w:jc w:val="left"/>
              <w:rPr>
                <w:rFonts w:hint="eastAsia"/>
                <w:sz w:val="24"/>
              </w:rPr>
            </w:pPr>
            <w:r>
              <w:rPr>
                <w:rFonts w:hint="eastAsia"/>
                <w:color w:val="000000" w:themeColor="text1"/>
                <w:sz w:val="24"/>
                <w14:textFill>
                  <w14:solidFill>
                    <w14:schemeClr w14:val="tx1"/>
                  </w14:solidFill>
                </w14:textFill>
              </w:rPr>
              <w:t>灭隐翅虫</w:t>
            </w:r>
          </w:p>
        </w:tc>
        <w:tc>
          <w:tcPr>
            <w:tcW w:w="2567" w:type="dxa"/>
            <w:shd w:val="clear" w:color="auto" w:fill="auto"/>
            <w:noWrap w:val="0"/>
            <w:vAlign w:val="center"/>
          </w:tcPr>
          <w:p w14:paraId="198B05E4">
            <w:pPr>
              <w:jc w:val="left"/>
              <w:rPr>
                <w:rFonts w:hint="eastAsia"/>
                <w:sz w:val="24"/>
              </w:rPr>
            </w:pPr>
          </w:p>
        </w:tc>
      </w:tr>
      <w:tr w14:paraId="2410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continue"/>
            <w:shd w:val="clear" w:color="auto" w:fill="auto"/>
            <w:noWrap w:val="0"/>
            <w:vAlign w:val="center"/>
          </w:tcPr>
          <w:p w14:paraId="2C46C102">
            <w:pPr>
              <w:jc w:val="center"/>
              <w:rPr>
                <w:rFonts w:hint="eastAsia"/>
                <w:sz w:val="24"/>
              </w:rPr>
            </w:pPr>
          </w:p>
        </w:tc>
        <w:tc>
          <w:tcPr>
            <w:tcW w:w="3017" w:type="dxa"/>
            <w:vMerge w:val="continue"/>
            <w:shd w:val="clear" w:color="auto" w:fill="auto"/>
            <w:noWrap w:val="0"/>
            <w:vAlign w:val="center"/>
          </w:tcPr>
          <w:p w14:paraId="6D5811C0">
            <w:pPr>
              <w:jc w:val="center"/>
              <w:rPr>
                <w:rFonts w:hint="eastAsia"/>
                <w:sz w:val="24"/>
              </w:rPr>
            </w:pPr>
          </w:p>
        </w:tc>
        <w:tc>
          <w:tcPr>
            <w:tcW w:w="1843" w:type="dxa"/>
            <w:shd w:val="clear" w:color="auto" w:fill="auto"/>
            <w:noWrap w:val="0"/>
            <w:vAlign w:val="center"/>
          </w:tcPr>
          <w:p w14:paraId="1C0E47A5">
            <w:pPr>
              <w:jc w:val="left"/>
              <w:rPr>
                <w:rFonts w:hint="eastAsia"/>
                <w:sz w:val="24"/>
              </w:rPr>
            </w:pPr>
            <w:r>
              <w:rPr>
                <w:rFonts w:hint="eastAsia"/>
                <w:color w:val="000000" w:themeColor="text1"/>
                <w:sz w:val="24"/>
                <w14:textFill>
                  <w14:solidFill>
                    <w14:schemeClr w14:val="tx1"/>
                  </w14:solidFill>
                </w14:textFill>
              </w:rPr>
              <w:t>灭红火蚁</w:t>
            </w:r>
          </w:p>
        </w:tc>
        <w:tc>
          <w:tcPr>
            <w:tcW w:w="2567" w:type="dxa"/>
            <w:shd w:val="clear" w:color="auto" w:fill="auto"/>
            <w:noWrap w:val="0"/>
            <w:vAlign w:val="center"/>
          </w:tcPr>
          <w:p w14:paraId="779A6B4A">
            <w:pPr>
              <w:jc w:val="left"/>
              <w:rPr>
                <w:rFonts w:hint="eastAsia"/>
                <w:sz w:val="24"/>
              </w:rPr>
            </w:pPr>
          </w:p>
        </w:tc>
      </w:tr>
      <w:tr w14:paraId="3FD7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restart"/>
            <w:shd w:val="clear" w:color="auto" w:fill="auto"/>
            <w:noWrap w:val="0"/>
            <w:vAlign w:val="center"/>
          </w:tcPr>
          <w:p w14:paraId="47B80548">
            <w:pPr>
              <w:jc w:val="center"/>
              <w:rPr>
                <w:rFonts w:hint="eastAsia"/>
                <w:sz w:val="24"/>
              </w:rPr>
            </w:pPr>
            <w:r>
              <w:rPr>
                <w:rFonts w:hint="eastAsia"/>
                <w:color w:val="000000" w:themeColor="text1"/>
                <w:sz w:val="24"/>
                <w14:textFill>
                  <w14:solidFill>
                    <w14:schemeClr w14:val="tx1"/>
                  </w14:solidFill>
                </w14:textFill>
              </w:rPr>
              <w:t>2</w:t>
            </w:r>
          </w:p>
        </w:tc>
        <w:tc>
          <w:tcPr>
            <w:tcW w:w="3017" w:type="dxa"/>
            <w:vMerge w:val="restart"/>
            <w:shd w:val="clear" w:color="auto" w:fill="auto"/>
            <w:noWrap w:val="0"/>
            <w:vAlign w:val="center"/>
          </w:tcPr>
          <w:p w14:paraId="674FA0E2">
            <w:pPr>
              <w:jc w:val="center"/>
              <w:rPr>
                <w:rFonts w:hint="eastAsia"/>
                <w:sz w:val="24"/>
              </w:rPr>
            </w:pPr>
            <w:r>
              <w:rPr>
                <w:rFonts w:hint="eastAsia"/>
                <w:color w:val="000000" w:themeColor="text1"/>
                <w:sz w:val="24"/>
                <w14:textFill>
                  <w14:solidFill>
                    <w14:schemeClr w14:val="tx1"/>
                  </w14:solidFill>
                </w14:textFill>
              </w:rPr>
              <w:t>全科楼</w:t>
            </w:r>
          </w:p>
        </w:tc>
        <w:tc>
          <w:tcPr>
            <w:tcW w:w="1843" w:type="dxa"/>
            <w:shd w:val="clear" w:color="auto" w:fill="auto"/>
            <w:noWrap w:val="0"/>
            <w:vAlign w:val="center"/>
          </w:tcPr>
          <w:p w14:paraId="5B23687B">
            <w:pPr>
              <w:jc w:val="left"/>
              <w:rPr>
                <w:rFonts w:hint="eastAsia"/>
                <w:sz w:val="24"/>
              </w:rPr>
            </w:pPr>
            <w:r>
              <w:rPr>
                <w:rFonts w:hint="eastAsia"/>
                <w:color w:val="000000" w:themeColor="text1"/>
                <w:sz w:val="24"/>
                <w14:textFill>
                  <w14:solidFill>
                    <w14:schemeClr w14:val="tx1"/>
                  </w14:solidFill>
                </w14:textFill>
              </w:rPr>
              <w:t>灭隐翅虫</w:t>
            </w:r>
          </w:p>
        </w:tc>
        <w:tc>
          <w:tcPr>
            <w:tcW w:w="2567" w:type="dxa"/>
            <w:shd w:val="clear" w:color="auto" w:fill="auto"/>
            <w:noWrap w:val="0"/>
            <w:vAlign w:val="center"/>
          </w:tcPr>
          <w:p w14:paraId="59852C35">
            <w:pPr>
              <w:jc w:val="left"/>
              <w:rPr>
                <w:rFonts w:hint="eastAsia"/>
                <w:sz w:val="24"/>
              </w:rPr>
            </w:pPr>
          </w:p>
        </w:tc>
      </w:tr>
      <w:tr w14:paraId="3B48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10" w:type="dxa"/>
            <w:vMerge w:val="continue"/>
            <w:shd w:val="clear" w:color="auto" w:fill="auto"/>
            <w:noWrap w:val="0"/>
            <w:vAlign w:val="center"/>
          </w:tcPr>
          <w:p w14:paraId="26A8D607">
            <w:pPr>
              <w:jc w:val="center"/>
              <w:rPr>
                <w:rFonts w:hint="eastAsia"/>
                <w:sz w:val="24"/>
              </w:rPr>
            </w:pPr>
          </w:p>
        </w:tc>
        <w:tc>
          <w:tcPr>
            <w:tcW w:w="3017" w:type="dxa"/>
            <w:vMerge w:val="continue"/>
            <w:shd w:val="clear" w:color="auto" w:fill="auto"/>
            <w:noWrap w:val="0"/>
            <w:vAlign w:val="center"/>
          </w:tcPr>
          <w:p w14:paraId="6352FE84">
            <w:pPr>
              <w:jc w:val="center"/>
              <w:rPr>
                <w:rFonts w:hint="eastAsia"/>
                <w:sz w:val="24"/>
              </w:rPr>
            </w:pPr>
          </w:p>
        </w:tc>
        <w:tc>
          <w:tcPr>
            <w:tcW w:w="1843" w:type="dxa"/>
            <w:shd w:val="clear" w:color="auto" w:fill="auto"/>
            <w:noWrap w:val="0"/>
            <w:vAlign w:val="center"/>
          </w:tcPr>
          <w:p w14:paraId="3A0CE05F">
            <w:pPr>
              <w:jc w:val="left"/>
              <w:rPr>
                <w:rFonts w:hint="eastAsia"/>
                <w:sz w:val="24"/>
              </w:rPr>
            </w:pPr>
            <w:r>
              <w:rPr>
                <w:rFonts w:hint="eastAsia"/>
                <w:color w:val="000000" w:themeColor="text1"/>
                <w:sz w:val="24"/>
                <w14:textFill>
                  <w14:solidFill>
                    <w14:schemeClr w14:val="tx1"/>
                  </w14:solidFill>
                </w14:textFill>
              </w:rPr>
              <w:t>灭红火蚁</w:t>
            </w:r>
          </w:p>
        </w:tc>
        <w:tc>
          <w:tcPr>
            <w:tcW w:w="2567" w:type="dxa"/>
            <w:shd w:val="clear" w:color="auto" w:fill="auto"/>
            <w:noWrap w:val="0"/>
            <w:vAlign w:val="center"/>
          </w:tcPr>
          <w:p w14:paraId="79FE7FA8">
            <w:pPr>
              <w:jc w:val="left"/>
              <w:rPr>
                <w:rFonts w:hint="eastAsia"/>
                <w:sz w:val="24"/>
              </w:rPr>
            </w:pPr>
          </w:p>
        </w:tc>
      </w:tr>
      <w:tr w14:paraId="2673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10" w:type="dxa"/>
            <w:vMerge w:val="restart"/>
            <w:shd w:val="clear" w:color="auto" w:fill="auto"/>
            <w:noWrap w:val="0"/>
            <w:vAlign w:val="center"/>
          </w:tcPr>
          <w:p w14:paraId="1732E324">
            <w:pPr>
              <w:jc w:val="center"/>
              <w:rPr>
                <w:rFonts w:hint="eastAsia"/>
                <w:sz w:val="24"/>
              </w:rPr>
            </w:pPr>
            <w:r>
              <w:rPr>
                <w:rFonts w:hint="eastAsia"/>
                <w:color w:val="000000" w:themeColor="text1"/>
                <w:sz w:val="24"/>
                <w14:textFill>
                  <w14:solidFill>
                    <w14:schemeClr w14:val="tx1"/>
                  </w14:solidFill>
                </w14:textFill>
              </w:rPr>
              <w:t>3</w:t>
            </w:r>
          </w:p>
        </w:tc>
        <w:tc>
          <w:tcPr>
            <w:tcW w:w="3017" w:type="dxa"/>
            <w:vMerge w:val="restart"/>
            <w:shd w:val="clear" w:color="auto" w:fill="auto"/>
            <w:noWrap w:val="0"/>
            <w:vAlign w:val="center"/>
          </w:tcPr>
          <w:p w14:paraId="6F7C6532">
            <w:pPr>
              <w:jc w:val="center"/>
              <w:rPr>
                <w:rFonts w:hint="eastAsia"/>
                <w:sz w:val="24"/>
              </w:rPr>
            </w:pPr>
            <w:r>
              <w:rPr>
                <w:rFonts w:hint="eastAsia"/>
                <w:color w:val="000000" w:themeColor="text1"/>
                <w:sz w:val="24"/>
                <w14:textFill>
                  <w14:solidFill>
                    <w14:schemeClr w14:val="tx1"/>
                  </w14:solidFill>
                </w14:textFill>
              </w:rPr>
              <w:t>教学部</w:t>
            </w:r>
          </w:p>
        </w:tc>
        <w:tc>
          <w:tcPr>
            <w:tcW w:w="1843" w:type="dxa"/>
            <w:shd w:val="clear" w:color="auto" w:fill="auto"/>
            <w:noWrap w:val="0"/>
            <w:vAlign w:val="center"/>
          </w:tcPr>
          <w:p w14:paraId="720A98BD">
            <w:pPr>
              <w:jc w:val="left"/>
              <w:rPr>
                <w:rFonts w:hint="eastAsia"/>
                <w:sz w:val="24"/>
              </w:rPr>
            </w:pPr>
            <w:r>
              <w:rPr>
                <w:rFonts w:hint="eastAsia"/>
                <w:color w:val="000000" w:themeColor="text1"/>
                <w:sz w:val="24"/>
                <w14:textFill>
                  <w14:solidFill>
                    <w14:schemeClr w14:val="tx1"/>
                  </w14:solidFill>
                </w14:textFill>
              </w:rPr>
              <w:t>灭隐翅虫</w:t>
            </w:r>
          </w:p>
        </w:tc>
        <w:tc>
          <w:tcPr>
            <w:tcW w:w="2567" w:type="dxa"/>
            <w:shd w:val="clear" w:color="auto" w:fill="auto"/>
            <w:noWrap w:val="0"/>
            <w:vAlign w:val="center"/>
          </w:tcPr>
          <w:p w14:paraId="0071F8FC">
            <w:pPr>
              <w:jc w:val="left"/>
              <w:rPr>
                <w:rFonts w:hint="eastAsia"/>
                <w:sz w:val="24"/>
              </w:rPr>
            </w:pPr>
          </w:p>
        </w:tc>
      </w:tr>
      <w:tr w14:paraId="371D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10" w:type="dxa"/>
            <w:vMerge w:val="continue"/>
            <w:shd w:val="clear" w:color="auto" w:fill="auto"/>
            <w:noWrap w:val="0"/>
            <w:vAlign w:val="center"/>
          </w:tcPr>
          <w:p w14:paraId="10BADE1A">
            <w:pPr>
              <w:jc w:val="center"/>
              <w:rPr>
                <w:rFonts w:hint="eastAsia"/>
                <w:sz w:val="24"/>
              </w:rPr>
            </w:pPr>
          </w:p>
        </w:tc>
        <w:tc>
          <w:tcPr>
            <w:tcW w:w="3017" w:type="dxa"/>
            <w:vMerge w:val="continue"/>
            <w:shd w:val="clear" w:color="auto" w:fill="auto"/>
            <w:noWrap w:val="0"/>
            <w:vAlign w:val="center"/>
          </w:tcPr>
          <w:p w14:paraId="77606218">
            <w:pPr>
              <w:jc w:val="center"/>
              <w:rPr>
                <w:rFonts w:hint="eastAsia"/>
                <w:sz w:val="24"/>
              </w:rPr>
            </w:pPr>
          </w:p>
        </w:tc>
        <w:tc>
          <w:tcPr>
            <w:tcW w:w="1843" w:type="dxa"/>
            <w:shd w:val="clear" w:color="auto" w:fill="auto"/>
            <w:noWrap w:val="0"/>
            <w:vAlign w:val="center"/>
          </w:tcPr>
          <w:p w14:paraId="3B4A9EB2">
            <w:pPr>
              <w:jc w:val="left"/>
              <w:rPr>
                <w:rFonts w:hint="eastAsia"/>
                <w:sz w:val="24"/>
              </w:rPr>
            </w:pPr>
            <w:r>
              <w:rPr>
                <w:rFonts w:hint="eastAsia"/>
                <w:color w:val="000000" w:themeColor="text1"/>
                <w:sz w:val="24"/>
                <w14:textFill>
                  <w14:solidFill>
                    <w14:schemeClr w14:val="tx1"/>
                  </w14:solidFill>
                </w14:textFill>
              </w:rPr>
              <w:t>灭红火蚁</w:t>
            </w:r>
          </w:p>
        </w:tc>
        <w:tc>
          <w:tcPr>
            <w:tcW w:w="2567" w:type="dxa"/>
            <w:shd w:val="clear" w:color="auto" w:fill="auto"/>
            <w:noWrap w:val="0"/>
            <w:vAlign w:val="center"/>
          </w:tcPr>
          <w:p w14:paraId="1FF1535B">
            <w:pPr>
              <w:jc w:val="left"/>
              <w:rPr>
                <w:rFonts w:hint="eastAsia"/>
                <w:sz w:val="24"/>
              </w:rPr>
            </w:pPr>
          </w:p>
        </w:tc>
      </w:tr>
      <w:tr w14:paraId="3EB6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810" w:type="dxa"/>
            <w:shd w:val="clear" w:color="auto" w:fill="auto"/>
            <w:noWrap w:val="0"/>
            <w:vAlign w:val="center"/>
          </w:tcPr>
          <w:p w14:paraId="7FA7E8B1">
            <w:pPr>
              <w:jc w:val="center"/>
              <w:rPr>
                <w:rFonts w:hint="eastAsia"/>
                <w:sz w:val="24"/>
              </w:rPr>
            </w:pPr>
            <w:r>
              <w:rPr>
                <w:rFonts w:hint="eastAsia"/>
                <w:color w:val="000000" w:themeColor="text1"/>
                <w:sz w:val="24"/>
                <w14:textFill>
                  <w14:solidFill>
                    <w14:schemeClr w14:val="tx1"/>
                  </w14:solidFill>
                </w14:textFill>
              </w:rPr>
              <w:t>4</w:t>
            </w:r>
          </w:p>
        </w:tc>
        <w:tc>
          <w:tcPr>
            <w:tcW w:w="3017" w:type="dxa"/>
            <w:shd w:val="clear" w:color="auto" w:fill="auto"/>
            <w:noWrap w:val="0"/>
            <w:vAlign w:val="center"/>
          </w:tcPr>
          <w:p w14:paraId="128ACDC1">
            <w:pPr>
              <w:jc w:val="center"/>
              <w:rPr>
                <w:rFonts w:hint="eastAsia"/>
                <w:sz w:val="24"/>
              </w:rPr>
            </w:pPr>
            <w:r>
              <w:rPr>
                <w:rFonts w:hint="eastAsia"/>
                <w:color w:val="000000" w:themeColor="text1"/>
                <w:sz w:val="24"/>
                <w14:textFill>
                  <w14:solidFill>
                    <w14:schemeClr w14:val="tx1"/>
                  </w14:solidFill>
                </w14:textFill>
              </w:rPr>
              <w:t>灭隐翅虫</w:t>
            </w:r>
          </w:p>
        </w:tc>
        <w:tc>
          <w:tcPr>
            <w:tcW w:w="1843" w:type="dxa"/>
            <w:shd w:val="clear" w:color="auto" w:fill="auto"/>
            <w:noWrap w:val="0"/>
            <w:vAlign w:val="top"/>
          </w:tcPr>
          <w:p w14:paraId="1990B006">
            <w:pPr>
              <w:jc w:val="left"/>
              <w:rPr>
                <w:rFonts w:hint="eastAsia"/>
                <w:sz w:val="24"/>
              </w:rPr>
            </w:pPr>
            <w:r>
              <w:rPr>
                <w:rFonts w:hint="eastAsia"/>
                <w:color w:val="000000" w:themeColor="text1"/>
                <w:sz w:val="24"/>
                <w14:textFill>
                  <w14:solidFill>
                    <w14:schemeClr w14:val="tx1"/>
                  </w14:solidFill>
                </w14:textFill>
              </w:rPr>
              <w:t>单次单点位</w:t>
            </w:r>
          </w:p>
        </w:tc>
        <w:tc>
          <w:tcPr>
            <w:tcW w:w="2567" w:type="dxa"/>
            <w:shd w:val="clear" w:color="auto" w:fill="auto"/>
            <w:noWrap w:val="0"/>
            <w:vAlign w:val="center"/>
          </w:tcPr>
          <w:p w14:paraId="6BD87D5F">
            <w:pPr>
              <w:jc w:val="left"/>
              <w:rPr>
                <w:rFonts w:hint="eastAsia"/>
                <w:sz w:val="24"/>
              </w:rPr>
            </w:pPr>
          </w:p>
        </w:tc>
      </w:tr>
      <w:tr w14:paraId="4F5B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10" w:type="dxa"/>
            <w:shd w:val="clear" w:color="auto" w:fill="auto"/>
            <w:noWrap w:val="0"/>
            <w:vAlign w:val="center"/>
          </w:tcPr>
          <w:p w14:paraId="2A5A1F87">
            <w:pPr>
              <w:jc w:val="center"/>
              <w:rPr>
                <w:rFonts w:hint="eastAsia"/>
                <w:sz w:val="24"/>
              </w:rPr>
            </w:pPr>
            <w:r>
              <w:rPr>
                <w:rFonts w:hint="eastAsia"/>
                <w:color w:val="000000" w:themeColor="text1"/>
                <w:sz w:val="24"/>
                <w14:textFill>
                  <w14:solidFill>
                    <w14:schemeClr w14:val="tx1"/>
                  </w14:solidFill>
                </w14:textFill>
              </w:rPr>
              <w:t>5</w:t>
            </w:r>
          </w:p>
        </w:tc>
        <w:tc>
          <w:tcPr>
            <w:tcW w:w="3017" w:type="dxa"/>
            <w:shd w:val="clear" w:color="auto" w:fill="auto"/>
            <w:noWrap w:val="0"/>
            <w:vAlign w:val="center"/>
          </w:tcPr>
          <w:p w14:paraId="60E3D71D">
            <w:pPr>
              <w:jc w:val="center"/>
              <w:rPr>
                <w:rFonts w:hint="eastAsia"/>
                <w:sz w:val="24"/>
              </w:rPr>
            </w:pPr>
            <w:r>
              <w:rPr>
                <w:rFonts w:hint="eastAsia"/>
                <w:color w:val="000000" w:themeColor="text1"/>
                <w:sz w:val="24"/>
                <w14:textFill>
                  <w14:solidFill>
                    <w14:schemeClr w14:val="tx1"/>
                  </w14:solidFill>
                </w14:textFill>
              </w:rPr>
              <w:t>灭红火蚁</w:t>
            </w:r>
          </w:p>
        </w:tc>
        <w:tc>
          <w:tcPr>
            <w:tcW w:w="1843" w:type="dxa"/>
            <w:shd w:val="clear" w:color="auto" w:fill="auto"/>
            <w:noWrap w:val="0"/>
            <w:vAlign w:val="top"/>
          </w:tcPr>
          <w:p w14:paraId="2EC2A9A8">
            <w:pPr>
              <w:jc w:val="left"/>
              <w:rPr>
                <w:rFonts w:hint="eastAsia"/>
                <w:sz w:val="24"/>
              </w:rPr>
            </w:pPr>
            <w:r>
              <w:rPr>
                <w:rFonts w:hint="eastAsia"/>
                <w:color w:val="000000" w:themeColor="text1"/>
                <w:sz w:val="24"/>
                <w14:textFill>
                  <w14:solidFill>
                    <w14:schemeClr w14:val="tx1"/>
                  </w14:solidFill>
                </w14:textFill>
              </w:rPr>
              <w:t>单次单点位</w:t>
            </w:r>
          </w:p>
        </w:tc>
        <w:tc>
          <w:tcPr>
            <w:tcW w:w="2567" w:type="dxa"/>
            <w:shd w:val="clear" w:color="auto" w:fill="auto"/>
            <w:noWrap w:val="0"/>
            <w:vAlign w:val="center"/>
          </w:tcPr>
          <w:p w14:paraId="694BDB14">
            <w:pPr>
              <w:jc w:val="left"/>
              <w:rPr>
                <w:rFonts w:hint="eastAsia"/>
                <w:sz w:val="24"/>
              </w:rPr>
            </w:pPr>
          </w:p>
        </w:tc>
      </w:tr>
      <w:tr w14:paraId="3AF0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670" w:type="dxa"/>
            <w:gridSpan w:val="3"/>
            <w:shd w:val="clear" w:color="auto" w:fill="auto"/>
            <w:noWrap w:val="0"/>
            <w:vAlign w:val="center"/>
          </w:tcPr>
          <w:p w14:paraId="6701ABA1">
            <w:pPr>
              <w:jc w:val="center"/>
              <w:rPr>
                <w:rFonts w:hint="eastAsia" w:eastAsiaTheme="minor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总价（元）：</w:t>
            </w:r>
          </w:p>
        </w:tc>
        <w:tc>
          <w:tcPr>
            <w:tcW w:w="2567" w:type="dxa"/>
            <w:shd w:val="clear" w:color="auto" w:fill="auto"/>
            <w:noWrap w:val="0"/>
            <w:vAlign w:val="center"/>
          </w:tcPr>
          <w:p w14:paraId="314B55B5">
            <w:pPr>
              <w:jc w:val="left"/>
              <w:rPr>
                <w:rFonts w:hint="eastAsia"/>
                <w:sz w:val="24"/>
              </w:rPr>
            </w:pPr>
          </w:p>
        </w:tc>
      </w:tr>
    </w:tbl>
    <w:p w14:paraId="1F1F59E7">
      <w:pPr>
        <w:spacing w:line="400" w:lineRule="exact"/>
        <w:ind w:firstLine="560" w:firstLineChars="200"/>
        <w:rPr>
          <w:rFonts w:hint="eastAsia" w:ascii="宋体" w:hAnsi="宋体" w:eastAsia="宋体" w:cs="宋体"/>
          <w:color w:val="FF0000"/>
          <w:sz w:val="24"/>
          <w:szCs w:val="24"/>
          <w:shd w:val="clear" w:color="auto" w:fill="auto"/>
        </w:rPr>
      </w:pPr>
      <w:r>
        <w:rPr>
          <w:rFonts w:hint="eastAsia" w:ascii="宋体" w:hAnsi="宋体"/>
          <w:sz w:val="28"/>
          <w:szCs w:val="28"/>
        </w:rPr>
        <w:t>备注：</w:t>
      </w:r>
      <w:r>
        <w:rPr>
          <w:rFonts w:hint="eastAsia" w:ascii="宋体" w:hAnsi="宋体"/>
          <w:sz w:val="28"/>
          <w:szCs w:val="28"/>
          <w:lang w:val="en-US" w:eastAsia="zh-CN"/>
        </w:rPr>
        <w:t>1.</w:t>
      </w:r>
      <w:r>
        <w:rPr>
          <w:rFonts w:hint="eastAsia" w:ascii="宋体" w:hAnsi="宋体" w:eastAsia="宋体" w:cs="宋体"/>
          <w:color w:val="FF0000"/>
          <w:sz w:val="24"/>
          <w:szCs w:val="24"/>
          <w:shd w:val="clear" w:color="auto" w:fill="auto"/>
          <w:lang w:eastAsia="zh-CN"/>
        </w:rPr>
        <w:t>参选报价</w:t>
      </w:r>
      <w:r>
        <w:rPr>
          <w:rFonts w:hint="eastAsia" w:ascii="宋体" w:hAnsi="宋体" w:eastAsia="宋体" w:cs="宋体"/>
          <w:color w:val="FF0000"/>
          <w:sz w:val="24"/>
          <w:szCs w:val="24"/>
          <w:shd w:val="clear" w:color="auto" w:fill="auto"/>
        </w:rPr>
        <w:t>为包干价，包含但不限于服务费、保险费、药剂费等所有费用</w:t>
      </w:r>
    </w:p>
    <w:p w14:paraId="26913B32">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2.隐翅虫和红火蚁费用不包含在项目预算内，费用按实际产生据实结算。</w:t>
      </w:r>
    </w:p>
    <w:p w14:paraId="4420EDD5">
      <w:pPr>
        <w:tabs>
          <w:tab w:val="left" w:pos="1134"/>
        </w:tabs>
        <w:jc w:val="center"/>
        <w:rPr>
          <w:rFonts w:hint="eastAsia" w:ascii="黑体" w:hAnsi="黑体" w:eastAsia="黑体"/>
          <w:sz w:val="32"/>
          <w:szCs w:val="32"/>
          <w:lang w:val="en-US" w:eastAsia="zh-CN"/>
        </w:rPr>
      </w:pPr>
    </w:p>
    <w:p w14:paraId="76787C88">
      <w:pPr>
        <w:tabs>
          <w:tab w:val="left" w:pos="1134"/>
        </w:tabs>
        <w:jc w:val="center"/>
        <w:rPr>
          <w:rFonts w:hint="eastAsia" w:ascii="黑体" w:hAnsi="黑体" w:eastAsia="黑体"/>
          <w:sz w:val="32"/>
          <w:szCs w:val="32"/>
          <w:lang w:val="en-US" w:eastAsia="zh-CN"/>
        </w:rPr>
      </w:pPr>
    </w:p>
    <w:p w14:paraId="4AFD303F">
      <w:pPr>
        <w:tabs>
          <w:tab w:val="left" w:pos="1134"/>
        </w:tabs>
        <w:jc w:val="center"/>
        <w:rPr>
          <w:rFonts w:hint="eastAsia" w:ascii="黑体" w:hAnsi="黑体" w:eastAsia="黑体"/>
          <w:sz w:val="32"/>
          <w:szCs w:val="32"/>
          <w:lang w:val="en-US" w:eastAsia="zh-CN"/>
        </w:rPr>
      </w:pPr>
    </w:p>
    <w:p w14:paraId="44FC6AD0">
      <w:pPr>
        <w:tabs>
          <w:tab w:val="left" w:pos="1134"/>
        </w:tabs>
        <w:jc w:val="center"/>
        <w:rPr>
          <w:rFonts w:hint="eastAsia" w:ascii="黑体" w:hAnsi="黑体" w:eastAsia="黑体"/>
          <w:sz w:val="32"/>
          <w:szCs w:val="32"/>
          <w:lang w:val="en-US" w:eastAsia="zh-CN"/>
        </w:rPr>
      </w:pPr>
    </w:p>
    <w:p w14:paraId="5B2F8512">
      <w:pPr>
        <w:tabs>
          <w:tab w:val="left" w:pos="1134"/>
        </w:tabs>
        <w:jc w:val="center"/>
        <w:rPr>
          <w:rFonts w:hint="eastAsia" w:ascii="黑体" w:hAnsi="黑体" w:eastAsia="黑体"/>
          <w:sz w:val="32"/>
          <w:szCs w:val="32"/>
          <w:lang w:val="en-US" w:eastAsia="zh-CN"/>
        </w:rPr>
      </w:pPr>
    </w:p>
    <w:p w14:paraId="39FD91BE">
      <w:pPr>
        <w:tabs>
          <w:tab w:val="left" w:pos="1134"/>
        </w:tabs>
        <w:jc w:val="center"/>
        <w:rPr>
          <w:rFonts w:hint="eastAsia" w:ascii="黑体" w:hAnsi="黑体" w:eastAsia="黑体"/>
          <w:sz w:val="32"/>
          <w:szCs w:val="32"/>
          <w:lang w:val="en-US" w:eastAsia="zh-CN"/>
        </w:rPr>
      </w:pPr>
    </w:p>
    <w:p w14:paraId="5CA2195B">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00483CBA">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341FED45">
      <w:pPr>
        <w:tabs>
          <w:tab w:val="left" w:pos="1134"/>
        </w:tabs>
        <w:jc w:val="center"/>
        <w:rPr>
          <w:rFonts w:hint="eastAsia" w:ascii="黑体" w:hAnsi="黑体" w:eastAsia="黑体"/>
          <w:sz w:val="32"/>
          <w:szCs w:val="32"/>
          <w:lang w:val="en-US" w:eastAsia="zh-CN"/>
        </w:rPr>
      </w:pPr>
    </w:p>
    <w:p w14:paraId="22182568">
      <w:pPr>
        <w:tabs>
          <w:tab w:val="left" w:pos="1134"/>
        </w:tabs>
        <w:jc w:val="center"/>
        <w:rPr>
          <w:rFonts w:hint="eastAsia" w:ascii="黑体" w:hAnsi="黑体" w:eastAsia="黑体"/>
          <w:sz w:val="32"/>
          <w:szCs w:val="32"/>
          <w:lang w:val="en-US" w:eastAsia="zh-CN"/>
        </w:rPr>
      </w:pPr>
    </w:p>
    <w:p w14:paraId="0C006C5D">
      <w:pPr>
        <w:tabs>
          <w:tab w:val="left" w:pos="1134"/>
        </w:tabs>
        <w:jc w:val="center"/>
        <w:rPr>
          <w:rFonts w:hint="eastAsia" w:ascii="黑体" w:hAnsi="黑体" w:eastAsia="黑体"/>
          <w:sz w:val="32"/>
          <w:szCs w:val="32"/>
          <w:lang w:val="en-US" w:eastAsia="zh-CN"/>
        </w:rPr>
      </w:pPr>
    </w:p>
    <w:p w14:paraId="51F06140">
      <w:pPr>
        <w:tabs>
          <w:tab w:val="left" w:pos="1134"/>
        </w:tabs>
        <w:jc w:val="center"/>
        <w:rPr>
          <w:rFonts w:hint="eastAsia" w:ascii="黑体" w:hAnsi="黑体" w:eastAsia="黑体"/>
          <w:sz w:val="32"/>
          <w:szCs w:val="32"/>
          <w:lang w:val="en-US" w:eastAsia="zh-CN"/>
        </w:rPr>
      </w:pPr>
    </w:p>
    <w:p w14:paraId="258AFB3D">
      <w:pPr>
        <w:tabs>
          <w:tab w:val="left" w:pos="1134"/>
        </w:tabs>
        <w:jc w:val="center"/>
        <w:rPr>
          <w:rFonts w:hint="eastAsia" w:ascii="黑体" w:hAnsi="黑体" w:eastAsia="黑体"/>
          <w:sz w:val="32"/>
          <w:szCs w:val="32"/>
          <w:lang w:val="en-US" w:eastAsia="zh-CN"/>
        </w:rPr>
      </w:pPr>
    </w:p>
    <w:p w14:paraId="111EC5A5">
      <w:pPr>
        <w:tabs>
          <w:tab w:val="left" w:pos="1134"/>
        </w:tabs>
        <w:jc w:val="center"/>
        <w:rPr>
          <w:rFonts w:hint="eastAsia" w:ascii="黑体" w:hAnsi="黑体" w:eastAsia="黑体"/>
          <w:sz w:val="32"/>
          <w:szCs w:val="32"/>
          <w:lang w:val="en-US" w:eastAsia="zh-CN"/>
        </w:rPr>
      </w:pPr>
    </w:p>
    <w:p w14:paraId="01743C32">
      <w:pPr>
        <w:tabs>
          <w:tab w:val="left" w:pos="1134"/>
        </w:tabs>
        <w:jc w:val="center"/>
        <w:rPr>
          <w:rFonts w:hint="eastAsia" w:ascii="黑体" w:hAnsi="黑体" w:eastAsia="黑体"/>
          <w:sz w:val="32"/>
          <w:szCs w:val="32"/>
          <w:lang w:val="en-US" w:eastAsia="zh-CN"/>
        </w:rPr>
      </w:pPr>
    </w:p>
    <w:p w14:paraId="119B3C9C">
      <w:pPr>
        <w:tabs>
          <w:tab w:val="left" w:pos="1134"/>
        </w:tabs>
        <w:jc w:val="center"/>
        <w:rPr>
          <w:rFonts w:hint="eastAsia" w:ascii="黑体" w:hAnsi="黑体" w:eastAsia="黑体"/>
          <w:sz w:val="32"/>
          <w:szCs w:val="32"/>
          <w:lang w:val="en-US" w:eastAsia="zh-CN"/>
        </w:rPr>
      </w:pPr>
    </w:p>
    <w:p w14:paraId="368C0421">
      <w:pPr>
        <w:tabs>
          <w:tab w:val="left" w:pos="1134"/>
        </w:tabs>
        <w:jc w:val="center"/>
        <w:rPr>
          <w:rFonts w:hint="eastAsia" w:ascii="黑体" w:hAnsi="黑体" w:eastAsia="黑体"/>
          <w:sz w:val="32"/>
          <w:szCs w:val="32"/>
          <w:lang w:val="en-US" w:eastAsia="zh-CN"/>
        </w:rPr>
      </w:pPr>
    </w:p>
    <w:p w14:paraId="02B64CE7">
      <w:pPr>
        <w:tabs>
          <w:tab w:val="left" w:pos="1134"/>
        </w:tabs>
        <w:jc w:val="center"/>
        <w:rPr>
          <w:rFonts w:hint="eastAsia" w:ascii="黑体" w:hAnsi="黑体" w:eastAsia="黑体"/>
          <w:sz w:val="32"/>
          <w:szCs w:val="32"/>
          <w:lang w:val="en-US" w:eastAsia="zh-CN"/>
        </w:rPr>
      </w:pPr>
    </w:p>
    <w:p w14:paraId="53C62AE2">
      <w:pPr>
        <w:tabs>
          <w:tab w:val="left" w:pos="1134"/>
        </w:tabs>
        <w:jc w:val="center"/>
        <w:rPr>
          <w:rFonts w:hint="eastAsia" w:ascii="黑体" w:hAnsi="黑体" w:eastAsia="黑体"/>
          <w:sz w:val="32"/>
          <w:szCs w:val="32"/>
          <w:lang w:val="en-US" w:eastAsia="zh-CN"/>
        </w:rPr>
      </w:pPr>
    </w:p>
    <w:p w14:paraId="1C6742F6">
      <w:pPr>
        <w:tabs>
          <w:tab w:val="left" w:pos="1134"/>
        </w:tabs>
        <w:jc w:val="center"/>
        <w:rPr>
          <w:rFonts w:hint="eastAsia" w:ascii="黑体" w:hAnsi="黑体" w:eastAsia="黑体"/>
          <w:sz w:val="32"/>
          <w:szCs w:val="32"/>
          <w:lang w:val="en-US" w:eastAsia="zh-CN"/>
        </w:rPr>
      </w:pPr>
    </w:p>
    <w:p w14:paraId="2091EDC9">
      <w:pPr>
        <w:tabs>
          <w:tab w:val="left" w:pos="1134"/>
        </w:tabs>
        <w:jc w:val="center"/>
        <w:rPr>
          <w:rFonts w:hint="eastAsia" w:ascii="黑体" w:hAnsi="黑体" w:eastAsia="黑体"/>
          <w:sz w:val="32"/>
          <w:szCs w:val="32"/>
          <w:lang w:val="en-US" w:eastAsia="zh-CN"/>
        </w:rPr>
      </w:pPr>
    </w:p>
    <w:p w14:paraId="5BC964FB">
      <w:pPr>
        <w:tabs>
          <w:tab w:val="left" w:pos="1134"/>
        </w:tabs>
        <w:jc w:val="center"/>
        <w:rPr>
          <w:rFonts w:hint="eastAsia" w:ascii="黑体" w:hAnsi="黑体" w:eastAsia="黑体"/>
          <w:sz w:val="32"/>
          <w:szCs w:val="32"/>
          <w:lang w:val="en-US" w:eastAsia="zh-CN"/>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98D609-D520-4B68-B692-A5536A3FC2B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520C8BA8-3EA4-49CF-8A54-279ADDBD7173}"/>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0A3B13A9-78A2-4CF2-945E-E57D39E62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3A4168"/>
    <w:rsid w:val="015A3746"/>
    <w:rsid w:val="021D673F"/>
    <w:rsid w:val="024043A7"/>
    <w:rsid w:val="027E5FF4"/>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15926"/>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8E7355"/>
    <w:rsid w:val="199C2358"/>
    <w:rsid w:val="19B7492C"/>
    <w:rsid w:val="1A511E59"/>
    <w:rsid w:val="1A705757"/>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B149FD"/>
    <w:rsid w:val="37D83F93"/>
    <w:rsid w:val="382D2437"/>
    <w:rsid w:val="38442273"/>
    <w:rsid w:val="384E006D"/>
    <w:rsid w:val="385D0EF3"/>
    <w:rsid w:val="387D36CA"/>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63476F"/>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027E5B"/>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E407DA6"/>
    <w:rsid w:val="5F3F2DAC"/>
    <w:rsid w:val="5F4829DC"/>
    <w:rsid w:val="5F714A03"/>
    <w:rsid w:val="5F725BF8"/>
    <w:rsid w:val="5F8301BD"/>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3302D6"/>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11194</Words>
  <Characters>11436</Characters>
  <Lines>182</Lines>
  <Paragraphs>51</Paragraphs>
  <TotalTime>1</TotalTime>
  <ScaleCrop>false</ScaleCrop>
  <LinksUpToDate>false</LinksUpToDate>
  <CharactersWithSpaces>11626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2025-10-09T00:11:27Z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