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2025FW116</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兴龙湖院区教学部网络专线服务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23588"/>
      <w:bookmarkStart w:id="2" w:name="_Toc485108766"/>
      <w:bookmarkStart w:id="3" w:name="_Toc12789052"/>
      <w:bookmarkStart w:id="4" w:name="_Toc25875"/>
      <w:bookmarkStart w:id="5" w:name="_Toc6921"/>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兴龙湖院区教学部网络专线服务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7775175"/>
      <w:bookmarkStart w:id="9" w:name="_Toc313893526"/>
      <w:bookmarkStart w:id="10" w:name="_Toc28443"/>
      <w:bookmarkStart w:id="11" w:name="_Toc485108767"/>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兴龙湖院区教学部网络专线服务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服务期：</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，具体服务时间以采购方电话通知为准。</w:t>
            </w: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：医院自筹,预算金额：1.8万元/年，3年共计5.4万元。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p>
    <w:p w14:paraId="54D434CB">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w:t>
      </w:r>
      <w:bookmarkStart w:id="191" w:name="_GoBack"/>
      <w:bookmarkEnd w:id="191"/>
      <w:r>
        <w:rPr>
          <w:rFonts w:hint="eastAsia" w:ascii="宋体" w:hAnsi="宋体" w:eastAsia="宋体" w:cs="宋体"/>
          <w:b/>
          <w:bCs/>
          <w:color w:val="000000" w:themeColor="text1"/>
          <w:sz w:val="24"/>
          <w:szCs w:val="24"/>
          <w:shd w:val="clear" w:color="auto" w:fill="auto"/>
          <w14:textFill>
            <w14:solidFill>
              <w14:schemeClr w14:val="tx1"/>
            </w14:solidFill>
          </w14:textFill>
        </w:rPr>
        <w:t>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171062"/>
      <w:bookmarkStart w:id="24" w:name="_Toc373860294"/>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1441A98">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w:t>
      </w:r>
      <w:r>
        <w:rPr>
          <w:rFonts w:hint="eastAsia" w:ascii="宋体" w:hAnsi="宋体" w:eastAsia="宋体" w:cs="宋体"/>
          <w:color w:val="FF0000"/>
          <w:sz w:val="24"/>
          <w:szCs w:val="24"/>
          <w:shd w:val="clear" w:color="auto" w:fill="auto"/>
          <w:lang w:eastAsia="zh-CN"/>
        </w:rPr>
        <w:t>参选报</w:t>
      </w:r>
      <w:r>
        <w:rPr>
          <w:rFonts w:hint="eastAsia" w:ascii="宋体" w:hAnsi="宋体" w:eastAsia="宋体" w:cs="宋体"/>
          <w:color w:val="FF0000"/>
          <w:sz w:val="24"/>
          <w:szCs w:val="24"/>
          <w:shd w:val="clear" w:color="auto" w:fill="auto"/>
          <w:lang w:val="en-US" w:eastAsia="zh-CN"/>
        </w:rPr>
        <w:t>价为包干价，</w:t>
      </w:r>
      <w:r>
        <w:rPr>
          <w:rFonts w:hint="eastAsia" w:ascii="宋体" w:hAnsi="宋体" w:eastAsia="宋体" w:cs="宋体"/>
          <w:color w:val="FF0000"/>
          <w:sz w:val="24"/>
          <w:szCs w:val="24"/>
          <w:shd w:val="clear" w:color="auto" w:fill="auto"/>
          <w:lang w:eastAsia="zh-CN"/>
        </w:rPr>
        <w:t>包含但不限于服务费、保险、税费等。</w:t>
      </w:r>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9143"/>
      <w:bookmarkStart w:id="41" w:name="_Toc18122"/>
      <w:bookmarkStart w:id="42" w:name="_Toc403569780"/>
      <w:bookmarkStart w:id="43" w:name="_Toc179714298"/>
      <w:bookmarkStart w:id="44" w:name="_Toc342913393"/>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403569783"/>
      <w:bookmarkStart w:id="55" w:name="_Toc7135"/>
      <w:bookmarkStart w:id="56" w:name="_Toc102227321"/>
      <w:bookmarkStart w:id="57" w:name="_Toc3212"/>
      <w:bookmarkStart w:id="58" w:name="_Toc34291339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0B470D9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74" w:name="_Toc4364"/>
      <w:bookmarkStart w:id="75" w:name="_Toc17014"/>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专线要求: 提供1条兴龙湖院区教学部到重庆医科大学缙云校区信息机房的专线，带宽不少于200M（上行不少于200M，下行不少于200M）。</w:t>
      </w:r>
    </w:p>
    <w:p w14:paraId="1D0EAC5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安全功能要求：专线支持下一代防火墙访问控制、入侵防御、网络防病毒、上网行为及URL分类管理、流量控制，VPN（IPSEC+SSL）、SD-WAN智能组网、威胁情报云查等功能。</w:t>
      </w:r>
    </w:p>
    <w:p w14:paraId="0371F45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117FA4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117AC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A8FB82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7DEB9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BFDA216">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47B370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481816A">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3F53D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EF037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9192C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B7153F">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3E999F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586C2D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BAC5BF2">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0B161A2">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B359F4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6CF038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DA3200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03569795"/>
      <w:bookmarkStart w:id="81"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8784FB2">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1、服务期：3年，具体服务时间以采购方电话通知为准。</w:t>
      </w:r>
    </w:p>
    <w:p w14:paraId="3FD13A5F">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2、安装调试时限：服务方应在收到采购方通知后7天内完成安装、调试工作，提供满足需求的网络专线服务。</w:t>
      </w:r>
    </w:p>
    <w:p w14:paraId="495F39D7">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3、验收方式：安装调试完成后，由采购方管理部门验收签字确认。</w:t>
      </w:r>
    </w:p>
    <w:p w14:paraId="2EC05A10">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 xml:space="preserve">4、付款方式：服务费按年支付，采购方收到合法发票经审核无误后于60日内付款。  </w:t>
      </w:r>
    </w:p>
    <w:p w14:paraId="50F9D0B1">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5、售后服务：</w:t>
      </w:r>
    </w:p>
    <w:p w14:paraId="69E22949">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（1）服务方必须负责整个传输线路的维护；</w:t>
      </w:r>
    </w:p>
    <w:p w14:paraId="560886B7">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（2）网络设备更换或升级时，应提前15日通知采购方，以便做好相应配合，保证双方网络的正常运行；</w:t>
      </w:r>
    </w:p>
    <w:p w14:paraId="0B028EBD">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（3）服务方有义务无偿向采购方提供最新的网络技术信息和解决方案，提供系统运行、维护管理及安全检测等多方面的支持，提供国家信息产业局规定的网络运行质量保证；</w:t>
      </w:r>
    </w:p>
    <w:p w14:paraId="011A1D58">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（4）服务方须提供24小时热线服务和技术支持，遇到网络线路故障或技术问题，经电话咨询不能解决的，服务方的工程师须在4小时内到达现场进行处理并确保正常提供网络服务。</w:t>
      </w:r>
    </w:p>
    <w:p w14:paraId="3BABC6C6">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6、其他要求：在远程服务或设备升级服务时，服务方须向</w:t>
      </w:r>
      <w:bookmarkStart w:id="82" w:name="OLE_LINK27"/>
      <w:bookmarkStart w:id="83" w:name="OLE_LINK26"/>
      <w:r>
        <w:rPr>
          <w:rFonts w:hint="eastAsia" w:ascii="宋体" w:hAnsi="宋体" w:eastAsia="宋体" w:cs="宋体"/>
          <w:color w:val="FF0000"/>
          <w:sz w:val="24"/>
          <w:szCs w:val="24"/>
          <w:shd w:val="clear" w:color="auto" w:fill="auto"/>
          <w:lang w:val="en-US" w:eastAsia="zh-CN"/>
        </w:rPr>
        <w:t>采购</w:t>
      </w:r>
      <w:bookmarkEnd w:id="82"/>
      <w:bookmarkEnd w:id="83"/>
      <w:r>
        <w:rPr>
          <w:rFonts w:hint="eastAsia" w:ascii="宋体" w:hAnsi="宋体" w:eastAsia="宋体" w:cs="宋体"/>
          <w:color w:val="FF0000"/>
          <w:sz w:val="24"/>
          <w:szCs w:val="24"/>
          <w:shd w:val="clear" w:color="auto" w:fill="auto"/>
          <w:lang w:val="en-US" w:eastAsia="zh-CN"/>
        </w:rPr>
        <w:t>方提出申请，经采购方同意后方可实施，且服务方对采购方的信息安全和数据安全负全责，在服务工作中造成的影响或损失由服务方负全责。</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4" w:name="_Toc26989"/>
      <w:bookmarkStart w:id="85" w:name="_Toc403569796"/>
      <w:bookmarkStart w:id="86" w:name="_Toc14840"/>
      <w:bookmarkStart w:id="87" w:name="_Toc15711"/>
      <w:bookmarkStart w:id="88" w:name="_Toc485108794"/>
      <w:bookmarkStart w:id="89" w:name="_Toc303945820"/>
      <w:bookmarkStart w:id="90"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30815"/>
      <w:bookmarkStart w:id="92"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17879"/>
      <w:bookmarkStart w:id="99"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8853"/>
      <w:bookmarkStart w:id="102"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241"/>
      <w:bookmarkStart w:id="111"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9053"/>
      <w:bookmarkStart w:id="115"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4718211"/>
      <w:bookmarkStart w:id="120"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54718210"/>
      <w:bookmarkStart w:id="124" w:name="_Toc31719"/>
      <w:bookmarkStart w:id="125" w:name="_Toc54718212"/>
      <w:bookmarkStart w:id="126"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485108795"/>
      <w:bookmarkStart w:id="138" w:name="_Toc13696"/>
      <w:bookmarkStart w:id="139" w:name="_Toc29521"/>
      <w:bookmarkStart w:id="140" w:name="_Toc14085"/>
      <w:bookmarkStart w:id="141"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1"/>
      <w:bookmarkStart w:id="147"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21293"/>
      <w:bookmarkStart w:id="150" w:name="_Toc5685"/>
      <w:bookmarkStart w:id="151"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485108796"/>
      <w:bookmarkStart w:id="154" w:name="_Toc342913419"/>
      <w:bookmarkStart w:id="155" w:name="_Toc480979018"/>
      <w:bookmarkStart w:id="156" w:name="_Toc313888360"/>
      <w:bookmarkStart w:id="157" w:name="_Toc5565"/>
      <w:bookmarkStart w:id="158" w:name="_Toc313008356"/>
      <w:bookmarkStart w:id="159" w:name="_Toc283382454"/>
      <w:bookmarkStart w:id="160"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99CE13">
      <w:pPr>
        <w:tabs>
          <w:tab w:val="left" w:pos="1134"/>
        </w:tabs>
        <w:jc w:val="center"/>
        <w:rPr>
          <w:rFonts w:hint="eastAsia" w:ascii="黑体" w:hAnsi="黑体" w:eastAsia="黑体"/>
          <w:sz w:val="32"/>
          <w:szCs w:val="32"/>
        </w:rPr>
      </w:pPr>
      <w:bookmarkStart w:id="161" w:name="_Toc485108797"/>
      <w:bookmarkStart w:id="162" w:name="_Toc480979019"/>
      <w:bookmarkStart w:id="163" w:name="_Toc313888361"/>
      <w:bookmarkStart w:id="164" w:name="_Toc313008357"/>
      <w:bookmarkStart w:id="165" w:name="_Toc342913420"/>
      <w:bookmarkStart w:id="166" w:name="_Toc12908"/>
      <w:bookmarkStart w:id="167" w:name="_Toc9883"/>
      <w:r>
        <w:rPr>
          <w:rFonts w:hint="eastAsia" w:ascii="黑体" w:hAnsi="黑体" w:eastAsia="黑体"/>
          <w:sz w:val="32"/>
          <w:szCs w:val="32"/>
        </w:rPr>
        <w:t>报 价 表</w:t>
      </w:r>
    </w:p>
    <w:tbl>
      <w:tblPr>
        <w:tblStyle w:val="59"/>
        <w:tblW w:w="7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1939"/>
        <w:gridCol w:w="4362"/>
      </w:tblGrid>
      <w:tr w14:paraId="6D55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7" w:hRule="atLeast"/>
          <w:jc w:val="center"/>
        </w:trPr>
        <w:tc>
          <w:tcPr>
            <w:tcW w:w="1315" w:type="dxa"/>
            <w:vAlign w:val="center"/>
          </w:tcPr>
          <w:p w14:paraId="3F3DA5EA">
            <w:pPr>
              <w:pStyle w:val="52"/>
              <w:spacing w:beforeAutospacing="0" w:afterAutospacing="0" w:line="480" w:lineRule="auto"/>
              <w:jc w:val="center"/>
              <w:rPr>
                <w:szCs w:val="28"/>
              </w:rPr>
            </w:pPr>
            <w:r>
              <w:rPr>
                <w:rFonts w:hint="eastAsia"/>
                <w:szCs w:val="28"/>
              </w:rPr>
              <w:t>名称</w:t>
            </w:r>
          </w:p>
        </w:tc>
        <w:tc>
          <w:tcPr>
            <w:tcW w:w="1939" w:type="dxa"/>
          </w:tcPr>
          <w:p w14:paraId="3D980FBA">
            <w:pPr>
              <w:pStyle w:val="52"/>
              <w:spacing w:beforeAutospacing="0" w:afterAutospacing="0" w:line="480" w:lineRule="auto"/>
              <w:jc w:val="center"/>
              <w:rPr>
                <w:szCs w:val="28"/>
              </w:rPr>
            </w:pPr>
            <w:r>
              <w:rPr>
                <w:rFonts w:hint="eastAsia"/>
                <w:szCs w:val="28"/>
              </w:rPr>
              <w:t>价格（元/</w:t>
            </w:r>
            <w:r>
              <w:rPr>
                <w:rFonts w:hint="eastAsia"/>
                <w:szCs w:val="28"/>
                <w:lang w:eastAsia="zh-CN"/>
              </w:rPr>
              <w:t>年</w:t>
            </w:r>
            <w:r>
              <w:rPr>
                <w:rFonts w:hint="eastAsia"/>
                <w:szCs w:val="28"/>
              </w:rPr>
              <w:t>）</w:t>
            </w:r>
          </w:p>
        </w:tc>
        <w:tc>
          <w:tcPr>
            <w:tcW w:w="4362" w:type="dxa"/>
            <w:vAlign w:val="center"/>
          </w:tcPr>
          <w:p w14:paraId="7246497B">
            <w:pPr>
              <w:pStyle w:val="52"/>
              <w:spacing w:beforeAutospacing="0" w:afterAutospacing="0" w:line="480" w:lineRule="auto"/>
              <w:jc w:val="center"/>
              <w:rPr>
                <w:szCs w:val="28"/>
              </w:rPr>
            </w:pPr>
            <w:r>
              <w:rPr>
                <w:rFonts w:hint="eastAsia"/>
                <w:szCs w:val="28"/>
              </w:rPr>
              <w:t>备注</w:t>
            </w:r>
          </w:p>
        </w:tc>
      </w:tr>
      <w:tr w14:paraId="301F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315" w:type="dxa"/>
            <w:vAlign w:val="center"/>
          </w:tcPr>
          <w:p w14:paraId="0CC1B65B">
            <w:pPr>
              <w:pStyle w:val="52"/>
              <w:spacing w:beforeAutospacing="0" w:afterAutospacing="0" w:line="480" w:lineRule="auto"/>
              <w:jc w:val="center"/>
              <w:rPr>
                <w:szCs w:val="28"/>
              </w:rPr>
            </w:pPr>
            <w:r>
              <w:rPr>
                <w:rFonts w:hint="eastAsia"/>
                <w:szCs w:val="28"/>
              </w:rPr>
              <w:t>服务费</w:t>
            </w:r>
          </w:p>
        </w:tc>
        <w:tc>
          <w:tcPr>
            <w:tcW w:w="1939" w:type="dxa"/>
          </w:tcPr>
          <w:p w14:paraId="410C7D8D">
            <w:pPr>
              <w:pStyle w:val="52"/>
              <w:spacing w:beforeAutospacing="0" w:afterAutospacing="0" w:line="480" w:lineRule="auto"/>
              <w:jc w:val="center"/>
              <w:rPr>
                <w:szCs w:val="28"/>
              </w:rPr>
            </w:pPr>
          </w:p>
        </w:tc>
        <w:tc>
          <w:tcPr>
            <w:tcW w:w="4362" w:type="dxa"/>
            <w:vAlign w:val="center"/>
          </w:tcPr>
          <w:p w14:paraId="36ADB569">
            <w:pPr>
              <w:pStyle w:val="52"/>
              <w:spacing w:beforeAutospacing="0" w:afterAutospacing="0" w:line="480" w:lineRule="auto"/>
              <w:rPr>
                <w:szCs w:val="28"/>
              </w:rPr>
            </w:pPr>
          </w:p>
        </w:tc>
      </w:tr>
      <w:tr w14:paraId="3B8B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3254" w:type="dxa"/>
            <w:gridSpan w:val="2"/>
            <w:vAlign w:val="center"/>
          </w:tcPr>
          <w:p w14:paraId="73D8FFD5">
            <w:pPr>
              <w:pStyle w:val="52"/>
              <w:spacing w:beforeAutospacing="0" w:afterAutospacing="0" w:line="480" w:lineRule="auto"/>
              <w:jc w:val="center"/>
              <w:rPr>
                <w:rFonts w:hint="default" w:eastAsia="宋体"/>
                <w:szCs w:val="28"/>
                <w:lang w:val="en-US" w:eastAsia="zh-CN"/>
              </w:rPr>
            </w:pPr>
            <w:r>
              <w:rPr>
                <w:rFonts w:hint="eastAsia"/>
                <w:szCs w:val="28"/>
                <w:lang w:val="en-US" w:eastAsia="zh-CN"/>
              </w:rPr>
              <w:t xml:space="preserve">3年总费用 </w:t>
            </w:r>
          </w:p>
        </w:tc>
        <w:tc>
          <w:tcPr>
            <w:tcW w:w="4362" w:type="dxa"/>
            <w:vAlign w:val="center"/>
          </w:tcPr>
          <w:p w14:paraId="59EEFA7C">
            <w:pPr>
              <w:pStyle w:val="52"/>
              <w:spacing w:beforeAutospacing="0" w:afterAutospacing="0" w:line="480" w:lineRule="auto"/>
              <w:rPr>
                <w:szCs w:val="28"/>
              </w:rPr>
            </w:pPr>
          </w:p>
        </w:tc>
      </w:tr>
    </w:tbl>
    <w:p w14:paraId="7CE8C095">
      <w:pPr>
        <w:tabs>
          <w:tab w:val="left" w:pos="1134"/>
        </w:tabs>
        <w:jc w:val="center"/>
        <w:rPr>
          <w:rFonts w:hint="eastAsia" w:ascii="黑体" w:hAnsi="黑体" w:eastAsia="黑体"/>
          <w:sz w:val="32"/>
          <w:szCs w:val="32"/>
        </w:rPr>
      </w:pPr>
    </w:p>
    <w:p w14:paraId="46420D74">
      <w:pPr>
        <w:spacing w:line="400" w:lineRule="exact"/>
        <w:ind w:firstLine="560" w:firstLineChars="200"/>
        <w:rPr>
          <w:rFonts w:hint="eastAsia" w:ascii="宋体" w:hAnsi="宋体" w:eastAsia="宋体" w:cs="宋体"/>
          <w:color w:val="FF0000"/>
          <w:sz w:val="24"/>
          <w:szCs w:val="24"/>
          <w:shd w:val="clear" w:color="auto" w:fill="auto"/>
          <w:lang w:eastAsia="zh-CN"/>
        </w:rPr>
      </w:pPr>
      <w:r>
        <w:rPr>
          <w:rFonts w:hint="eastAsia" w:ascii="宋体" w:hAnsi="宋体"/>
          <w:sz w:val="28"/>
          <w:szCs w:val="28"/>
        </w:rPr>
        <w:t>备注：</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参选报</w:t>
      </w:r>
      <w:r>
        <w:rPr>
          <w:rFonts w:hint="eastAsia" w:ascii="宋体" w:hAnsi="宋体" w:eastAsia="宋体" w:cs="宋体"/>
          <w:color w:val="FF0000"/>
          <w:sz w:val="24"/>
          <w:szCs w:val="24"/>
          <w:shd w:val="clear" w:color="auto" w:fill="auto"/>
          <w:lang w:val="en-US" w:eastAsia="zh-CN"/>
        </w:rPr>
        <w:t>价为包干价，</w:t>
      </w:r>
      <w:r>
        <w:rPr>
          <w:rFonts w:hint="eastAsia" w:ascii="宋体" w:hAnsi="宋体" w:eastAsia="宋体" w:cs="宋体"/>
          <w:color w:val="FF0000"/>
          <w:sz w:val="24"/>
          <w:szCs w:val="24"/>
          <w:shd w:val="clear" w:color="auto" w:fill="auto"/>
          <w:lang w:eastAsia="zh-CN"/>
        </w:rPr>
        <w:t>包含但不限于服务费、保险、税费等。</w:t>
      </w: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0376A2B4">
      <w:pPr>
        <w:tabs>
          <w:tab w:val="left" w:pos="1134"/>
        </w:tabs>
        <w:jc w:val="center"/>
        <w:rPr>
          <w:rFonts w:hint="eastAsia" w:ascii="黑体" w:hAnsi="黑体" w:eastAsia="黑体"/>
          <w:sz w:val="32"/>
          <w:szCs w:val="32"/>
          <w:lang w:val="en-US" w:eastAsia="zh-CN"/>
        </w:rPr>
      </w:pPr>
    </w:p>
    <w:p w14:paraId="0057DB95">
      <w:pPr>
        <w:tabs>
          <w:tab w:val="left" w:pos="1134"/>
        </w:tabs>
        <w:jc w:val="center"/>
        <w:rPr>
          <w:rFonts w:hint="eastAsia" w:ascii="黑体" w:hAnsi="黑体" w:eastAsia="黑体"/>
          <w:sz w:val="32"/>
          <w:szCs w:val="32"/>
          <w:lang w:val="en-US" w:eastAsia="zh-CN"/>
        </w:rPr>
      </w:pPr>
    </w:p>
    <w:p w14:paraId="3EC5CBD6">
      <w:pPr>
        <w:tabs>
          <w:tab w:val="left" w:pos="1134"/>
        </w:tabs>
        <w:jc w:val="center"/>
        <w:rPr>
          <w:rFonts w:hint="eastAsia" w:ascii="黑体" w:hAnsi="黑体" w:eastAsia="黑体"/>
          <w:sz w:val="32"/>
          <w:szCs w:val="32"/>
          <w:lang w:val="en-US" w:eastAsia="zh-CN"/>
        </w:rPr>
      </w:pPr>
    </w:p>
    <w:p w14:paraId="7ACB4073">
      <w:pPr>
        <w:tabs>
          <w:tab w:val="left" w:pos="1134"/>
        </w:tabs>
        <w:jc w:val="center"/>
        <w:rPr>
          <w:rFonts w:hint="eastAsia" w:ascii="黑体" w:hAnsi="黑体" w:eastAsia="黑体"/>
          <w:sz w:val="32"/>
          <w:szCs w:val="32"/>
          <w:lang w:val="en-US" w:eastAsia="zh-CN"/>
        </w:rPr>
      </w:pPr>
    </w:p>
    <w:p w14:paraId="189B6ABB">
      <w:pPr>
        <w:outlineLvl w:val="0"/>
        <w:rPr>
          <w:rFonts w:hint="eastAsia" w:ascii="宋体" w:hAnsi="宋体" w:eastAsia="宋体" w:cs="宋体"/>
          <w:b/>
          <w:color w:val="000000" w:themeColor="text1"/>
          <w:shd w:val="clear" w:color="auto" w:fill="auto"/>
          <w14:textFill>
            <w14:solidFill>
              <w14:schemeClr w14:val="tx1"/>
            </w14:solidFill>
          </w14:textFill>
        </w:rPr>
      </w:pPr>
    </w:p>
    <w:p w14:paraId="61213165">
      <w:pPr>
        <w:outlineLvl w:val="0"/>
        <w:rPr>
          <w:rFonts w:hint="eastAsia" w:ascii="宋体" w:hAnsi="宋体" w:eastAsia="宋体" w:cs="宋体"/>
          <w:b/>
          <w:color w:val="000000" w:themeColor="text1"/>
          <w:shd w:val="clear" w:color="auto" w:fill="auto"/>
          <w14:textFill>
            <w14:solidFill>
              <w14:schemeClr w14:val="tx1"/>
            </w14:solidFill>
          </w14:textFill>
        </w:rPr>
      </w:pPr>
    </w:p>
    <w:p w14:paraId="5934484F">
      <w:pPr>
        <w:outlineLvl w:val="0"/>
        <w:rPr>
          <w:rFonts w:hint="eastAsia" w:ascii="宋体" w:hAnsi="宋体" w:eastAsia="宋体" w:cs="宋体"/>
          <w:b/>
          <w:color w:val="000000" w:themeColor="text1"/>
          <w:shd w:val="clear" w:color="auto" w:fill="auto"/>
          <w14:textFill>
            <w14:solidFill>
              <w14:schemeClr w14:val="tx1"/>
            </w14:solidFill>
          </w14:textFill>
        </w:rPr>
      </w:pPr>
    </w:p>
    <w:p w14:paraId="67C13B17">
      <w:pPr>
        <w:outlineLvl w:val="0"/>
        <w:rPr>
          <w:rFonts w:hint="eastAsia" w:ascii="宋体" w:hAnsi="宋体" w:eastAsia="宋体" w:cs="宋体"/>
          <w:b/>
          <w:color w:val="000000" w:themeColor="text1"/>
          <w:shd w:val="clear" w:color="auto" w:fill="auto"/>
          <w14:textFill>
            <w14:solidFill>
              <w14:schemeClr w14:val="tx1"/>
            </w14:solidFill>
          </w14:textFill>
        </w:rPr>
      </w:pPr>
    </w:p>
    <w:p w14:paraId="2A450BFB">
      <w:pPr>
        <w:outlineLvl w:val="0"/>
        <w:rPr>
          <w:rFonts w:hint="eastAsia" w:ascii="宋体" w:hAnsi="宋体" w:eastAsia="宋体" w:cs="宋体"/>
          <w:b/>
          <w:color w:val="000000" w:themeColor="text1"/>
          <w:shd w:val="clear" w:color="auto" w:fill="auto"/>
          <w14:textFill>
            <w14:solidFill>
              <w14:schemeClr w14:val="tx1"/>
            </w14:solidFill>
          </w14:textFill>
        </w:rPr>
      </w:pPr>
    </w:p>
    <w:p w14:paraId="6FE2EF65">
      <w:pPr>
        <w:outlineLvl w:val="0"/>
        <w:rPr>
          <w:rFonts w:hint="eastAsia" w:ascii="宋体" w:hAnsi="宋体" w:eastAsia="宋体" w:cs="宋体"/>
          <w:b/>
          <w:color w:val="000000" w:themeColor="text1"/>
          <w:shd w:val="clear" w:color="auto" w:fill="auto"/>
          <w14:textFill>
            <w14:solidFill>
              <w14:schemeClr w14:val="tx1"/>
            </w14:solidFill>
          </w14:textFill>
        </w:rPr>
      </w:pPr>
    </w:p>
    <w:p w14:paraId="381A82A5">
      <w:pPr>
        <w:outlineLvl w:val="0"/>
        <w:rPr>
          <w:rFonts w:hint="eastAsia" w:ascii="宋体" w:hAnsi="宋体" w:eastAsia="宋体" w:cs="宋体"/>
          <w:b/>
          <w:color w:val="000000" w:themeColor="text1"/>
          <w:shd w:val="clear" w:color="auto" w:fill="auto"/>
          <w14:textFill>
            <w14:solidFill>
              <w14:schemeClr w14:val="tx1"/>
            </w14:solidFill>
          </w14:textFill>
        </w:rPr>
      </w:pPr>
    </w:p>
    <w:p w14:paraId="6BAE2102">
      <w:pPr>
        <w:outlineLvl w:val="0"/>
        <w:rPr>
          <w:rFonts w:hint="eastAsia" w:ascii="宋体" w:hAnsi="宋体" w:eastAsia="宋体" w:cs="宋体"/>
          <w:b/>
          <w:color w:val="000000" w:themeColor="text1"/>
          <w:shd w:val="clear" w:color="auto" w:fill="auto"/>
          <w14:textFill>
            <w14:solidFill>
              <w14:schemeClr w14:val="tx1"/>
            </w14:solidFill>
          </w14:textFill>
        </w:rPr>
      </w:pPr>
    </w:p>
    <w:p w14:paraId="25898B3A">
      <w:pPr>
        <w:outlineLvl w:val="0"/>
        <w:rPr>
          <w:rFonts w:hint="eastAsia" w:ascii="宋体" w:hAnsi="宋体" w:eastAsia="宋体" w:cs="宋体"/>
          <w:b/>
          <w:color w:val="000000" w:themeColor="text1"/>
          <w:shd w:val="clear" w:color="auto" w:fill="auto"/>
          <w14:textFill>
            <w14:solidFill>
              <w14:schemeClr w14:val="tx1"/>
            </w14:solidFill>
          </w14:textFill>
        </w:rPr>
      </w:pPr>
    </w:p>
    <w:p w14:paraId="66ADE586">
      <w:pPr>
        <w:outlineLvl w:val="0"/>
        <w:rPr>
          <w:rFonts w:hint="eastAsia" w:ascii="宋体" w:hAnsi="宋体" w:eastAsia="宋体" w:cs="宋体"/>
          <w:b/>
          <w:color w:val="000000" w:themeColor="text1"/>
          <w:shd w:val="clear" w:color="auto" w:fill="auto"/>
          <w14:textFill>
            <w14:solidFill>
              <w14:schemeClr w14:val="tx1"/>
            </w14:solidFill>
          </w14:textFill>
        </w:rPr>
      </w:pPr>
    </w:p>
    <w:p w14:paraId="785D7C0B">
      <w:pPr>
        <w:outlineLvl w:val="0"/>
        <w:rPr>
          <w:rFonts w:hint="eastAsia" w:ascii="宋体" w:hAnsi="宋体" w:eastAsia="宋体" w:cs="宋体"/>
          <w:b/>
          <w:color w:val="000000" w:themeColor="text1"/>
          <w:shd w:val="clear" w:color="auto" w:fill="auto"/>
          <w14:textFill>
            <w14:solidFill>
              <w14:schemeClr w14:val="tx1"/>
            </w14:solidFill>
          </w14:textFill>
        </w:rPr>
      </w:pPr>
    </w:p>
    <w:p w14:paraId="33868A1A">
      <w:pPr>
        <w:outlineLvl w:val="0"/>
        <w:rPr>
          <w:rFonts w:hint="eastAsia" w:ascii="宋体" w:hAnsi="宋体" w:eastAsia="宋体" w:cs="宋体"/>
          <w:b/>
          <w:color w:val="000000" w:themeColor="text1"/>
          <w:shd w:val="clear" w:color="auto" w:fill="auto"/>
          <w14:textFill>
            <w14:solidFill>
              <w14:schemeClr w14:val="tx1"/>
            </w14:solidFill>
          </w14:textFill>
        </w:rPr>
      </w:pPr>
    </w:p>
    <w:p w14:paraId="290A60AA">
      <w:pPr>
        <w:outlineLvl w:val="0"/>
        <w:rPr>
          <w:rFonts w:hint="eastAsia" w:ascii="宋体" w:hAnsi="宋体" w:eastAsia="宋体" w:cs="宋体"/>
          <w:b/>
          <w:color w:val="000000" w:themeColor="text1"/>
          <w:shd w:val="clear" w:color="auto" w:fill="auto"/>
          <w14:textFill>
            <w14:solidFill>
              <w14:schemeClr w14:val="tx1"/>
            </w14:solidFill>
          </w14:textFill>
        </w:rPr>
      </w:pPr>
    </w:p>
    <w:p w14:paraId="3F947E22">
      <w:pPr>
        <w:outlineLvl w:val="0"/>
        <w:rPr>
          <w:rFonts w:hint="eastAsia" w:ascii="宋体" w:hAnsi="宋体" w:eastAsia="宋体" w:cs="宋体"/>
          <w:b/>
          <w:color w:val="000000" w:themeColor="text1"/>
          <w:shd w:val="clear" w:color="auto" w:fill="auto"/>
          <w14:textFill>
            <w14:solidFill>
              <w14:schemeClr w14:val="tx1"/>
            </w14:solidFill>
          </w14:textFill>
        </w:rPr>
      </w:pPr>
    </w:p>
    <w:p w14:paraId="763A550D">
      <w:pPr>
        <w:outlineLvl w:val="0"/>
        <w:rPr>
          <w:rFonts w:hint="eastAsia" w:ascii="宋体" w:hAnsi="宋体" w:eastAsia="宋体" w:cs="宋体"/>
          <w:b/>
          <w:color w:val="000000" w:themeColor="text1"/>
          <w:shd w:val="clear" w:color="auto" w:fill="auto"/>
          <w14:textFill>
            <w14:solidFill>
              <w14:schemeClr w14:val="tx1"/>
            </w14:solidFill>
          </w14:textFill>
        </w:rPr>
      </w:pPr>
    </w:p>
    <w:p w14:paraId="3DC1783C">
      <w:pPr>
        <w:outlineLvl w:val="0"/>
        <w:rPr>
          <w:rFonts w:hint="eastAsia" w:ascii="宋体" w:hAnsi="宋体" w:eastAsia="宋体" w:cs="宋体"/>
          <w:b/>
          <w:color w:val="000000" w:themeColor="text1"/>
          <w:shd w:val="clear" w:color="auto" w:fill="auto"/>
          <w14:textFill>
            <w14:solidFill>
              <w14:schemeClr w14:val="tx1"/>
            </w14:solidFill>
          </w14:textFill>
        </w:rPr>
      </w:pPr>
    </w:p>
    <w:p w14:paraId="37F5353E">
      <w:pPr>
        <w:outlineLvl w:val="0"/>
        <w:rPr>
          <w:rFonts w:hint="eastAsia" w:ascii="宋体" w:hAnsi="宋体" w:eastAsia="宋体" w:cs="宋体"/>
          <w:b/>
          <w:color w:val="000000" w:themeColor="text1"/>
          <w:shd w:val="clear" w:color="auto" w:fill="auto"/>
          <w14:textFill>
            <w14:solidFill>
              <w14:schemeClr w14:val="tx1"/>
            </w14:solidFill>
          </w14:textFill>
        </w:rPr>
      </w:pPr>
    </w:p>
    <w:p w14:paraId="24B502C4">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13844"/>
      <w:bookmarkStart w:id="169" w:name="_Toc485108798"/>
      <w:bookmarkStart w:id="170" w:name="_Toc480979020"/>
      <w:bookmarkStart w:id="171" w:name="_Toc342913421"/>
      <w:bookmarkStart w:id="172" w:name="_Toc313888362"/>
      <w:bookmarkStart w:id="173" w:name="_Toc15203"/>
      <w:bookmarkStart w:id="174"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23584"/>
      <w:bookmarkStart w:id="180"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13888363"/>
      <w:bookmarkStart w:id="182" w:name="_Toc313008359"/>
      <w:bookmarkStart w:id="183"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7"/>
      <w:bookmarkStart w:id="185"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27212"/>
      <w:bookmarkStart w:id="187"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34C8CA8-B914-4425-9725-9446116CEB9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BE99E3C4-3593-423D-A9AC-60E3BE7D9C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4043A7"/>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911761"/>
    <w:rsid w:val="07C5765D"/>
    <w:rsid w:val="07F26429"/>
    <w:rsid w:val="084C34CD"/>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7E5EA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CD0A4F"/>
    <w:rsid w:val="0FD61CDB"/>
    <w:rsid w:val="0FD8306F"/>
    <w:rsid w:val="0FFD1C5A"/>
    <w:rsid w:val="1014334F"/>
    <w:rsid w:val="10246EEB"/>
    <w:rsid w:val="10413B50"/>
    <w:rsid w:val="104D689B"/>
    <w:rsid w:val="109D57E0"/>
    <w:rsid w:val="10BA59BE"/>
    <w:rsid w:val="10BF5E9B"/>
    <w:rsid w:val="111523FC"/>
    <w:rsid w:val="111C3A01"/>
    <w:rsid w:val="114A7245"/>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554725E"/>
    <w:rsid w:val="15604521"/>
    <w:rsid w:val="156125ED"/>
    <w:rsid w:val="158D32E0"/>
    <w:rsid w:val="15D171CD"/>
    <w:rsid w:val="16243DF1"/>
    <w:rsid w:val="165A4E2F"/>
    <w:rsid w:val="17E52B34"/>
    <w:rsid w:val="18130842"/>
    <w:rsid w:val="18465822"/>
    <w:rsid w:val="18675712"/>
    <w:rsid w:val="188B43F5"/>
    <w:rsid w:val="18E50010"/>
    <w:rsid w:val="18F71640"/>
    <w:rsid w:val="19394057"/>
    <w:rsid w:val="199C2358"/>
    <w:rsid w:val="19B7492C"/>
    <w:rsid w:val="19BC6C5B"/>
    <w:rsid w:val="1A511E59"/>
    <w:rsid w:val="1A705757"/>
    <w:rsid w:val="1AE4406F"/>
    <w:rsid w:val="1AE84C93"/>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D56CF3"/>
    <w:rsid w:val="26FE2E6F"/>
    <w:rsid w:val="271E4A07"/>
    <w:rsid w:val="275D539C"/>
    <w:rsid w:val="27B41749"/>
    <w:rsid w:val="27BE30B5"/>
    <w:rsid w:val="28031161"/>
    <w:rsid w:val="282105EF"/>
    <w:rsid w:val="282D107F"/>
    <w:rsid w:val="28377F6C"/>
    <w:rsid w:val="28580457"/>
    <w:rsid w:val="287535CD"/>
    <w:rsid w:val="28CD4235"/>
    <w:rsid w:val="28D01566"/>
    <w:rsid w:val="28E31299"/>
    <w:rsid w:val="293D6BFB"/>
    <w:rsid w:val="29430470"/>
    <w:rsid w:val="29A81CF0"/>
    <w:rsid w:val="2A0812C8"/>
    <w:rsid w:val="2B2C4917"/>
    <w:rsid w:val="2B3D6767"/>
    <w:rsid w:val="2B411C38"/>
    <w:rsid w:val="2B57565F"/>
    <w:rsid w:val="2BBD2276"/>
    <w:rsid w:val="2C812A23"/>
    <w:rsid w:val="2CDF621C"/>
    <w:rsid w:val="2CE02E81"/>
    <w:rsid w:val="2CF2794B"/>
    <w:rsid w:val="2D9073ED"/>
    <w:rsid w:val="2DDB0955"/>
    <w:rsid w:val="2DDE0220"/>
    <w:rsid w:val="2E454084"/>
    <w:rsid w:val="2E4A05E4"/>
    <w:rsid w:val="2E6141F3"/>
    <w:rsid w:val="2F124686"/>
    <w:rsid w:val="2F1F1F02"/>
    <w:rsid w:val="2F2348BD"/>
    <w:rsid w:val="2F6F1AD9"/>
    <w:rsid w:val="2F831DB2"/>
    <w:rsid w:val="2F943FCB"/>
    <w:rsid w:val="2FD06C0B"/>
    <w:rsid w:val="30381B81"/>
    <w:rsid w:val="30A44277"/>
    <w:rsid w:val="30B15F03"/>
    <w:rsid w:val="30B30136"/>
    <w:rsid w:val="30CD7D7B"/>
    <w:rsid w:val="310B1BDB"/>
    <w:rsid w:val="31CA4358"/>
    <w:rsid w:val="31FA7479"/>
    <w:rsid w:val="32050A97"/>
    <w:rsid w:val="32284BF5"/>
    <w:rsid w:val="324E4259"/>
    <w:rsid w:val="32A510F7"/>
    <w:rsid w:val="32DA1DD4"/>
    <w:rsid w:val="33127B8D"/>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D83F93"/>
    <w:rsid w:val="382D2437"/>
    <w:rsid w:val="38442273"/>
    <w:rsid w:val="384E006D"/>
    <w:rsid w:val="385D0EF3"/>
    <w:rsid w:val="387D36CA"/>
    <w:rsid w:val="389536A9"/>
    <w:rsid w:val="38C010B0"/>
    <w:rsid w:val="38E86458"/>
    <w:rsid w:val="38EB2B69"/>
    <w:rsid w:val="391C67AE"/>
    <w:rsid w:val="39486CC3"/>
    <w:rsid w:val="39A3534F"/>
    <w:rsid w:val="39D65068"/>
    <w:rsid w:val="39FC3E15"/>
    <w:rsid w:val="3AA25DEC"/>
    <w:rsid w:val="3AC648F5"/>
    <w:rsid w:val="3B30241A"/>
    <w:rsid w:val="3B5B756F"/>
    <w:rsid w:val="3B870893"/>
    <w:rsid w:val="3BA13299"/>
    <w:rsid w:val="3C4F6F1A"/>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447281"/>
    <w:rsid w:val="487D04F4"/>
    <w:rsid w:val="48912668"/>
    <w:rsid w:val="48A31EA1"/>
    <w:rsid w:val="48D90D59"/>
    <w:rsid w:val="48E11FE9"/>
    <w:rsid w:val="48FA020D"/>
    <w:rsid w:val="492C6FBB"/>
    <w:rsid w:val="499D1F70"/>
    <w:rsid w:val="4A1025A8"/>
    <w:rsid w:val="4A832C17"/>
    <w:rsid w:val="4A9100D0"/>
    <w:rsid w:val="4AC26B09"/>
    <w:rsid w:val="4AD056CA"/>
    <w:rsid w:val="4AD41B9B"/>
    <w:rsid w:val="4AED1C9D"/>
    <w:rsid w:val="4B597B89"/>
    <w:rsid w:val="4BE8259F"/>
    <w:rsid w:val="4C025EBB"/>
    <w:rsid w:val="4C4E289A"/>
    <w:rsid w:val="4CC56D84"/>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BC0756"/>
    <w:rsid w:val="51D276BD"/>
    <w:rsid w:val="51D77CAA"/>
    <w:rsid w:val="52173BDE"/>
    <w:rsid w:val="522135A2"/>
    <w:rsid w:val="5228244C"/>
    <w:rsid w:val="526D5211"/>
    <w:rsid w:val="529620AE"/>
    <w:rsid w:val="52EB291F"/>
    <w:rsid w:val="52ED493F"/>
    <w:rsid w:val="52F55822"/>
    <w:rsid w:val="531F0FF7"/>
    <w:rsid w:val="53A83AF6"/>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FC1D80"/>
    <w:rsid w:val="593509FB"/>
    <w:rsid w:val="59893E96"/>
    <w:rsid w:val="599D432B"/>
    <w:rsid w:val="59E56370"/>
    <w:rsid w:val="5A12625C"/>
    <w:rsid w:val="5B1E275D"/>
    <w:rsid w:val="5B3E21DC"/>
    <w:rsid w:val="5B4A5024"/>
    <w:rsid w:val="5BBD57F6"/>
    <w:rsid w:val="5BC414F3"/>
    <w:rsid w:val="5C953453"/>
    <w:rsid w:val="5CAE15E3"/>
    <w:rsid w:val="5CB84A88"/>
    <w:rsid w:val="5CDA4186"/>
    <w:rsid w:val="5D290C69"/>
    <w:rsid w:val="5DEE479F"/>
    <w:rsid w:val="5E254884"/>
    <w:rsid w:val="5E36741C"/>
    <w:rsid w:val="5E407DA6"/>
    <w:rsid w:val="5F3F2DAC"/>
    <w:rsid w:val="5F4829DC"/>
    <w:rsid w:val="5F714A03"/>
    <w:rsid w:val="5F725BF8"/>
    <w:rsid w:val="5F8301BD"/>
    <w:rsid w:val="5FB15C3A"/>
    <w:rsid w:val="5FDF26F7"/>
    <w:rsid w:val="5FEC0FE5"/>
    <w:rsid w:val="6022194E"/>
    <w:rsid w:val="60570E4A"/>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7664A"/>
    <w:rsid w:val="656A40F1"/>
    <w:rsid w:val="658C5E23"/>
    <w:rsid w:val="65F9363E"/>
    <w:rsid w:val="66287D10"/>
    <w:rsid w:val="66747376"/>
    <w:rsid w:val="667E25AF"/>
    <w:rsid w:val="66815672"/>
    <w:rsid w:val="67042ACB"/>
    <w:rsid w:val="67152E14"/>
    <w:rsid w:val="67770DF7"/>
    <w:rsid w:val="679C27B9"/>
    <w:rsid w:val="67C21399"/>
    <w:rsid w:val="67CB3049"/>
    <w:rsid w:val="67FF2A16"/>
    <w:rsid w:val="682465CF"/>
    <w:rsid w:val="68EA74FF"/>
    <w:rsid w:val="690814B0"/>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5B0433"/>
    <w:rsid w:val="6CC21278"/>
    <w:rsid w:val="6CC2767B"/>
    <w:rsid w:val="6CEE14EE"/>
    <w:rsid w:val="6D342244"/>
    <w:rsid w:val="6DAB4CCB"/>
    <w:rsid w:val="6DC70D5C"/>
    <w:rsid w:val="6DDA24A1"/>
    <w:rsid w:val="6DE53C17"/>
    <w:rsid w:val="6DFC3BBF"/>
    <w:rsid w:val="6E0E1C83"/>
    <w:rsid w:val="6E45126B"/>
    <w:rsid w:val="6EA047F7"/>
    <w:rsid w:val="6EFB5292"/>
    <w:rsid w:val="6F062BB9"/>
    <w:rsid w:val="6F185329"/>
    <w:rsid w:val="6F213E8F"/>
    <w:rsid w:val="70783234"/>
    <w:rsid w:val="70E64A50"/>
    <w:rsid w:val="710A408D"/>
    <w:rsid w:val="71231A63"/>
    <w:rsid w:val="714B6E37"/>
    <w:rsid w:val="71C72BEE"/>
    <w:rsid w:val="72AA2579"/>
    <w:rsid w:val="73614D85"/>
    <w:rsid w:val="7363682B"/>
    <w:rsid w:val="7363763C"/>
    <w:rsid w:val="739465A0"/>
    <w:rsid w:val="73A82490"/>
    <w:rsid w:val="73AA3664"/>
    <w:rsid w:val="73B34AD5"/>
    <w:rsid w:val="73D42B6E"/>
    <w:rsid w:val="743B3E3F"/>
    <w:rsid w:val="74E41D61"/>
    <w:rsid w:val="75F575B2"/>
    <w:rsid w:val="7654465A"/>
    <w:rsid w:val="765A00C6"/>
    <w:rsid w:val="76995E63"/>
    <w:rsid w:val="772335FF"/>
    <w:rsid w:val="7733287E"/>
    <w:rsid w:val="77452BA0"/>
    <w:rsid w:val="774923FD"/>
    <w:rsid w:val="777E28EC"/>
    <w:rsid w:val="77B52272"/>
    <w:rsid w:val="78120C80"/>
    <w:rsid w:val="781959A6"/>
    <w:rsid w:val="783A1618"/>
    <w:rsid w:val="788222E3"/>
    <w:rsid w:val="7908485F"/>
    <w:rsid w:val="7936053E"/>
    <w:rsid w:val="793F0B2C"/>
    <w:rsid w:val="797818E8"/>
    <w:rsid w:val="797D07AB"/>
    <w:rsid w:val="79AC25AE"/>
    <w:rsid w:val="7AAC0A0E"/>
    <w:rsid w:val="7AF0301F"/>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12335</Words>
  <Characters>12627</Characters>
  <Lines>182</Lines>
  <Paragraphs>51</Paragraphs>
  <TotalTime>4</TotalTime>
  <ScaleCrop>false</ScaleCrop>
  <LinksUpToDate>false</LinksUpToDate>
  <CharactersWithSpaces>13648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2025-10-11T06:15:08Z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