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2025FW117</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多功能移动电源公益反诈宣教机服务</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五</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九月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kern w:val="2"/>
          <w:sz w:val="44"/>
          <w:szCs w:val="44"/>
          <w:lang w:val="en-US" w:eastAsia="zh-CN" w:bidi="ar-SA"/>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sz w:val="44"/>
              <w:szCs w:val="44"/>
            </w:rPr>
          </w:pPr>
          <w:r>
            <w:rPr>
              <w:rFonts w:ascii="宋体" w:hAnsi="宋体" w:eastAsia="宋体"/>
              <w:sz w:val="44"/>
              <w:szCs w:val="44"/>
            </w:rPr>
            <w:t>目录</w:t>
          </w:r>
        </w:p>
        <w:p w14:paraId="790CEC07">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_Toc23588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第一篇  比选邀请书</w:t>
          </w:r>
          <w:r>
            <w:tab/>
          </w:r>
          <w:r>
            <w:fldChar w:fldCharType="begin"/>
          </w:r>
          <w:r>
            <w:instrText xml:space="preserve"> PAGEREF _Toc23588 \h </w:instrText>
          </w:r>
          <w:r>
            <w:fldChar w:fldCharType="separate"/>
          </w:r>
          <w:r>
            <w:t>2</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_Toc25322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第二篇 供应商须知</w:t>
          </w:r>
          <w:r>
            <w:tab/>
          </w:r>
          <w:r>
            <w:fldChar w:fldCharType="begin"/>
          </w:r>
          <w:r>
            <w:instrText xml:space="preserve"> PAGEREF _Toc25322 \h </w:instrText>
          </w:r>
          <w:r>
            <w:fldChar w:fldCharType="separate"/>
          </w:r>
          <w:r>
            <w:t>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_Toc7206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第三篇  项目服务需求</w:t>
          </w:r>
          <w:r>
            <w:tab/>
          </w:r>
          <w:r>
            <w:fldChar w:fldCharType="begin"/>
          </w:r>
          <w:r>
            <w:instrText xml:space="preserve"> PAGEREF _Toc7206 \h </w:instrText>
          </w:r>
          <w:r>
            <w:fldChar w:fldCharType="separate"/>
          </w:r>
          <w:r>
            <w:t>13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_Toc17014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第四篇  项目商务需求</w:t>
          </w:r>
          <w:r>
            <w:tab/>
          </w:r>
          <w:r>
            <w:fldChar w:fldCharType="begin"/>
          </w:r>
          <w:r>
            <w:instrText xml:space="preserve"> PAGEREF _Toc17014 \h </w:instrText>
          </w:r>
          <w:r>
            <w:fldChar w:fldCharType="separate"/>
          </w:r>
          <w:r>
            <w:t>14</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_Toc26989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第五篇  合同草案条款</w:t>
          </w:r>
          <w:r>
            <w:tab/>
          </w:r>
          <w:r>
            <w:fldChar w:fldCharType="begin"/>
          </w:r>
          <w:r>
            <w:instrText xml:space="preserve"> PAGEREF _Toc26989 \h </w:instrText>
          </w:r>
          <w:r>
            <w:fldChar w:fldCharType="separate"/>
          </w:r>
          <w:r>
            <w:t>15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_Toc14085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第六篇  响应文件格式要求</w:t>
          </w:r>
          <w:r>
            <w:tab/>
          </w:r>
          <w:r>
            <w:fldChar w:fldCharType="begin"/>
          </w:r>
          <w:r>
            <w:instrText xml:space="preserve"> PAGEREF _Toc14085 \h </w:instrText>
          </w:r>
          <w:r>
            <w:fldChar w:fldCharType="separate"/>
          </w:r>
          <w:r>
            <w:t>17</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_Toc5685 </w:instrText>
          </w:r>
          <w:r>
            <w:rPr>
              <w:rFonts w:hint="eastAsia" w:ascii="宋体" w:hAnsi="宋体" w:eastAsia="宋体" w:cs="宋体"/>
              <w:szCs w:val="28"/>
              <w:shd w:val="clear" w:color="auto" w:fill="auto"/>
            </w:rPr>
            <w:fldChar w:fldCharType="separate"/>
          </w:r>
          <w:r>
            <w:rPr>
              <w:rFonts w:hint="eastAsia" w:ascii="宋体" w:hAnsi="宋体" w:cs="宋体"/>
              <w:szCs w:val="24"/>
              <w:shd w:val="clear" w:color="auto" w:fill="auto"/>
              <w:lang w:eastAsia="zh-CN"/>
            </w:rPr>
            <w:t>（一）</w:t>
          </w:r>
          <w:r>
            <w:rPr>
              <w:rFonts w:hint="eastAsia" w:ascii="宋体" w:hAnsi="宋体" w:eastAsia="宋体" w:cs="宋体"/>
              <w:szCs w:val="24"/>
              <w:shd w:val="clear" w:color="auto" w:fill="auto"/>
            </w:rPr>
            <w:t>其他应提供的资料</w:t>
          </w:r>
          <w:r>
            <w:tab/>
          </w:r>
          <w:r>
            <w:fldChar w:fldCharType="begin"/>
          </w:r>
          <w:r>
            <w:instrText xml:space="preserve"> PAGEREF _Toc5685 \h </w:instrText>
          </w:r>
          <w:r>
            <w:fldChar w:fldCharType="separate"/>
          </w:r>
          <w:r>
            <w:t>18</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_Toc12908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（二）</w:t>
          </w:r>
          <w:r>
            <w:rPr>
              <w:rFonts w:hint="eastAsia" w:ascii="宋体" w:hAnsi="宋体" w:eastAsia="宋体" w:cs="宋体"/>
              <w:shd w:val="clear" w:color="auto" w:fill="auto"/>
            </w:rPr>
            <w:t>服务部分</w:t>
          </w:r>
          <w:r>
            <w:tab/>
          </w:r>
          <w:r>
            <w:fldChar w:fldCharType="begin"/>
          </w:r>
          <w:r>
            <w:instrText xml:space="preserve"> PAGEREF _Toc12908 \h </w:instrText>
          </w:r>
          <w:r>
            <w:fldChar w:fldCharType="separate"/>
          </w:r>
          <w:r>
            <w:t>21</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_Toc15203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（三）</w:t>
          </w:r>
          <w:r>
            <w:rPr>
              <w:rFonts w:hint="eastAsia" w:ascii="宋体" w:hAnsi="宋体" w:eastAsia="宋体" w:cs="宋体"/>
              <w:shd w:val="clear" w:color="auto" w:fill="auto"/>
            </w:rPr>
            <w:t>商务部分</w:t>
          </w:r>
          <w:r>
            <w:tab/>
          </w:r>
          <w:r>
            <w:fldChar w:fldCharType="begin"/>
          </w:r>
          <w:r>
            <w:instrText xml:space="preserve"> PAGEREF _Toc15203 \h </w:instrText>
          </w:r>
          <w:r>
            <w:fldChar w:fldCharType="separate"/>
          </w:r>
          <w:r>
            <w:t>23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_Toc9941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（四）</w:t>
          </w:r>
          <w:r>
            <w:rPr>
              <w:rFonts w:hint="eastAsia" w:ascii="宋体" w:hAnsi="宋体" w:eastAsia="宋体" w:cs="宋体"/>
              <w:shd w:val="clear" w:color="auto" w:fill="auto"/>
            </w:rPr>
            <w:t>资格条件及其他</w:t>
          </w:r>
          <w:r>
            <w:tab/>
          </w:r>
          <w:r>
            <w:fldChar w:fldCharType="begin"/>
          </w:r>
          <w:r>
            <w:instrText xml:space="preserve"> PAGEREF _Toc9941 \h </w:instrText>
          </w:r>
          <w:r>
            <w:fldChar w:fldCharType="separate"/>
          </w:r>
          <w:r>
            <w:t>26</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11641050"/>
      <w:bookmarkStart w:id="1" w:name="_Toc12789052"/>
      <w:bookmarkStart w:id="2" w:name="_Toc23588"/>
      <w:bookmarkStart w:id="3" w:name="_Toc25875"/>
      <w:bookmarkStart w:id="4" w:name="_Toc485108766"/>
      <w:bookmarkStart w:id="5" w:name="_Toc6921"/>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73860293"/>
      <w:bookmarkStart w:id="7" w:name="_Toc317775178"/>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多功能移动电源公益反诈宣教机服务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313893526"/>
      <w:bookmarkStart w:id="9" w:name="_Toc485108767"/>
      <w:bookmarkStart w:id="10" w:name="_Toc28443"/>
      <w:bookmarkStart w:id="11" w:name="_Toc317775175"/>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9"/>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多功能移动电源公益反诈宣教机服务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服务期：</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3年</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，具体服务时间以采购方电话通知为准。</w:t>
            </w:r>
          </w:p>
        </w:tc>
      </w:tr>
    </w:tbl>
    <w:p w14:paraId="00DB30B5">
      <w:pPr>
        <w:spacing w:line="560" w:lineRule="exact"/>
        <w:jc w:val="left"/>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6609"/>
      <w:bookmarkStart w:id="13" w:name="_Toc485108768"/>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：医院自筹,预算金额：无。</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6"/>
      <w:bookmarkStart w:id="17" w:name="_Toc11958"/>
      <w:bookmarkStart w:id="18" w:name="_Toc102227313"/>
      <w:bookmarkStart w:id="19" w:name="_Toc485108774"/>
    </w:p>
    <w:p w14:paraId="54D434CB">
      <w:pPr>
        <w:spacing w:line="48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6"/>
      <w:bookmarkEnd w:id="17"/>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14</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14</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16</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bookmarkStart w:id="189" w:name="_GoBack"/>
      <w:bookmarkEnd w:id="189"/>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老师:023-85385105,请一定使用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综合楼四楼会议室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0"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45DCDA86">
      <w:pPr>
        <w:pStyle w:val="3"/>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54171062"/>
      <w:bookmarkStart w:id="24" w:name="_Toc373860294"/>
      <w:bookmarkStart w:id="25" w:name="_Toc54718176"/>
    </w:p>
    <w:bookmarkEnd w:id="23"/>
    <w:bookmarkEnd w:id="24"/>
    <w:bookmarkEnd w:id="25"/>
    <w:p w14:paraId="1FD6A981">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1625"/>
      <w:bookmarkStart w:id="27" w:name="_Toc2806"/>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31390"/>
      <w:bookmarkStart w:id="29" w:name="_Toc9130"/>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25322"/>
      <w:bookmarkStart w:id="33" w:name="_Toc10478"/>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71441A98">
      <w:pPr>
        <w:spacing w:line="400" w:lineRule="exact"/>
        <w:ind w:firstLine="480" w:firstLineChars="20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1.报价方式：报价表见第六章</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7" w:name="OLE_LINK9"/>
      <w:bookmarkStart w:id="38" w:name="OLE_LINK3"/>
      <w:bookmarkStart w:id="39" w:name="OLE_LINK8"/>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7"/>
    <w:bookmarkEnd w:id="38"/>
    <w:bookmarkEnd w:id="39"/>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0" w:name="_Toc19143"/>
      <w:bookmarkStart w:id="41" w:name="_Toc403569780"/>
      <w:bookmarkStart w:id="42" w:name="_Toc18122"/>
      <w:bookmarkStart w:id="43" w:name="_Toc179714298"/>
      <w:bookmarkStart w:id="44" w:name="_Toc342913393"/>
      <w:bookmarkStart w:id="45" w:name="_Toc102227319"/>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0"/>
      <w:bookmarkEnd w:id="41"/>
      <w:bookmarkEnd w:id="42"/>
      <w:bookmarkEnd w:id="43"/>
      <w:bookmarkEnd w:id="44"/>
      <w:bookmarkEnd w:id="45"/>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9"/>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6" w:name="_Toc28776"/>
      <w:bookmarkStart w:id="47" w:name="_Toc403569781"/>
      <w:bookmarkStart w:id="48" w:name="_Toc14247"/>
      <w:bookmarkStart w:id="49" w:name="_Toc102227320"/>
      <w:bookmarkStart w:id="50"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6"/>
      <w:bookmarkEnd w:id="47"/>
      <w:bookmarkEnd w:id="48"/>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1" w:name="_Toc14816"/>
      <w:bookmarkStart w:id="52" w:name="_Toc403569782"/>
      <w:bookmarkStart w:id="53" w:name="_Toc29340"/>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9"/>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0"/>
      <w:bookmarkEnd w:id="51"/>
      <w:bookmarkEnd w:id="52"/>
      <w:bookmarkEnd w:id="53"/>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1.评审小组将依照本比选文件相关规定对</w:t>
      </w:r>
      <w:r>
        <w:rPr>
          <w:rFonts w:hint="eastAsia" w:ascii="宋体" w:hAnsi="宋体" w:eastAsia="宋体" w:cs="宋体"/>
          <w:color w:val="FF0000"/>
          <w:sz w:val="24"/>
          <w:szCs w:val="24"/>
          <w:shd w:val="clear" w:color="auto" w:fill="auto"/>
          <w:lang w:eastAsia="zh-CN"/>
        </w:rPr>
        <w:t>服务</w:t>
      </w:r>
      <w:r>
        <w:rPr>
          <w:rFonts w:hint="eastAsia" w:ascii="宋体" w:hAnsi="宋体" w:eastAsia="宋体" w:cs="宋体"/>
          <w:color w:val="FF0000"/>
          <w:sz w:val="24"/>
          <w:szCs w:val="24"/>
          <w:shd w:val="clear" w:color="auto" w:fill="auto"/>
        </w:rPr>
        <w:t>和</w:t>
      </w:r>
      <w:r>
        <w:rPr>
          <w:rFonts w:hint="eastAsia" w:ascii="宋体" w:hAnsi="宋体" w:eastAsia="宋体" w:cs="宋体"/>
          <w:color w:val="FF0000"/>
          <w:sz w:val="24"/>
          <w:szCs w:val="24"/>
          <w:shd w:val="clear" w:color="auto" w:fill="auto"/>
          <w:lang w:eastAsia="zh-CN"/>
        </w:rPr>
        <w:t>商务</w:t>
      </w:r>
      <w:r>
        <w:rPr>
          <w:rFonts w:hint="eastAsia" w:ascii="宋体" w:hAnsi="宋体" w:eastAsia="宋体" w:cs="宋体"/>
          <w:color w:val="FF0000"/>
          <w:sz w:val="24"/>
          <w:szCs w:val="24"/>
          <w:shd w:val="clear" w:color="auto" w:fill="auto"/>
        </w:rPr>
        <w:t>均能满足比选实质性响应要求的供应商所提交的最后报价由</w:t>
      </w:r>
      <w:r>
        <w:rPr>
          <w:rFonts w:hint="eastAsia" w:ascii="宋体" w:hAnsi="宋体" w:eastAsia="宋体" w:cs="宋体"/>
          <w:color w:val="FF0000"/>
          <w:sz w:val="24"/>
          <w:szCs w:val="24"/>
          <w:shd w:val="clear" w:color="auto" w:fill="auto"/>
          <w:lang w:eastAsia="zh-CN"/>
        </w:rPr>
        <w:t>高</w:t>
      </w:r>
      <w:r>
        <w:rPr>
          <w:rFonts w:hint="eastAsia" w:ascii="宋体" w:hAnsi="宋体" w:eastAsia="宋体" w:cs="宋体"/>
          <w:color w:val="FF0000"/>
          <w:sz w:val="24"/>
          <w:szCs w:val="24"/>
          <w:shd w:val="clear" w:color="auto" w:fill="auto"/>
        </w:rPr>
        <w:t>到</w:t>
      </w:r>
      <w:r>
        <w:rPr>
          <w:rFonts w:hint="eastAsia" w:ascii="宋体" w:hAnsi="宋体" w:eastAsia="宋体" w:cs="宋体"/>
          <w:color w:val="FF0000"/>
          <w:sz w:val="24"/>
          <w:szCs w:val="24"/>
          <w:shd w:val="clear" w:color="auto" w:fill="auto"/>
          <w:lang w:eastAsia="zh-CN"/>
        </w:rPr>
        <w:t>低</w:t>
      </w:r>
      <w:r>
        <w:rPr>
          <w:rFonts w:hint="eastAsia" w:ascii="宋体" w:hAnsi="宋体" w:eastAsia="宋体" w:cs="宋体"/>
          <w:color w:val="FF0000"/>
          <w:sz w:val="24"/>
          <w:szCs w:val="24"/>
          <w:shd w:val="clear" w:color="auto" w:fill="auto"/>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4" w:name="_Toc403569783"/>
      <w:bookmarkStart w:id="55" w:name="_Toc7135"/>
      <w:bookmarkStart w:id="56" w:name="_Toc102227321"/>
      <w:bookmarkStart w:id="57" w:name="_Toc3212"/>
      <w:bookmarkStart w:id="58" w:name="_Toc342913395"/>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4"/>
      <w:bookmarkEnd w:id="55"/>
      <w:bookmarkEnd w:id="56"/>
      <w:bookmarkEnd w:id="57"/>
      <w:bookmarkEnd w:id="58"/>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9" w:name="_Toc17413"/>
      <w:bookmarkStart w:id="60" w:name="_Toc12880"/>
      <w:bookmarkStart w:id="61" w:name="_Toc403569784"/>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9"/>
      <w:bookmarkEnd w:id="60"/>
      <w:bookmarkEnd w:id="61"/>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102227322"/>
      <w:bookmarkStart w:id="63" w:name="_Toc342913396"/>
      <w:bookmarkStart w:id="64" w:name="_Toc6381"/>
      <w:bookmarkStart w:id="65" w:name="_Toc403569785"/>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6"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2"/>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3"/>
      <w:bookmarkEnd w:id="64"/>
      <w:bookmarkEnd w:id="65"/>
      <w:bookmarkEnd w:id="66"/>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2079B7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426E7F12">
      <w:pPr>
        <w:keepNext/>
        <w:widowControl w:val="0"/>
        <w:snapToGrid w:val="0"/>
        <w:spacing w:line="360" w:lineRule="atLeast"/>
        <w:jc w:val="both"/>
        <w:outlineLvl w:val="9"/>
        <w:rPr>
          <w:rFonts w:hint="eastAsia" w:ascii="宋体" w:hAnsi="宋体" w:eastAsia="宋体" w:cs="宋体"/>
          <w:b/>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7" w:name="_Toc485108784"/>
      <w:bookmarkStart w:id="68" w:name="_Toc11770"/>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69" w:name="_Toc26684"/>
      <w:bookmarkStart w:id="70" w:name="_Toc7206"/>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7"/>
      <w:bookmarkEnd w:id="68"/>
      <w:bookmarkEnd w:id="69"/>
      <w:bookmarkEnd w:id="70"/>
    </w:p>
    <w:p w14:paraId="53EC4B1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71" w:name="_Toc485108787"/>
      <w:bookmarkStart w:id="72" w:name="_Toc28327"/>
      <w:bookmarkStart w:id="73" w:name="_Toc12789058"/>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、服务要求</w:t>
      </w:r>
    </w:p>
    <w:p w14:paraId="20C171F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74" w:name="_Toc4364"/>
      <w:bookmarkStart w:id="75" w:name="_Toc17014"/>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投放地点及数量：萱花院区2、3、4号楼大厅公共区域，大安院区门诊大厅公共区域，兴龙湖院区教学部食堂，全科楼1楼，兴龙湖院区门诊1楼、急诊、手术等候区；暂定9套（安装点位清单见附件1），投放地点和数量根据采购方需求进行调整。</w:t>
      </w:r>
    </w:p>
    <w:p w14:paraId="2822460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质量要求：产品必须为正规厂家生产的合格产品，出具合格证明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（在安装时提供合格证明）</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D4FC39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采购方提供场地及电源端口，</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参选供应商</w:t>
      </w:r>
      <w:r>
        <w:rPr>
          <w:rFonts w:hint="eastAsia" w:ascii="宋体" w:hAnsi="宋体" w:eastAsia="宋体" w:cs="宋体"/>
          <w:color w:val="000000" w:themeColor="text1"/>
          <w:sz w:val="24"/>
          <w:szCs w:val="24"/>
          <w:shd w:val="clear" w:color="auto" w:fill="auto"/>
          <w14:textFill>
            <w14:solidFill>
              <w14:schemeClr w14:val="tx1"/>
            </w14:solidFill>
          </w14:textFill>
        </w:rPr>
        <w:t>提供设备并全权负责运营，保证设备只用作法制反诈等政务公益宣传及采购方的医院相关宣传，</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参选供应商</w:t>
      </w:r>
      <w:r>
        <w:rPr>
          <w:rFonts w:hint="eastAsia" w:ascii="宋体" w:hAnsi="宋体" w:eastAsia="宋体" w:cs="宋体"/>
          <w:color w:val="000000" w:themeColor="text1"/>
          <w:sz w:val="24"/>
          <w:szCs w:val="24"/>
          <w:shd w:val="clear" w:color="auto" w:fill="auto"/>
          <w14:textFill>
            <w14:solidFill>
              <w14:schemeClr w14:val="tx1"/>
            </w14:solidFill>
          </w14:textFill>
        </w:rPr>
        <w:t>负责设备的日常运营、维护，采购方有权进行抽检监管，如有发生安全问题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参选供应商承担</w:t>
      </w:r>
      <w:r>
        <w:rPr>
          <w:rFonts w:hint="eastAsia" w:ascii="宋体" w:hAnsi="宋体" w:eastAsia="宋体" w:cs="宋体"/>
          <w:color w:val="000000" w:themeColor="text1"/>
          <w:sz w:val="24"/>
          <w:szCs w:val="24"/>
          <w:shd w:val="clear" w:color="auto" w:fill="auto"/>
          <w14:textFill>
            <w14:solidFill>
              <w14:schemeClr w14:val="tx1"/>
            </w14:solidFill>
          </w14:textFill>
        </w:rPr>
        <w:t>相关责任。并承担因设备安全事故导致的一切经济和法律责任。</w:t>
      </w:r>
    </w:p>
    <w:p w14:paraId="0A144E1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中标方完成所需电源线路和设备的安装调试，安装位置由采购方选定，不得影响采购方的正常医疗秩序，未经许可不得擅自改变安装点。线路须规范有序。</w:t>
      </w:r>
    </w:p>
    <w:p w14:paraId="6E9A8DE6">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中标方开通24小时客服热线，如在服务过程出现任何客户投诉事宜或设备故障事宜，拔打客服热线，中标方保证在24小时内安排专人处理相关事宜。</w:t>
      </w:r>
    </w:p>
    <w:p w14:paraId="07FEF098">
      <w:pPr>
        <w:spacing w:line="594" w:lineRule="exact"/>
        <w:ind w:firstLine="560" w:firstLineChars="200"/>
        <w:rPr>
          <w:rFonts w:eastAsia="方正仿宋_GBK"/>
          <w:sz w:val="28"/>
          <w:szCs w:val="28"/>
        </w:rPr>
      </w:pPr>
    </w:p>
    <w:p w14:paraId="0026F36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117FA40">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26FCD24">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F629A0D">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5B2B24BE">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591F342">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1117ACE1">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A8FB821">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7DEB9E1">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BFDA216">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47B3708">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481816A">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D3F53D2">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4EF0370">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9192C24">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DA32008">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1"/>
      <w:bookmarkEnd w:id="72"/>
      <w:bookmarkEnd w:id="73"/>
      <w:bookmarkEnd w:id="74"/>
      <w:bookmarkEnd w:id="75"/>
      <w:bookmarkStart w:id="76" w:name="_Toc12789059"/>
      <w:bookmarkStart w:id="77" w:name="_Toc11641055"/>
    </w:p>
    <w:p w14:paraId="5642FEE9">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78" w:name="_Toc11645"/>
      <w:bookmarkStart w:id="79" w:name="_Toc7358"/>
      <w:bookmarkStart w:id="80" w:name="_Toc403569795"/>
      <w:bookmarkStart w:id="81" w:name="_Toc485108793"/>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58784FB2">
      <w:pPr>
        <w:spacing w:line="46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1、服务期：3年，具体服务时间以采购方电话通知为准。</w:t>
      </w:r>
    </w:p>
    <w:p w14:paraId="1E89A211">
      <w:pPr>
        <w:spacing w:line="46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2、电费支付方式：中标方按季度结算用电费用，每季度首月10日前向采购方转账支付，采购方出具代收水电气费结算票据。</w:t>
      </w:r>
    </w:p>
    <w:p w14:paraId="5235ADB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78"/>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79"/>
      <w:bookmarkEnd w:id="80"/>
      <w:bookmarkEnd w:id="81"/>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6"/>
      <w:bookmarkEnd w:id="77"/>
      <w:bookmarkStart w:id="82" w:name="_Toc26989"/>
      <w:bookmarkStart w:id="83" w:name="_Toc403569796"/>
      <w:bookmarkStart w:id="84" w:name="_Toc14840"/>
      <w:bookmarkStart w:id="85" w:name="_Toc15711"/>
      <w:bookmarkStart w:id="86" w:name="_Toc485108794"/>
      <w:bookmarkStart w:id="87" w:name="_Toc303945820"/>
      <w:bookmarkStart w:id="88"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2"/>
      <w:bookmarkEnd w:id="83"/>
      <w:bookmarkEnd w:id="84"/>
      <w:bookmarkEnd w:id="85"/>
      <w:bookmarkEnd w:id="86"/>
    </w:p>
    <w:p w14:paraId="5E46A35E">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9" w:name="_Toc30815"/>
      <w:bookmarkStart w:id="90" w:name="_Toc54718202"/>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89"/>
      <w:bookmarkEnd w:id="90"/>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1"/>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2"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2"/>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3"/>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4"/>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5"/>
    </w:p>
    <w:p w14:paraId="484E102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17879"/>
      <w:bookmarkStart w:id="97" w:name="_Toc54718203"/>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6"/>
      <w:bookmarkEnd w:id="97"/>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98"/>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9" w:name="_Toc8853"/>
      <w:bookmarkStart w:id="100" w:name="_Toc54718204"/>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99"/>
      <w:bookmarkEnd w:id="100"/>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1" w:name="_Toc25177"/>
      <w:bookmarkStart w:id="102"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1"/>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3"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3"/>
    </w:p>
    <w:p w14:paraId="16BE7E9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4"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2"/>
      <w:bookmarkEnd w:id="104"/>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5"/>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6"/>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7"/>
    </w:p>
    <w:p w14:paraId="0E692A8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2241"/>
      <w:bookmarkStart w:id="109" w:name="_Toc54718206"/>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08"/>
      <w:bookmarkEnd w:id="109"/>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0" w:name="_Toc12985"/>
      <w:bookmarkStart w:id="111"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0"/>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1"/>
    </w:p>
    <w:p w14:paraId="318F8000">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2" w:name="_Toc9053"/>
      <w:bookmarkStart w:id="113" w:name="_Toc54718207"/>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2"/>
      <w:bookmarkEnd w:id="113"/>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4"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4"/>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5"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5"/>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6"/>
    </w:p>
    <w:p w14:paraId="0105B42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54718211"/>
      <w:bookmarkStart w:id="118" w:name="_Toc1158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7"/>
      <w:bookmarkEnd w:id="118"/>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19"/>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0"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0"/>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1" w:name="_Toc54718210"/>
      <w:bookmarkStart w:id="122" w:name="_Toc31719"/>
      <w:bookmarkStart w:id="123" w:name="_Toc54718212"/>
      <w:bookmarkStart w:id="124" w:name="_Toc2658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1"/>
      <w:bookmarkEnd w:id="122"/>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5"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5"/>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6"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6"/>
    </w:p>
    <w:p w14:paraId="7F490E8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3"/>
      <w:bookmarkEnd w:id="124"/>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7"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28"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7"/>
      <w:bookmarkEnd w:id="128"/>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29"/>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0"/>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1"/>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2"/>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3"/>
    </w:p>
    <w:bookmarkEnd w:id="87"/>
    <w:bookmarkEnd w:id="88"/>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4" w:name="_Hlt41879464"/>
      <w:bookmarkEnd w:id="134"/>
      <w:bookmarkStart w:id="135" w:name="_Toc485108795"/>
      <w:bookmarkStart w:id="136" w:name="_Toc13696"/>
      <w:bookmarkStart w:id="137" w:name="_Toc29521"/>
      <w:bookmarkStart w:id="138" w:name="_Toc14085"/>
      <w:bookmarkStart w:id="139" w:name="_Toc12789072"/>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5"/>
      <w:bookmarkEnd w:id="136"/>
      <w:bookmarkEnd w:id="137"/>
      <w:bookmarkEnd w:id="138"/>
      <w:bookmarkEnd w:id="139"/>
    </w:p>
    <w:p w14:paraId="3475141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0"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0"/>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1"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1"/>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2"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2"/>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38358147"/>
      <w:bookmarkStart w:id="144" w:name="OLE_LINK11"/>
      <w:bookmarkStart w:id="145"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3"/>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6"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6"/>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47" w:name="_Toc21293"/>
      <w:bookmarkStart w:id="148" w:name="_Toc5685"/>
      <w:bookmarkStart w:id="149" w:name="_Toc19884"/>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7"/>
      <w:bookmarkEnd w:id="148"/>
      <w:bookmarkEnd w:id="149"/>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0"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0"/>
    </w:p>
    <w:bookmarkEnd w:id="144"/>
    <w:bookmarkEnd w:id="145"/>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1" w:name="_Toc485108796"/>
      <w:bookmarkStart w:id="152" w:name="_Toc342913419"/>
      <w:bookmarkStart w:id="153" w:name="_Toc480979018"/>
      <w:bookmarkStart w:id="154" w:name="_Toc313888360"/>
      <w:bookmarkStart w:id="155" w:name="_Toc5565"/>
      <w:bookmarkStart w:id="156" w:name="_Toc313008356"/>
      <w:bookmarkStart w:id="157" w:name="_Toc283382454"/>
      <w:bookmarkStart w:id="158" w:name="_Toc12789073"/>
      <w:r>
        <w:rPr>
          <w:rFonts w:hint="eastAsia" w:ascii="宋体" w:hAnsi="宋体" w:eastAsia="宋体" w:cs="宋体"/>
          <w:b/>
          <w:color w:val="000000" w:themeColor="text1"/>
          <w:shd w:val="clear" w:color="auto" w:fill="auto"/>
          <w14:textFill>
            <w14:solidFill>
              <w14:schemeClr w14:val="tx1"/>
            </w14:solidFill>
          </w14:textFill>
        </w:rPr>
        <w:t>经济部分</w:t>
      </w:r>
      <w:bookmarkEnd w:id="151"/>
      <w:bookmarkEnd w:id="152"/>
      <w:bookmarkEnd w:id="153"/>
      <w:bookmarkEnd w:id="154"/>
      <w:bookmarkEnd w:id="155"/>
      <w:bookmarkEnd w:id="156"/>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57"/>
    <w:bookmarkEnd w:id="158"/>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0899CE13">
      <w:pPr>
        <w:tabs>
          <w:tab w:val="left" w:pos="1134"/>
        </w:tabs>
        <w:jc w:val="center"/>
        <w:rPr>
          <w:rFonts w:hint="eastAsia" w:ascii="黑体" w:hAnsi="黑体" w:eastAsia="黑体"/>
          <w:sz w:val="32"/>
          <w:szCs w:val="32"/>
        </w:rPr>
      </w:pPr>
      <w:bookmarkStart w:id="159" w:name="_Toc485108797"/>
      <w:bookmarkStart w:id="160" w:name="_Toc480979019"/>
      <w:bookmarkStart w:id="161" w:name="_Toc313888361"/>
      <w:bookmarkStart w:id="162" w:name="_Toc313008357"/>
      <w:bookmarkStart w:id="163" w:name="_Toc342913420"/>
      <w:bookmarkStart w:id="164" w:name="_Toc12908"/>
      <w:bookmarkStart w:id="165" w:name="_Toc9883"/>
      <w:r>
        <w:rPr>
          <w:rFonts w:hint="eastAsia" w:ascii="黑体" w:hAnsi="黑体" w:eastAsia="黑体"/>
          <w:sz w:val="32"/>
          <w:szCs w:val="32"/>
        </w:rPr>
        <w:t>报 价 表</w:t>
      </w:r>
    </w:p>
    <w:tbl>
      <w:tblPr>
        <w:tblStyle w:val="59"/>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7"/>
        <w:gridCol w:w="1642"/>
        <w:gridCol w:w="2268"/>
        <w:gridCol w:w="1984"/>
        <w:gridCol w:w="1240"/>
      </w:tblGrid>
      <w:tr w14:paraId="5AB00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2157" w:type="dxa"/>
            <w:vAlign w:val="center"/>
          </w:tcPr>
          <w:p w14:paraId="41D4BE0B">
            <w:pPr>
              <w:spacing w:line="360" w:lineRule="auto"/>
              <w:jc w:val="center"/>
              <w:rPr>
                <w:rFonts w:ascii="宋体" w:hAnsi="宋体"/>
                <w:sz w:val="24"/>
              </w:rPr>
            </w:pPr>
            <w:r>
              <w:rPr>
                <w:rFonts w:hint="eastAsia" w:ascii="宋体" w:hAnsi="宋体"/>
                <w:sz w:val="24"/>
              </w:rPr>
              <w:t>项目名称</w:t>
            </w:r>
          </w:p>
        </w:tc>
        <w:tc>
          <w:tcPr>
            <w:tcW w:w="1642" w:type="dxa"/>
            <w:vAlign w:val="center"/>
          </w:tcPr>
          <w:p w14:paraId="363D0DD8">
            <w:pPr>
              <w:spacing w:line="360" w:lineRule="auto"/>
              <w:jc w:val="center"/>
              <w:rPr>
                <w:rFonts w:ascii="宋体" w:hAnsi="宋体"/>
                <w:sz w:val="24"/>
              </w:rPr>
            </w:pPr>
            <w:r>
              <w:rPr>
                <w:rFonts w:hint="eastAsia" w:ascii="宋体" w:hAnsi="宋体"/>
                <w:sz w:val="24"/>
              </w:rPr>
              <w:t>电费费用</w:t>
            </w:r>
          </w:p>
          <w:p w14:paraId="3330BDF4">
            <w:pPr>
              <w:spacing w:line="360" w:lineRule="auto"/>
              <w:jc w:val="center"/>
              <w:rPr>
                <w:rFonts w:ascii="宋体" w:hAnsi="宋体"/>
                <w:sz w:val="24"/>
              </w:rPr>
            </w:pPr>
            <w:r>
              <w:rPr>
                <w:rFonts w:hint="eastAsia" w:ascii="宋体" w:hAnsi="宋体"/>
                <w:sz w:val="24"/>
              </w:rPr>
              <w:t>（元/月/台）</w:t>
            </w:r>
          </w:p>
        </w:tc>
        <w:tc>
          <w:tcPr>
            <w:tcW w:w="2268" w:type="dxa"/>
            <w:vAlign w:val="center"/>
          </w:tcPr>
          <w:p w14:paraId="364C395F">
            <w:pPr>
              <w:spacing w:line="360" w:lineRule="auto"/>
              <w:jc w:val="center"/>
              <w:rPr>
                <w:rFonts w:ascii="宋体" w:hAnsi="宋体"/>
                <w:sz w:val="24"/>
              </w:rPr>
            </w:pPr>
            <w:r>
              <w:rPr>
                <w:rFonts w:hint="eastAsia" w:ascii="宋体" w:hAnsi="宋体"/>
                <w:sz w:val="24"/>
              </w:rPr>
              <w:t>设备数量（台）</w:t>
            </w:r>
          </w:p>
        </w:tc>
        <w:tc>
          <w:tcPr>
            <w:tcW w:w="1984" w:type="dxa"/>
            <w:vAlign w:val="center"/>
          </w:tcPr>
          <w:p w14:paraId="2CBA5EFE">
            <w:pPr>
              <w:spacing w:line="360" w:lineRule="auto"/>
              <w:jc w:val="center"/>
              <w:rPr>
                <w:rFonts w:ascii="宋体" w:hAnsi="宋体"/>
                <w:sz w:val="24"/>
              </w:rPr>
            </w:pPr>
            <w:r>
              <w:rPr>
                <w:rFonts w:hint="eastAsia" w:ascii="宋体" w:hAnsi="宋体"/>
                <w:sz w:val="24"/>
              </w:rPr>
              <w:t>每季度电费（元）</w:t>
            </w:r>
          </w:p>
        </w:tc>
        <w:tc>
          <w:tcPr>
            <w:tcW w:w="1240" w:type="dxa"/>
            <w:vAlign w:val="center"/>
          </w:tcPr>
          <w:p w14:paraId="1783A713">
            <w:pPr>
              <w:spacing w:line="360" w:lineRule="auto"/>
              <w:jc w:val="center"/>
              <w:rPr>
                <w:rFonts w:ascii="宋体" w:hAnsi="宋体"/>
                <w:sz w:val="24"/>
              </w:rPr>
            </w:pPr>
            <w:r>
              <w:rPr>
                <w:rFonts w:hint="eastAsia" w:ascii="宋体" w:hAnsi="宋体"/>
                <w:sz w:val="24"/>
              </w:rPr>
              <w:t>备注</w:t>
            </w:r>
          </w:p>
        </w:tc>
      </w:tr>
      <w:tr w14:paraId="681AC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2157" w:type="dxa"/>
            <w:vAlign w:val="center"/>
          </w:tcPr>
          <w:p w14:paraId="261D9A7F">
            <w:pPr>
              <w:spacing w:line="360" w:lineRule="auto"/>
              <w:jc w:val="center"/>
              <w:rPr>
                <w:rFonts w:ascii="宋体" w:hAnsi="宋体"/>
                <w:sz w:val="24"/>
              </w:rPr>
            </w:pPr>
            <w:r>
              <w:rPr>
                <w:rFonts w:hint="eastAsia"/>
                <w:sz w:val="24"/>
              </w:rPr>
              <w:t>公益反诈宣教机</w:t>
            </w:r>
          </w:p>
        </w:tc>
        <w:tc>
          <w:tcPr>
            <w:tcW w:w="1642" w:type="dxa"/>
            <w:vAlign w:val="center"/>
          </w:tcPr>
          <w:p w14:paraId="37B20820">
            <w:pPr>
              <w:spacing w:line="360" w:lineRule="auto"/>
              <w:jc w:val="center"/>
              <w:rPr>
                <w:rFonts w:ascii="宋体" w:hAnsi="宋体"/>
                <w:sz w:val="24"/>
              </w:rPr>
            </w:pPr>
          </w:p>
        </w:tc>
        <w:tc>
          <w:tcPr>
            <w:tcW w:w="2268" w:type="dxa"/>
            <w:vAlign w:val="center"/>
          </w:tcPr>
          <w:p w14:paraId="375DB6A2">
            <w:pPr>
              <w:spacing w:line="360" w:lineRule="auto"/>
              <w:jc w:val="center"/>
              <w:rPr>
                <w:rFonts w:ascii="宋体" w:hAnsi="宋体"/>
                <w:sz w:val="24"/>
              </w:rPr>
            </w:pPr>
          </w:p>
        </w:tc>
        <w:tc>
          <w:tcPr>
            <w:tcW w:w="1984" w:type="dxa"/>
            <w:vAlign w:val="center"/>
          </w:tcPr>
          <w:p w14:paraId="7C3DFCE0">
            <w:pPr>
              <w:spacing w:line="360" w:lineRule="auto"/>
              <w:jc w:val="center"/>
              <w:rPr>
                <w:rFonts w:ascii="宋体" w:hAnsi="宋体"/>
                <w:sz w:val="24"/>
              </w:rPr>
            </w:pPr>
          </w:p>
        </w:tc>
        <w:tc>
          <w:tcPr>
            <w:tcW w:w="1240" w:type="dxa"/>
          </w:tcPr>
          <w:p w14:paraId="25ABD752">
            <w:pPr>
              <w:spacing w:line="360" w:lineRule="auto"/>
              <w:jc w:val="center"/>
              <w:rPr>
                <w:rFonts w:ascii="宋体" w:hAnsi="宋体"/>
                <w:sz w:val="24"/>
              </w:rPr>
            </w:pPr>
          </w:p>
        </w:tc>
      </w:tr>
    </w:tbl>
    <w:p w14:paraId="5F7CCBE9">
      <w:pPr>
        <w:tabs>
          <w:tab w:val="left" w:pos="1134"/>
        </w:tabs>
        <w:jc w:val="center"/>
        <w:rPr>
          <w:rFonts w:hint="eastAsia" w:ascii="黑体" w:hAnsi="黑体" w:eastAsia="黑体"/>
          <w:sz w:val="32"/>
          <w:szCs w:val="32"/>
        </w:rPr>
      </w:pPr>
    </w:p>
    <w:p w14:paraId="46420D74">
      <w:pPr>
        <w:spacing w:line="400" w:lineRule="exact"/>
        <w:ind w:firstLine="560" w:firstLineChars="200"/>
        <w:rPr>
          <w:rFonts w:hint="eastAsia" w:ascii="宋体" w:hAnsi="宋体" w:eastAsia="宋体" w:cs="宋体"/>
          <w:color w:val="FF0000"/>
          <w:sz w:val="24"/>
          <w:szCs w:val="24"/>
          <w:shd w:val="clear" w:color="auto" w:fill="auto"/>
          <w:lang w:eastAsia="zh-CN"/>
        </w:rPr>
      </w:pPr>
      <w:r>
        <w:rPr>
          <w:rFonts w:hint="eastAsia" w:ascii="宋体" w:hAnsi="宋体"/>
          <w:sz w:val="28"/>
          <w:szCs w:val="28"/>
        </w:rPr>
        <w:t>备注：</w:t>
      </w:r>
    </w:p>
    <w:p w14:paraId="297477C8">
      <w:pPr>
        <w:tabs>
          <w:tab w:val="left" w:pos="1134"/>
        </w:tabs>
        <w:jc w:val="center"/>
        <w:rPr>
          <w:rFonts w:hint="eastAsia" w:ascii="黑体" w:hAnsi="黑体" w:eastAsia="黑体"/>
          <w:sz w:val="32"/>
          <w:szCs w:val="32"/>
          <w:lang w:val="en-US" w:eastAsia="zh-CN"/>
        </w:rPr>
      </w:pPr>
    </w:p>
    <w:p w14:paraId="57CE5A31">
      <w:pPr>
        <w:tabs>
          <w:tab w:val="left" w:pos="1134"/>
        </w:tabs>
        <w:jc w:val="center"/>
        <w:rPr>
          <w:rFonts w:hint="eastAsia" w:ascii="黑体" w:hAnsi="黑体" w:eastAsia="黑体"/>
          <w:sz w:val="32"/>
          <w:szCs w:val="32"/>
          <w:lang w:val="en-US" w:eastAsia="zh-CN"/>
        </w:rPr>
      </w:pPr>
    </w:p>
    <w:p w14:paraId="065953EA">
      <w:pPr>
        <w:tabs>
          <w:tab w:val="left" w:pos="1134"/>
        </w:tabs>
        <w:jc w:val="center"/>
        <w:rPr>
          <w:rFonts w:hint="eastAsia" w:ascii="黑体" w:hAnsi="黑体" w:eastAsia="黑体"/>
          <w:sz w:val="32"/>
          <w:szCs w:val="32"/>
          <w:lang w:val="en-US" w:eastAsia="zh-CN"/>
        </w:rPr>
      </w:pPr>
    </w:p>
    <w:p w14:paraId="249C7754">
      <w:pPr>
        <w:tabs>
          <w:tab w:val="left" w:pos="1134"/>
        </w:tabs>
        <w:jc w:val="center"/>
        <w:rPr>
          <w:rFonts w:hint="eastAsia" w:ascii="黑体" w:hAnsi="黑体" w:eastAsia="黑体"/>
          <w:sz w:val="32"/>
          <w:szCs w:val="32"/>
          <w:lang w:val="en-US" w:eastAsia="zh-CN"/>
        </w:rPr>
      </w:pPr>
    </w:p>
    <w:p w14:paraId="4BF3F525">
      <w:pPr>
        <w:tabs>
          <w:tab w:val="left" w:pos="1134"/>
        </w:tabs>
        <w:jc w:val="center"/>
        <w:rPr>
          <w:rFonts w:hint="eastAsia" w:ascii="黑体" w:hAnsi="黑体" w:eastAsia="黑体"/>
          <w:sz w:val="32"/>
          <w:szCs w:val="32"/>
          <w:lang w:val="en-US" w:eastAsia="zh-CN"/>
        </w:rPr>
      </w:pPr>
    </w:p>
    <w:p w14:paraId="7667E69E">
      <w:pPr>
        <w:spacing w:line="500" w:lineRule="exact"/>
        <w:ind w:firstLine="4680" w:firstLineChars="1950"/>
        <w:rPr>
          <w:rFonts w:hint="eastAsia" w:ascii="宋体" w:hAnsi="宋体" w:eastAsia="宋体" w:cs="宋体"/>
          <w:color w:val="000000"/>
          <w:sz w:val="24"/>
          <w:szCs w:val="24"/>
        </w:rPr>
      </w:pPr>
      <w:r>
        <w:rPr>
          <w:rFonts w:hint="eastAsia" w:ascii="宋体" w:hAnsi="宋体" w:eastAsia="宋体" w:cs="宋体"/>
          <w:color w:val="000000"/>
          <w:sz w:val="24"/>
          <w:szCs w:val="24"/>
        </w:rPr>
        <w:t>供应商名称（公章）或自然人签署：</w:t>
      </w:r>
    </w:p>
    <w:p w14:paraId="3ADF4C3D">
      <w:pPr>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年     月     日</w:t>
      </w:r>
    </w:p>
    <w:p w14:paraId="506B6B9B">
      <w:pPr>
        <w:tabs>
          <w:tab w:val="left" w:pos="1134"/>
        </w:tabs>
        <w:jc w:val="center"/>
        <w:rPr>
          <w:rFonts w:hint="eastAsia" w:ascii="黑体" w:hAnsi="黑体" w:eastAsia="黑体"/>
          <w:sz w:val="32"/>
          <w:szCs w:val="32"/>
          <w:lang w:val="en-US" w:eastAsia="zh-CN"/>
        </w:rPr>
      </w:pPr>
    </w:p>
    <w:p w14:paraId="0376A2B4">
      <w:pPr>
        <w:tabs>
          <w:tab w:val="left" w:pos="1134"/>
        </w:tabs>
        <w:jc w:val="center"/>
        <w:rPr>
          <w:rFonts w:hint="eastAsia" w:ascii="黑体" w:hAnsi="黑体" w:eastAsia="黑体"/>
          <w:sz w:val="32"/>
          <w:szCs w:val="32"/>
          <w:lang w:val="en-US" w:eastAsia="zh-CN"/>
        </w:rPr>
      </w:pPr>
    </w:p>
    <w:p w14:paraId="0057DB95">
      <w:pPr>
        <w:tabs>
          <w:tab w:val="left" w:pos="1134"/>
        </w:tabs>
        <w:jc w:val="center"/>
        <w:rPr>
          <w:rFonts w:hint="eastAsia" w:ascii="黑体" w:hAnsi="黑体" w:eastAsia="黑体"/>
          <w:sz w:val="32"/>
          <w:szCs w:val="32"/>
          <w:lang w:val="en-US" w:eastAsia="zh-CN"/>
        </w:rPr>
      </w:pPr>
    </w:p>
    <w:p w14:paraId="3EC5CBD6">
      <w:pPr>
        <w:tabs>
          <w:tab w:val="left" w:pos="1134"/>
        </w:tabs>
        <w:jc w:val="center"/>
        <w:rPr>
          <w:rFonts w:hint="eastAsia" w:ascii="黑体" w:hAnsi="黑体" w:eastAsia="黑体"/>
          <w:sz w:val="32"/>
          <w:szCs w:val="32"/>
          <w:lang w:val="en-US" w:eastAsia="zh-CN"/>
        </w:rPr>
      </w:pPr>
    </w:p>
    <w:p w14:paraId="7ACB4073">
      <w:pPr>
        <w:tabs>
          <w:tab w:val="left" w:pos="1134"/>
        </w:tabs>
        <w:jc w:val="center"/>
        <w:rPr>
          <w:rFonts w:hint="eastAsia" w:ascii="黑体" w:hAnsi="黑体" w:eastAsia="黑体"/>
          <w:sz w:val="32"/>
          <w:szCs w:val="32"/>
          <w:lang w:val="en-US" w:eastAsia="zh-CN"/>
        </w:rPr>
      </w:pPr>
    </w:p>
    <w:p w14:paraId="189B6ABB">
      <w:pPr>
        <w:outlineLvl w:val="0"/>
        <w:rPr>
          <w:rFonts w:hint="eastAsia" w:ascii="宋体" w:hAnsi="宋体" w:eastAsia="宋体" w:cs="宋体"/>
          <w:b/>
          <w:color w:val="000000" w:themeColor="text1"/>
          <w:shd w:val="clear" w:color="auto" w:fill="auto"/>
          <w14:textFill>
            <w14:solidFill>
              <w14:schemeClr w14:val="tx1"/>
            </w14:solidFill>
          </w14:textFill>
        </w:rPr>
      </w:pPr>
    </w:p>
    <w:p w14:paraId="61213165">
      <w:pPr>
        <w:outlineLvl w:val="0"/>
        <w:rPr>
          <w:rFonts w:hint="eastAsia" w:ascii="宋体" w:hAnsi="宋体" w:eastAsia="宋体" w:cs="宋体"/>
          <w:b/>
          <w:color w:val="000000" w:themeColor="text1"/>
          <w:shd w:val="clear" w:color="auto" w:fill="auto"/>
          <w14:textFill>
            <w14:solidFill>
              <w14:schemeClr w14:val="tx1"/>
            </w14:solidFill>
          </w14:textFill>
        </w:rPr>
      </w:pPr>
    </w:p>
    <w:p w14:paraId="5934484F">
      <w:pPr>
        <w:outlineLvl w:val="0"/>
        <w:rPr>
          <w:rFonts w:hint="eastAsia" w:ascii="宋体" w:hAnsi="宋体" w:eastAsia="宋体" w:cs="宋体"/>
          <w:b/>
          <w:color w:val="000000" w:themeColor="text1"/>
          <w:shd w:val="clear" w:color="auto" w:fill="auto"/>
          <w14:textFill>
            <w14:solidFill>
              <w14:schemeClr w14:val="tx1"/>
            </w14:solidFill>
          </w14:textFill>
        </w:rPr>
      </w:pPr>
    </w:p>
    <w:p w14:paraId="67C13B17">
      <w:pPr>
        <w:outlineLvl w:val="0"/>
        <w:rPr>
          <w:rFonts w:hint="eastAsia" w:ascii="宋体" w:hAnsi="宋体" w:eastAsia="宋体" w:cs="宋体"/>
          <w:b/>
          <w:color w:val="000000" w:themeColor="text1"/>
          <w:shd w:val="clear" w:color="auto" w:fill="auto"/>
          <w14:textFill>
            <w14:solidFill>
              <w14:schemeClr w14:val="tx1"/>
            </w14:solidFill>
          </w14:textFill>
        </w:rPr>
      </w:pPr>
    </w:p>
    <w:p w14:paraId="2A450BFB">
      <w:pPr>
        <w:outlineLvl w:val="0"/>
        <w:rPr>
          <w:rFonts w:hint="eastAsia" w:ascii="宋体" w:hAnsi="宋体" w:eastAsia="宋体" w:cs="宋体"/>
          <w:b/>
          <w:color w:val="000000" w:themeColor="text1"/>
          <w:shd w:val="clear" w:color="auto" w:fill="auto"/>
          <w14:textFill>
            <w14:solidFill>
              <w14:schemeClr w14:val="tx1"/>
            </w14:solidFill>
          </w14:textFill>
        </w:rPr>
      </w:pPr>
    </w:p>
    <w:p w14:paraId="6FE2EF65">
      <w:pPr>
        <w:outlineLvl w:val="0"/>
        <w:rPr>
          <w:rFonts w:hint="eastAsia" w:ascii="宋体" w:hAnsi="宋体" w:eastAsia="宋体" w:cs="宋体"/>
          <w:b/>
          <w:color w:val="000000" w:themeColor="text1"/>
          <w:shd w:val="clear" w:color="auto" w:fill="auto"/>
          <w14:textFill>
            <w14:solidFill>
              <w14:schemeClr w14:val="tx1"/>
            </w14:solidFill>
          </w14:textFill>
        </w:rPr>
      </w:pPr>
    </w:p>
    <w:p w14:paraId="381A82A5">
      <w:pPr>
        <w:outlineLvl w:val="0"/>
        <w:rPr>
          <w:rFonts w:hint="eastAsia" w:ascii="宋体" w:hAnsi="宋体" w:eastAsia="宋体" w:cs="宋体"/>
          <w:b/>
          <w:color w:val="000000" w:themeColor="text1"/>
          <w:shd w:val="clear" w:color="auto" w:fill="auto"/>
          <w14:textFill>
            <w14:solidFill>
              <w14:schemeClr w14:val="tx1"/>
            </w14:solidFill>
          </w14:textFill>
        </w:rPr>
      </w:pPr>
    </w:p>
    <w:p w14:paraId="6BAE2102">
      <w:pPr>
        <w:outlineLvl w:val="0"/>
        <w:rPr>
          <w:rFonts w:hint="eastAsia" w:ascii="宋体" w:hAnsi="宋体" w:eastAsia="宋体" w:cs="宋体"/>
          <w:b/>
          <w:color w:val="000000" w:themeColor="text1"/>
          <w:shd w:val="clear" w:color="auto" w:fill="auto"/>
          <w14:textFill>
            <w14:solidFill>
              <w14:schemeClr w14:val="tx1"/>
            </w14:solidFill>
          </w14:textFill>
        </w:rPr>
      </w:pPr>
    </w:p>
    <w:p w14:paraId="25898B3A">
      <w:pPr>
        <w:outlineLvl w:val="0"/>
        <w:rPr>
          <w:rFonts w:hint="eastAsia" w:ascii="宋体" w:hAnsi="宋体" w:eastAsia="宋体" w:cs="宋体"/>
          <w:b/>
          <w:color w:val="000000" w:themeColor="text1"/>
          <w:shd w:val="clear" w:color="auto" w:fill="auto"/>
          <w14:textFill>
            <w14:solidFill>
              <w14:schemeClr w14:val="tx1"/>
            </w14:solidFill>
          </w14:textFill>
        </w:rPr>
      </w:pPr>
    </w:p>
    <w:p w14:paraId="66ADE586">
      <w:pPr>
        <w:outlineLvl w:val="0"/>
        <w:rPr>
          <w:rFonts w:hint="eastAsia" w:ascii="宋体" w:hAnsi="宋体" w:eastAsia="宋体" w:cs="宋体"/>
          <w:b/>
          <w:color w:val="000000" w:themeColor="text1"/>
          <w:shd w:val="clear" w:color="auto" w:fill="auto"/>
          <w14:textFill>
            <w14:solidFill>
              <w14:schemeClr w14:val="tx1"/>
            </w14:solidFill>
          </w14:textFill>
        </w:rPr>
      </w:pPr>
    </w:p>
    <w:p w14:paraId="785D7C0B">
      <w:pPr>
        <w:outlineLvl w:val="0"/>
        <w:rPr>
          <w:rFonts w:hint="eastAsia" w:ascii="宋体" w:hAnsi="宋体" w:eastAsia="宋体" w:cs="宋体"/>
          <w:b/>
          <w:color w:val="000000" w:themeColor="text1"/>
          <w:shd w:val="clear" w:color="auto" w:fill="auto"/>
          <w14:textFill>
            <w14:solidFill>
              <w14:schemeClr w14:val="tx1"/>
            </w14:solidFill>
          </w14:textFill>
        </w:rPr>
      </w:pPr>
    </w:p>
    <w:p w14:paraId="33868A1A">
      <w:pPr>
        <w:outlineLvl w:val="0"/>
        <w:rPr>
          <w:rFonts w:hint="eastAsia" w:ascii="宋体" w:hAnsi="宋体" w:eastAsia="宋体" w:cs="宋体"/>
          <w:b/>
          <w:color w:val="000000" w:themeColor="text1"/>
          <w:shd w:val="clear" w:color="auto" w:fill="auto"/>
          <w14:textFill>
            <w14:solidFill>
              <w14:schemeClr w14:val="tx1"/>
            </w14:solidFill>
          </w14:textFill>
        </w:rPr>
      </w:pPr>
    </w:p>
    <w:p w14:paraId="290A60AA">
      <w:pPr>
        <w:outlineLvl w:val="0"/>
        <w:rPr>
          <w:rFonts w:hint="eastAsia" w:ascii="宋体" w:hAnsi="宋体" w:eastAsia="宋体" w:cs="宋体"/>
          <w:b/>
          <w:color w:val="000000" w:themeColor="text1"/>
          <w:shd w:val="clear" w:color="auto" w:fill="auto"/>
          <w14:textFill>
            <w14:solidFill>
              <w14:schemeClr w14:val="tx1"/>
            </w14:solidFill>
          </w14:textFill>
        </w:rPr>
      </w:pPr>
    </w:p>
    <w:p w14:paraId="3F947E22">
      <w:pPr>
        <w:outlineLvl w:val="0"/>
        <w:rPr>
          <w:rFonts w:hint="eastAsia" w:ascii="宋体" w:hAnsi="宋体" w:eastAsia="宋体" w:cs="宋体"/>
          <w:b/>
          <w:color w:val="000000" w:themeColor="text1"/>
          <w:shd w:val="clear" w:color="auto" w:fill="auto"/>
          <w14:textFill>
            <w14:solidFill>
              <w14:schemeClr w14:val="tx1"/>
            </w14:solidFill>
          </w14:textFill>
        </w:rPr>
      </w:pPr>
    </w:p>
    <w:p w14:paraId="763A550D">
      <w:pPr>
        <w:outlineLvl w:val="0"/>
        <w:rPr>
          <w:rFonts w:hint="eastAsia" w:ascii="宋体" w:hAnsi="宋体" w:eastAsia="宋体" w:cs="宋体"/>
          <w:b/>
          <w:color w:val="000000" w:themeColor="text1"/>
          <w:shd w:val="clear" w:color="auto" w:fill="auto"/>
          <w14:textFill>
            <w14:solidFill>
              <w14:schemeClr w14:val="tx1"/>
            </w14:solidFill>
          </w14:textFill>
        </w:rPr>
      </w:pPr>
    </w:p>
    <w:p w14:paraId="3DC1783C">
      <w:pPr>
        <w:outlineLvl w:val="0"/>
        <w:rPr>
          <w:rFonts w:hint="eastAsia" w:ascii="宋体" w:hAnsi="宋体" w:eastAsia="宋体" w:cs="宋体"/>
          <w:b/>
          <w:color w:val="000000" w:themeColor="text1"/>
          <w:shd w:val="clear" w:color="auto" w:fill="auto"/>
          <w14:textFill>
            <w14:solidFill>
              <w14:schemeClr w14:val="tx1"/>
            </w14:solidFill>
          </w14:textFill>
        </w:rPr>
      </w:pPr>
    </w:p>
    <w:p w14:paraId="37F5353E">
      <w:pPr>
        <w:outlineLvl w:val="0"/>
        <w:rPr>
          <w:rFonts w:hint="eastAsia" w:ascii="宋体" w:hAnsi="宋体" w:eastAsia="宋体" w:cs="宋体"/>
          <w:b/>
          <w:color w:val="000000" w:themeColor="text1"/>
          <w:shd w:val="clear" w:color="auto" w:fill="auto"/>
          <w14:textFill>
            <w14:solidFill>
              <w14:schemeClr w14:val="tx1"/>
            </w14:solidFill>
          </w14:textFill>
        </w:rPr>
      </w:pPr>
    </w:p>
    <w:p w14:paraId="24B502C4">
      <w:pPr>
        <w:outlineLvl w:val="0"/>
        <w:rPr>
          <w:rFonts w:hint="eastAsia" w:ascii="宋体" w:hAnsi="宋体" w:eastAsia="宋体" w:cs="宋体"/>
          <w:b/>
          <w:color w:val="000000" w:themeColor="text1"/>
          <w:shd w:val="clear" w:color="auto" w:fill="auto"/>
          <w14:textFill>
            <w14:solidFill>
              <w14:schemeClr w14:val="tx1"/>
            </w14:solidFill>
          </w14:textFill>
        </w:rPr>
      </w:pPr>
    </w:p>
    <w:p w14:paraId="37A7629F">
      <w:pPr>
        <w:outlineLvl w:val="0"/>
        <w:rPr>
          <w:rFonts w:hint="eastAsia" w:ascii="宋体" w:hAnsi="宋体" w:eastAsia="宋体" w:cs="宋体"/>
          <w:b/>
          <w:color w:val="000000" w:themeColor="text1"/>
          <w:shd w:val="clear" w:color="auto" w:fill="auto"/>
          <w14:textFill>
            <w14:solidFill>
              <w14:schemeClr w14:val="tx1"/>
            </w14:solidFill>
          </w14:textFill>
        </w:rPr>
      </w:pPr>
    </w:p>
    <w:p w14:paraId="3ED4EC3F">
      <w:pPr>
        <w:outlineLvl w:val="0"/>
        <w:rPr>
          <w:rFonts w:hint="eastAsia" w:ascii="宋体" w:hAnsi="宋体" w:eastAsia="宋体" w:cs="宋体"/>
          <w:b/>
          <w:color w:val="000000" w:themeColor="text1"/>
          <w:shd w:val="clear" w:color="auto" w:fill="auto"/>
          <w14:textFill>
            <w14:solidFill>
              <w14:schemeClr w14:val="tx1"/>
            </w14:solidFill>
          </w14:textFill>
        </w:rPr>
      </w:pPr>
    </w:p>
    <w:p w14:paraId="169BF0D2">
      <w:pPr>
        <w:outlineLvl w:val="0"/>
        <w:rPr>
          <w:rFonts w:hint="eastAsia" w:ascii="宋体" w:hAnsi="宋体" w:eastAsia="宋体" w:cs="宋体"/>
          <w:b/>
          <w:color w:val="000000" w:themeColor="text1"/>
          <w:shd w:val="clear" w:color="auto" w:fill="auto"/>
          <w14:textFill>
            <w14:solidFill>
              <w14:schemeClr w14:val="tx1"/>
            </w14:solidFill>
          </w14:textFill>
        </w:rPr>
      </w:pPr>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二、服务部分</w:t>
      </w:r>
      <w:bookmarkEnd w:id="159"/>
      <w:bookmarkEnd w:id="160"/>
      <w:bookmarkEnd w:id="161"/>
      <w:bookmarkEnd w:id="162"/>
      <w:bookmarkEnd w:id="163"/>
      <w:bookmarkEnd w:id="164"/>
      <w:bookmarkEnd w:id="165"/>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6" w:name="_Toc13844"/>
      <w:bookmarkStart w:id="167" w:name="_Toc485108798"/>
      <w:bookmarkStart w:id="168" w:name="_Toc480979020"/>
      <w:bookmarkStart w:id="169" w:name="_Toc342913421"/>
      <w:bookmarkStart w:id="170" w:name="_Toc313888362"/>
      <w:bookmarkStart w:id="171" w:name="_Toc15203"/>
      <w:bookmarkStart w:id="172" w:name="_Toc313008358"/>
      <w:r>
        <w:rPr>
          <w:rFonts w:hint="eastAsia" w:ascii="宋体" w:hAnsi="宋体" w:eastAsia="宋体" w:cs="宋体"/>
          <w:b/>
          <w:color w:val="000000" w:themeColor="text1"/>
          <w:shd w:val="clear" w:color="auto" w:fill="auto"/>
          <w14:textFill>
            <w14:solidFill>
              <w14:schemeClr w14:val="tx1"/>
            </w14:solidFill>
          </w14:textFill>
        </w:rPr>
        <w:t>三、商务部分</w:t>
      </w:r>
      <w:bookmarkEnd w:id="166"/>
      <w:bookmarkEnd w:id="167"/>
      <w:bookmarkEnd w:id="168"/>
      <w:bookmarkEnd w:id="169"/>
      <w:bookmarkEnd w:id="170"/>
      <w:bookmarkEnd w:id="171"/>
      <w:bookmarkEnd w:id="172"/>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3"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3"/>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4" w:name="_Toc10896"/>
      <w:bookmarkStart w:id="175"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4"/>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6"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6"/>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77" w:name="_Toc9941"/>
      <w:bookmarkStart w:id="178" w:name="_Toc23584"/>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77"/>
      <w:bookmarkEnd w:id="178"/>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5"/>
      <w:bookmarkStart w:id="179" w:name="_Toc313888363"/>
      <w:bookmarkStart w:id="180" w:name="_Toc313008359"/>
      <w:bookmarkStart w:id="181" w:name="_Toc342913422"/>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79"/>
      <w:bookmarkEnd w:id="180"/>
      <w:bookmarkEnd w:id="181"/>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2" w:name="OLE_LINK7"/>
      <w:bookmarkStart w:id="183" w:name="OLE_LINK4"/>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szCs w:val="24"/>
        </w:rPr>
        <w:br w:type="page"/>
      </w:r>
    </w:p>
    <w:bookmarkEnd w:id="182"/>
    <w:bookmarkEnd w:id="183"/>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4" w:name="_Toc27212"/>
      <w:bookmarkStart w:id="185" w:name="_Toc31463"/>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4"/>
    <w:bookmarkEnd w:id="185"/>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271C6D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6"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6"/>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7"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87"/>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88"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88"/>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72A7DF4A">
      <w:pPr>
        <w:rPr>
          <w:rFonts w:hint="eastAsia" w:ascii="宋体" w:hAnsi="宋体" w:eastAsia="宋体" w:cs="宋体"/>
          <w:color w:val="000000" w:themeColor="text1"/>
          <w:shd w:val="clear" w:color="auto" w:fill="auto"/>
          <w14:textFill>
            <w14:solidFill>
              <w14:schemeClr w14:val="tx1"/>
            </w14:solidFill>
          </w14:textFill>
        </w:rPr>
      </w:pPr>
    </w:p>
    <w:p w14:paraId="6668287A">
      <w:pPr>
        <w:rPr>
          <w:rFonts w:hint="eastAsia" w:ascii="宋体" w:hAnsi="宋体" w:eastAsia="宋体" w:cs="宋体"/>
          <w:color w:val="000000" w:themeColor="text1"/>
          <w:shd w:val="clear" w:color="auto" w:fill="auto"/>
          <w:lang w:val="en-US" w:eastAsia="zh-CN"/>
          <w14:textFill>
            <w14:solidFill>
              <w14:schemeClr w14:val="tx1"/>
            </w14:solidFill>
          </w14:textFill>
        </w:rPr>
      </w:pPr>
      <w:r>
        <w:rPr>
          <w:rFonts w:hint="eastAsia" w:ascii="宋体" w:hAnsi="宋体" w:eastAsia="宋体" w:cs="宋体"/>
          <w:color w:val="000000" w:themeColor="text1"/>
          <w:shd w:val="clear" w:color="auto" w:fill="auto"/>
          <w:lang w:eastAsia="zh-CN"/>
          <w14:textFill>
            <w14:solidFill>
              <w14:schemeClr w14:val="tx1"/>
            </w14:solidFill>
          </w14:textFill>
        </w:rPr>
        <w:t>附件</w:t>
      </w:r>
      <w:r>
        <w:rPr>
          <w:rFonts w:hint="eastAsia" w:ascii="宋体" w:hAnsi="宋体" w:eastAsia="宋体" w:cs="宋体"/>
          <w:color w:val="000000" w:themeColor="text1"/>
          <w:shd w:val="clear" w:color="auto" w:fill="auto"/>
          <w:lang w:val="en-US" w:eastAsia="zh-CN"/>
          <w14:textFill>
            <w14:solidFill>
              <w14:schemeClr w14:val="tx1"/>
            </w14:solidFill>
          </w14:textFill>
        </w:rPr>
        <w:t>1</w:t>
      </w:r>
    </w:p>
    <w:p w14:paraId="5729EE51">
      <w:pPr>
        <w:spacing w:line="360" w:lineRule="auto"/>
        <w:jc w:val="center"/>
        <w:rPr>
          <w:rFonts w:hint="eastAsia" w:ascii="方正仿宋_GBK" w:eastAsia="方正仿宋_GBK"/>
          <w:sz w:val="28"/>
          <w:szCs w:val="28"/>
        </w:rPr>
      </w:pPr>
      <w:r>
        <w:rPr>
          <w:rFonts w:hint="eastAsia" w:ascii="方正仿宋_GBK" w:eastAsia="方正仿宋_GBK"/>
          <w:sz w:val="28"/>
          <w:szCs w:val="28"/>
        </w:rPr>
        <w:t>安装点位清单</w:t>
      </w:r>
    </w:p>
    <w:tbl>
      <w:tblPr>
        <w:tblStyle w:val="6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14:paraId="44170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5287DE8A">
            <w:pPr>
              <w:spacing w:line="360" w:lineRule="auto"/>
              <w:jc w:val="center"/>
              <w:rPr>
                <w:rFonts w:hint="eastAsia"/>
                <w:sz w:val="24"/>
                <w:szCs w:val="28"/>
              </w:rPr>
            </w:pPr>
            <w:r>
              <w:rPr>
                <w:rFonts w:hint="eastAsia"/>
                <w:sz w:val="24"/>
                <w:szCs w:val="28"/>
              </w:rPr>
              <w:t>院区</w:t>
            </w:r>
          </w:p>
        </w:tc>
        <w:tc>
          <w:tcPr>
            <w:tcW w:w="2130" w:type="dxa"/>
          </w:tcPr>
          <w:p w14:paraId="125CA809">
            <w:pPr>
              <w:spacing w:line="360" w:lineRule="auto"/>
              <w:jc w:val="center"/>
              <w:rPr>
                <w:rFonts w:hint="eastAsia"/>
                <w:sz w:val="24"/>
                <w:szCs w:val="28"/>
              </w:rPr>
            </w:pPr>
            <w:r>
              <w:rPr>
                <w:rFonts w:hint="eastAsia"/>
                <w:sz w:val="24"/>
                <w:szCs w:val="28"/>
              </w:rPr>
              <w:t>部位</w:t>
            </w:r>
          </w:p>
        </w:tc>
        <w:tc>
          <w:tcPr>
            <w:tcW w:w="2131" w:type="dxa"/>
          </w:tcPr>
          <w:p w14:paraId="7889AB15">
            <w:pPr>
              <w:spacing w:line="360" w:lineRule="auto"/>
              <w:jc w:val="center"/>
              <w:rPr>
                <w:rFonts w:hint="eastAsia"/>
                <w:sz w:val="24"/>
                <w:szCs w:val="28"/>
              </w:rPr>
            </w:pPr>
            <w:r>
              <w:rPr>
                <w:rFonts w:hint="eastAsia"/>
                <w:sz w:val="24"/>
                <w:szCs w:val="28"/>
              </w:rPr>
              <w:t>数量</w:t>
            </w:r>
          </w:p>
        </w:tc>
        <w:tc>
          <w:tcPr>
            <w:tcW w:w="2131" w:type="dxa"/>
          </w:tcPr>
          <w:p w14:paraId="3D2BFA7E">
            <w:pPr>
              <w:spacing w:line="360" w:lineRule="auto"/>
              <w:jc w:val="center"/>
              <w:rPr>
                <w:rFonts w:hint="eastAsia"/>
                <w:sz w:val="24"/>
                <w:szCs w:val="28"/>
              </w:rPr>
            </w:pPr>
            <w:r>
              <w:rPr>
                <w:rFonts w:hint="eastAsia"/>
                <w:sz w:val="24"/>
                <w:szCs w:val="28"/>
              </w:rPr>
              <w:t>备注</w:t>
            </w:r>
          </w:p>
        </w:tc>
      </w:tr>
      <w:tr w14:paraId="1EA6D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vAlign w:val="center"/>
          </w:tcPr>
          <w:p w14:paraId="47310683">
            <w:pPr>
              <w:spacing w:line="360" w:lineRule="auto"/>
              <w:jc w:val="center"/>
              <w:rPr>
                <w:rFonts w:hint="eastAsia"/>
                <w:sz w:val="24"/>
                <w:szCs w:val="28"/>
              </w:rPr>
            </w:pPr>
            <w:r>
              <w:rPr>
                <w:rFonts w:hint="eastAsia"/>
                <w:sz w:val="24"/>
                <w:szCs w:val="28"/>
              </w:rPr>
              <w:t>萱花院区</w:t>
            </w:r>
          </w:p>
        </w:tc>
        <w:tc>
          <w:tcPr>
            <w:tcW w:w="2130" w:type="dxa"/>
          </w:tcPr>
          <w:p w14:paraId="0E9B1147">
            <w:pPr>
              <w:spacing w:line="360" w:lineRule="auto"/>
              <w:jc w:val="center"/>
              <w:rPr>
                <w:sz w:val="24"/>
                <w:szCs w:val="28"/>
              </w:rPr>
            </w:pPr>
            <w:r>
              <w:rPr>
                <w:rFonts w:hint="eastAsia"/>
                <w:sz w:val="24"/>
                <w:szCs w:val="28"/>
              </w:rPr>
              <w:t>2号楼1楼</w:t>
            </w:r>
          </w:p>
        </w:tc>
        <w:tc>
          <w:tcPr>
            <w:tcW w:w="2131" w:type="dxa"/>
          </w:tcPr>
          <w:p w14:paraId="0614B21F">
            <w:pPr>
              <w:spacing w:line="360" w:lineRule="auto"/>
              <w:jc w:val="center"/>
              <w:rPr>
                <w:rFonts w:hint="eastAsia"/>
                <w:sz w:val="24"/>
                <w:szCs w:val="28"/>
              </w:rPr>
            </w:pPr>
            <w:r>
              <w:rPr>
                <w:rFonts w:hint="eastAsia"/>
                <w:sz w:val="24"/>
                <w:szCs w:val="28"/>
              </w:rPr>
              <w:t>1</w:t>
            </w:r>
          </w:p>
        </w:tc>
        <w:tc>
          <w:tcPr>
            <w:tcW w:w="2131" w:type="dxa"/>
          </w:tcPr>
          <w:p w14:paraId="46A78733">
            <w:pPr>
              <w:spacing w:line="360" w:lineRule="auto"/>
              <w:jc w:val="center"/>
              <w:rPr>
                <w:rFonts w:hint="eastAsia"/>
                <w:sz w:val="24"/>
                <w:szCs w:val="28"/>
              </w:rPr>
            </w:pPr>
            <w:r>
              <w:rPr>
                <w:rFonts w:hint="eastAsia"/>
                <w:sz w:val="24"/>
                <w:szCs w:val="28"/>
              </w:rPr>
              <w:t>立屏机</w:t>
            </w:r>
          </w:p>
        </w:tc>
      </w:tr>
      <w:tr w14:paraId="34BBD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tcPr>
          <w:p w14:paraId="4D863459">
            <w:pPr>
              <w:spacing w:line="360" w:lineRule="auto"/>
              <w:jc w:val="center"/>
              <w:rPr>
                <w:sz w:val="24"/>
                <w:szCs w:val="28"/>
              </w:rPr>
            </w:pPr>
          </w:p>
        </w:tc>
        <w:tc>
          <w:tcPr>
            <w:tcW w:w="2130" w:type="dxa"/>
          </w:tcPr>
          <w:p w14:paraId="40E57375">
            <w:pPr>
              <w:spacing w:line="360" w:lineRule="auto"/>
              <w:jc w:val="center"/>
              <w:rPr>
                <w:sz w:val="24"/>
                <w:szCs w:val="28"/>
              </w:rPr>
            </w:pPr>
            <w:r>
              <w:rPr>
                <w:rFonts w:hint="eastAsia"/>
                <w:sz w:val="24"/>
                <w:szCs w:val="28"/>
              </w:rPr>
              <w:t>3号楼1楼</w:t>
            </w:r>
          </w:p>
        </w:tc>
        <w:tc>
          <w:tcPr>
            <w:tcW w:w="2131" w:type="dxa"/>
          </w:tcPr>
          <w:p w14:paraId="637C2964">
            <w:pPr>
              <w:spacing w:line="360" w:lineRule="auto"/>
              <w:jc w:val="center"/>
              <w:rPr>
                <w:rFonts w:hint="eastAsia"/>
                <w:sz w:val="24"/>
                <w:szCs w:val="28"/>
              </w:rPr>
            </w:pPr>
            <w:r>
              <w:rPr>
                <w:rFonts w:hint="eastAsia"/>
                <w:sz w:val="24"/>
                <w:szCs w:val="28"/>
              </w:rPr>
              <w:t>1</w:t>
            </w:r>
          </w:p>
        </w:tc>
        <w:tc>
          <w:tcPr>
            <w:tcW w:w="2131" w:type="dxa"/>
          </w:tcPr>
          <w:p w14:paraId="55B23414">
            <w:pPr>
              <w:spacing w:line="360" w:lineRule="auto"/>
              <w:jc w:val="center"/>
              <w:rPr>
                <w:sz w:val="24"/>
                <w:szCs w:val="28"/>
              </w:rPr>
            </w:pPr>
          </w:p>
        </w:tc>
      </w:tr>
      <w:tr w14:paraId="6844B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tcPr>
          <w:p w14:paraId="09CA57B9">
            <w:pPr>
              <w:spacing w:line="360" w:lineRule="auto"/>
              <w:jc w:val="center"/>
              <w:rPr>
                <w:sz w:val="24"/>
                <w:szCs w:val="28"/>
              </w:rPr>
            </w:pPr>
          </w:p>
        </w:tc>
        <w:tc>
          <w:tcPr>
            <w:tcW w:w="2130" w:type="dxa"/>
          </w:tcPr>
          <w:p w14:paraId="216ED481">
            <w:pPr>
              <w:spacing w:line="360" w:lineRule="auto"/>
              <w:jc w:val="center"/>
              <w:rPr>
                <w:sz w:val="24"/>
                <w:szCs w:val="28"/>
              </w:rPr>
            </w:pPr>
            <w:r>
              <w:rPr>
                <w:rFonts w:hint="eastAsia"/>
                <w:sz w:val="24"/>
                <w:szCs w:val="28"/>
              </w:rPr>
              <w:t>4号楼1楼</w:t>
            </w:r>
          </w:p>
        </w:tc>
        <w:tc>
          <w:tcPr>
            <w:tcW w:w="2131" w:type="dxa"/>
          </w:tcPr>
          <w:p w14:paraId="16331344">
            <w:pPr>
              <w:spacing w:line="360" w:lineRule="auto"/>
              <w:jc w:val="center"/>
              <w:rPr>
                <w:rFonts w:hint="eastAsia"/>
                <w:sz w:val="24"/>
                <w:szCs w:val="28"/>
              </w:rPr>
            </w:pPr>
            <w:r>
              <w:rPr>
                <w:rFonts w:hint="eastAsia"/>
                <w:sz w:val="24"/>
                <w:szCs w:val="28"/>
              </w:rPr>
              <w:t>1</w:t>
            </w:r>
          </w:p>
        </w:tc>
        <w:tc>
          <w:tcPr>
            <w:tcW w:w="2131" w:type="dxa"/>
          </w:tcPr>
          <w:p w14:paraId="4DAB5C05">
            <w:pPr>
              <w:spacing w:line="360" w:lineRule="auto"/>
              <w:jc w:val="center"/>
              <w:rPr>
                <w:sz w:val="24"/>
                <w:szCs w:val="28"/>
              </w:rPr>
            </w:pPr>
          </w:p>
        </w:tc>
      </w:tr>
      <w:tr w14:paraId="762A8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2985E501">
            <w:pPr>
              <w:spacing w:line="360" w:lineRule="auto"/>
              <w:jc w:val="center"/>
              <w:rPr>
                <w:rFonts w:hint="eastAsia"/>
                <w:sz w:val="24"/>
                <w:szCs w:val="28"/>
              </w:rPr>
            </w:pPr>
            <w:r>
              <w:rPr>
                <w:rFonts w:hint="eastAsia"/>
                <w:sz w:val="24"/>
                <w:szCs w:val="28"/>
              </w:rPr>
              <w:t>大安院区</w:t>
            </w:r>
          </w:p>
        </w:tc>
        <w:tc>
          <w:tcPr>
            <w:tcW w:w="2130" w:type="dxa"/>
          </w:tcPr>
          <w:p w14:paraId="01701931">
            <w:pPr>
              <w:spacing w:line="360" w:lineRule="auto"/>
              <w:jc w:val="center"/>
              <w:rPr>
                <w:sz w:val="24"/>
                <w:szCs w:val="28"/>
              </w:rPr>
            </w:pPr>
            <w:r>
              <w:rPr>
                <w:rFonts w:hint="eastAsia"/>
                <w:sz w:val="24"/>
                <w:szCs w:val="28"/>
              </w:rPr>
              <w:t>门诊1楼</w:t>
            </w:r>
          </w:p>
        </w:tc>
        <w:tc>
          <w:tcPr>
            <w:tcW w:w="2131" w:type="dxa"/>
          </w:tcPr>
          <w:p w14:paraId="651D014D">
            <w:pPr>
              <w:spacing w:line="360" w:lineRule="auto"/>
              <w:jc w:val="center"/>
              <w:rPr>
                <w:rFonts w:hint="eastAsia"/>
                <w:sz w:val="24"/>
                <w:szCs w:val="28"/>
              </w:rPr>
            </w:pPr>
            <w:r>
              <w:rPr>
                <w:rFonts w:hint="eastAsia"/>
                <w:sz w:val="24"/>
                <w:szCs w:val="28"/>
              </w:rPr>
              <w:t>1</w:t>
            </w:r>
          </w:p>
        </w:tc>
        <w:tc>
          <w:tcPr>
            <w:tcW w:w="2131" w:type="dxa"/>
          </w:tcPr>
          <w:p w14:paraId="782C21BE">
            <w:pPr>
              <w:spacing w:line="360" w:lineRule="auto"/>
              <w:jc w:val="center"/>
              <w:rPr>
                <w:sz w:val="24"/>
                <w:szCs w:val="28"/>
              </w:rPr>
            </w:pPr>
            <w:r>
              <w:rPr>
                <w:rFonts w:hint="eastAsia"/>
                <w:sz w:val="24"/>
                <w:szCs w:val="28"/>
              </w:rPr>
              <w:t>立屏机</w:t>
            </w:r>
          </w:p>
        </w:tc>
      </w:tr>
      <w:tr w14:paraId="28DE2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59AA89C2">
            <w:pPr>
              <w:spacing w:line="360" w:lineRule="auto"/>
              <w:jc w:val="center"/>
              <w:rPr>
                <w:rFonts w:hint="eastAsia"/>
                <w:sz w:val="24"/>
                <w:szCs w:val="28"/>
              </w:rPr>
            </w:pPr>
            <w:r>
              <w:rPr>
                <w:rFonts w:hint="eastAsia"/>
                <w:sz w:val="24"/>
                <w:szCs w:val="28"/>
              </w:rPr>
              <w:t>兴龙湖教学部</w:t>
            </w:r>
          </w:p>
        </w:tc>
        <w:tc>
          <w:tcPr>
            <w:tcW w:w="2130" w:type="dxa"/>
          </w:tcPr>
          <w:p w14:paraId="2578900B">
            <w:pPr>
              <w:spacing w:line="360" w:lineRule="auto"/>
              <w:jc w:val="center"/>
              <w:rPr>
                <w:rFonts w:hint="eastAsia"/>
                <w:sz w:val="24"/>
                <w:szCs w:val="28"/>
              </w:rPr>
            </w:pPr>
            <w:r>
              <w:rPr>
                <w:rFonts w:hint="eastAsia"/>
                <w:sz w:val="24"/>
                <w:szCs w:val="28"/>
              </w:rPr>
              <w:t>食堂</w:t>
            </w:r>
          </w:p>
        </w:tc>
        <w:tc>
          <w:tcPr>
            <w:tcW w:w="2131" w:type="dxa"/>
          </w:tcPr>
          <w:p w14:paraId="6C7D7119">
            <w:pPr>
              <w:spacing w:line="360" w:lineRule="auto"/>
              <w:jc w:val="center"/>
              <w:rPr>
                <w:rFonts w:hint="eastAsia"/>
                <w:sz w:val="24"/>
                <w:szCs w:val="28"/>
              </w:rPr>
            </w:pPr>
            <w:r>
              <w:rPr>
                <w:rFonts w:hint="eastAsia"/>
                <w:sz w:val="24"/>
                <w:szCs w:val="28"/>
              </w:rPr>
              <w:t>1</w:t>
            </w:r>
          </w:p>
        </w:tc>
        <w:tc>
          <w:tcPr>
            <w:tcW w:w="2131" w:type="dxa"/>
          </w:tcPr>
          <w:p w14:paraId="08ACE197">
            <w:pPr>
              <w:spacing w:line="360" w:lineRule="auto"/>
              <w:jc w:val="center"/>
              <w:rPr>
                <w:sz w:val="24"/>
                <w:szCs w:val="28"/>
              </w:rPr>
            </w:pPr>
          </w:p>
        </w:tc>
      </w:tr>
      <w:tr w14:paraId="5C586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1B9EB433">
            <w:pPr>
              <w:spacing w:line="360" w:lineRule="auto"/>
              <w:jc w:val="center"/>
              <w:rPr>
                <w:rFonts w:hint="eastAsia"/>
                <w:sz w:val="24"/>
                <w:szCs w:val="28"/>
              </w:rPr>
            </w:pPr>
            <w:r>
              <w:rPr>
                <w:rFonts w:hint="eastAsia"/>
                <w:sz w:val="24"/>
                <w:szCs w:val="28"/>
              </w:rPr>
              <w:t>全科楼</w:t>
            </w:r>
          </w:p>
        </w:tc>
        <w:tc>
          <w:tcPr>
            <w:tcW w:w="2130" w:type="dxa"/>
          </w:tcPr>
          <w:p w14:paraId="421095AA">
            <w:pPr>
              <w:spacing w:line="360" w:lineRule="auto"/>
              <w:jc w:val="center"/>
              <w:rPr>
                <w:sz w:val="24"/>
                <w:szCs w:val="28"/>
              </w:rPr>
            </w:pPr>
            <w:r>
              <w:rPr>
                <w:rFonts w:hint="eastAsia"/>
                <w:sz w:val="24"/>
                <w:szCs w:val="28"/>
              </w:rPr>
              <w:t>1楼</w:t>
            </w:r>
          </w:p>
        </w:tc>
        <w:tc>
          <w:tcPr>
            <w:tcW w:w="2131" w:type="dxa"/>
          </w:tcPr>
          <w:p w14:paraId="235C237B">
            <w:pPr>
              <w:spacing w:line="360" w:lineRule="auto"/>
              <w:jc w:val="center"/>
              <w:rPr>
                <w:rFonts w:hint="eastAsia"/>
                <w:sz w:val="24"/>
                <w:szCs w:val="28"/>
              </w:rPr>
            </w:pPr>
            <w:r>
              <w:rPr>
                <w:rFonts w:hint="eastAsia"/>
                <w:sz w:val="24"/>
                <w:szCs w:val="28"/>
              </w:rPr>
              <w:t>1</w:t>
            </w:r>
          </w:p>
        </w:tc>
        <w:tc>
          <w:tcPr>
            <w:tcW w:w="2131" w:type="dxa"/>
          </w:tcPr>
          <w:p w14:paraId="6729797F">
            <w:pPr>
              <w:spacing w:line="360" w:lineRule="auto"/>
              <w:jc w:val="center"/>
              <w:rPr>
                <w:sz w:val="24"/>
                <w:szCs w:val="28"/>
              </w:rPr>
            </w:pPr>
          </w:p>
        </w:tc>
      </w:tr>
      <w:tr w14:paraId="04609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vAlign w:val="center"/>
          </w:tcPr>
          <w:p w14:paraId="51265A9A">
            <w:pPr>
              <w:spacing w:line="360" w:lineRule="auto"/>
              <w:jc w:val="center"/>
              <w:rPr>
                <w:rFonts w:hint="eastAsia"/>
                <w:sz w:val="24"/>
                <w:szCs w:val="28"/>
              </w:rPr>
            </w:pPr>
            <w:r>
              <w:rPr>
                <w:rFonts w:hint="eastAsia"/>
                <w:sz w:val="24"/>
                <w:szCs w:val="28"/>
              </w:rPr>
              <w:t>兴龙湖院区</w:t>
            </w:r>
          </w:p>
        </w:tc>
        <w:tc>
          <w:tcPr>
            <w:tcW w:w="2130" w:type="dxa"/>
          </w:tcPr>
          <w:p w14:paraId="3E3B8A0F">
            <w:pPr>
              <w:spacing w:line="360" w:lineRule="auto"/>
              <w:jc w:val="center"/>
              <w:rPr>
                <w:sz w:val="24"/>
                <w:szCs w:val="28"/>
              </w:rPr>
            </w:pPr>
            <w:r>
              <w:rPr>
                <w:rFonts w:hint="eastAsia"/>
                <w:sz w:val="24"/>
                <w:szCs w:val="28"/>
              </w:rPr>
              <w:t>门诊1楼</w:t>
            </w:r>
          </w:p>
        </w:tc>
        <w:tc>
          <w:tcPr>
            <w:tcW w:w="2131" w:type="dxa"/>
          </w:tcPr>
          <w:p w14:paraId="7FE758A3">
            <w:pPr>
              <w:spacing w:line="360" w:lineRule="auto"/>
              <w:jc w:val="center"/>
              <w:rPr>
                <w:rFonts w:hint="eastAsia"/>
                <w:sz w:val="24"/>
                <w:szCs w:val="28"/>
              </w:rPr>
            </w:pPr>
            <w:r>
              <w:rPr>
                <w:rFonts w:hint="eastAsia"/>
                <w:sz w:val="24"/>
                <w:szCs w:val="28"/>
              </w:rPr>
              <w:t>1</w:t>
            </w:r>
          </w:p>
        </w:tc>
        <w:tc>
          <w:tcPr>
            <w:tcW w:w="2131" w:type="dxa"/>
          </w:tcPr>
          <w:p w14:paraId="5F5278CD">
            <w:pPr>
              <w:spacing w:line="360" w:lineRule="auto"/>
              <w:jc w:val="center"/>
              <w:rPr>
                <w:sz w:val="24"/>
                <w:szCs w:val="28"/>
              </w:rPr>
            </w:pPr>
            <w:r>
              <w:rPr>
                <w:rFonts w:hint="eastAsia"/>
                <w:sz w:val="24"/>
                <w:szCs w:val="28"/>
              </w:rPr>
              <w:t>立屏机</w:t>
            </w:r>
          </w:p>
        </w:tc>
      </w:tr>
      <w:tr w14:paraId="20EA0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tcPr>
          <w:p w14:paraId="43A8FF73">
            <w:pPr>
              <w:spacing w:line="360" w:lineRule="auto"/>
              <w:jc w:val="center"/>
              <w:rPr>
                <w:rFonts w:hint="eastAsia"/>
                <w:sz w:val="24"/>
                <w:szCs w:val="28"/>
              </w:rPr>
            </w:pPr>
          </w:p>
        </w:tc>
        <w:tc>
          <w:tcPr>
            <w:tcW w:w="2130" w:type="dxa"/>
          </w:tcPr>
          <w:p w14:paraId="5D692D6D">
            <w:pPr>
              <w:spacing w:line="360" w:lineRule="auto"/>
              <w:jc w:val="center"/>
              <w:rPr>
                <w:rFonts w:hint="eastAsia"/>
                <w:sz w:val="24"/>
                <w:szCs w:val="28"/>
              </w:rPr>
            </w:pPr>
            <w:r>
              <w:rPr>
                <w:rFonts w:hint="eastAsia"/>
                <w:sz w:val="24"/>
                <w:szCs w:val="28"/>
              </w:rPr>
              <w:t>急诊</w:t>
            </w:r>
          </w:p>
        </w:tc>
        <w:tc>
          <w:tcPr>
            <w:tcW w:w="2131" w:type="dxa"/>
          </w:tcPr>
          <w:p w14:paraId="676F9823">
            <w:pPr>
              <w:spacing w:line="360" w:lineRule="auto"/>
              <w:jc w:val="center"/>
              <w:rPr>
                <w:rFonts w:hint="eastAsia"/>
                <w:sz w:val="24"/>
                <w:szCs w:val="28"/>
              </w:rPr>
            </w:pPr>
            <w:r>
              <w:rPr>
                <w:rFonts w:hint="eastAsia"/>
                <w:sz w:val="24"/>
                <w:szCs w:val="28"/>
              </w:rPr>
              <w:t>1</w:t>
            </w:r>
          </w:p>
        </w:tc>
        <w:tc>
          <w:tcPr>
            <w:tcW w:w="2131" w:type="dxa"/>
          </w:tcPr>
          <w:p w14:paraId="63F193FD">
            <w:pPr>
              <w:spacing w:line="360" w:lineRule="auto"/>
              <w:jc w:val="center"/>
              <w:rPr>
                <w:sz w:val="24"/>
                <w:szCs w:val="28"/>
              </w:rPr>
            </w:pPr>
          </w:p>
        </w:tc>
      </w:tr>
      <w:tr w14:paraId="78451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tcPr>
          <w:p w14:paraId="0D894F9D">
            <w:pPr>
              <w:spacing w:line="360" w:lineRule="auto"/>
              <w:jc w:val="center"/>
              <w:rPr>
                <w:rFonts w:hint="eastAsia"/>
                <w:sz w:val="24"/>
                <w:szCs w:val="28"/>
              </w:rPr>
            </w:pPr>
          </w:p>
        </w:tc>
        <w:tc>
          <w:tcPr>
            <w:tcW w:w="2130" w:type="dxa"/>
          </w:tcPr>
          <w:p w14:paraId="4DD61DEA">
            <w:pPr>
              <w:spacing w:line="360" w:lineRule="auto"/>
              <w:jc w:val="center"/>
              <w:rPr>
                <w:rFonts w:hint="eastAsia"/>
                <w:sz w:val="24"/>
                <w:szCs w:val="28"/>
              </w:rPr>
            </w:pPr>
            <w:r>
              <w:rPr>
                <w:rFonts w:hint="eastAsia"/>
                <w:sz w:val="24"/>
                <w:szCs w:val="28"/>
              </w:rPr>
              <w:t>手术等候区</w:t>
            </w:r>
          </w:p>
        </w:tc>
        <w:tc>
          <w:tcPr>
            <w:tcW w:w="2131" w:type="dxa"/>
          </w:tcPr>
          <w:p w14:paraId="3B55A0CF">
            <w:pPr>
              <w:spacing w:line="360" w:lineRule="auto"/>
              <w:jc w:val="center"/>
              <w:rPr>
                <w:rFonts w:hint="eastAsia"/>
                <w:sz w:val="24"/>
                <w:szCs w:val="28"/>
              </w:rPr>
            </w:pPr>
            <w:r>
              <w:rPr>
                <w:rFonts w:hint="eastAsia"/>
                <w:sz w:val="24"/>
                <w:szCs w:val="28"/>
              </w:rPr>
              <w:t>1</w:t>
            </w:r>
          </w:p>
        </w:tc>
        <w:tc>
          <w:tcPr>
            <w:tcW w:w="2131" w:type="dxa"/>
          </w:tcPr>
          <w:p w14:paraId="0D78427B">
            <w:pPr>
              <w:spacing w:line="360" w:lineRule="auto"/>
              <w:jc w:val="center"/>
              <w:rPr>
                <w:sz w:val="24"/>
                <w:szCs w:val="28"/>
              </w:rPr>
            </w:pPr>
          </w:p>
        </w:tc>
      </w:tr>
    </w:tbl>
    <w:p w14:paraId="3A735889">
      <w:pPr>
        <w:rPr>
          <w:rFonts w:hint="default" w:ascii="宋体" w:hAnsi="宋体" w:eastAsia="宋体" w:cs="宋体"/>
          <w:color w:val="000000" w:themeColor="text1"/>
          <w:shd w:val="clear" w:color="auto" w:fill="auto"/>
          <w:lang w:val="en-US" w:eastAsia="zh-CN"/>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5FD179A-E158-4A72-BA28-EF002B11AB7C}"/>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2" w:fontKey="{B22E0B00-1B78-48A2-B96B-9D8D0FA597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6"/>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6"/>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6"/>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7"/>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7"/>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7"/>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2D01"/>
    <w:rsid w:val="00F46D9E"/>
    <w:rsid w:val="00F612D7"/>
    <w:rsid w:val="00F77324"/>
    <w:rsid w:val="00FA72A1"/>
    <w:rsid w:val="00FF1BDE"/>
    <w:rsid w:val="01067A49"/>
    <w:rsid w:val="015A3746"/>
    <w:rsid w:val="021D673F"/>
    <w:rsid w:val="024043A7"/>
    <w:rsid w:val="02D84414"/>
    <w:rsid w:val="02FE0C09"/>
    <w:rsid w:val="037759DB"/>
    <w:rsid w:val="03921202"/>
    <w:rsid w:val="039C4C1C"/>
    <w:rsid w:val="03BB3ADF"/>
    <w:rsid w:val="03C2134C"/>
    <w:rsid w:val="04DA26C6"/>
    <w:rsid w:val="04DE1E0F"/>
    <w:rsid w:val="04F00597"/>
    <w:rsid w:val="05AB6E25"/>
    <w:rsid w:val="05E64439"/>
    <w:rsid w:val="05E94CDF"/>
    <w:rsid w:val="060E092E"/>
    <w:rsid w:val="065A1406"/>
    <w:rsid w:val="067D7A0C"/>
    <w:rsid w:val="06A45EA9"/>
    <w:rsid w:val="06BC1BB0"/>
    <w:rsid w:val="074B1659"/>
    <w:rsid w:val="07911761"/>
    <w:rsid w:val="07C5765D"/>
    <w:rsid w:val="07F26429"/>
    <w:rsid w:val="084C34CD"/>
    <w:rsid w:val="094176DB"/>
    <w:rsid w:val="0983062E"/>
    <w:rsid w:val="0ACB5503"/>
    <w:rsid w:val="0ACF458A"/>
    <w:rsid w:val="0B6515A1"/>
    <w:rsid w:val="0B6F68C5"/>
    <w:rsid w:val="0BAE21B6"/>
    <w:rsid w:val="0BDC31C7"/>
    <w:rsid w:val="0BE1258C"/>
    <w:rsid w:val="0BE64970"/>
    <w:rsid w:val="0C033E70"/>
    <w:rsid w:val="0C3152C1"/>
    <w:rsid w:val="0C481EEF"/>
    <w:rsid w:val="0C56674E"/>
    <w:rsid w:val="0C931BB2"/>
    <w:rsid w:val="0C975B64"/>
    <w:rsid w:val="0C9D3992"/>
    <w:rsid w:val="0D32097D"/>
    <w:rsid w:val="0D7E5EAD"/>
    <w:rsid w:val="0DC167EC"/>
    <w:rsid w:val="0E0E625A"/>
    <w:rsid w:val="0E38674E"/>
    <w:rsid w:val="0E4D3D6E"/>
    <w:rsid w:val="0E5721EA"/>
    <w:rsid w:val="0E5A796A"/>
    <w:rsid w:val="0E5B5064"/>
    <w:rsid w:val="0E5B6625"/>
    <w:rsid w:val="0E9859A3"/>
    <w:rsid w:val="0E987B2D"/>
    <w:rsid w:val="0ECE4584"/>
    <w:rsid w:val="0F291536"/>
    <w:rsid w:val="0FAB0EE6"/>
    <w:rsid w:val="0FC701EB"/>
    <w:rsid w:val="0FCD0A4F"/>
    <w:rsid w:val="0FD61CDB"/>
    <w:rsid w:val="0FD8306F"/>
    <w:rsid w:val="0FFD1C5A"/>
    <w:rsid w:val="1014334F"/>
    <w:rsid w:val="10246EEB"/>
    <w:rsid w:val="10413B50"/>
    <w:rsid w:val="104D689B"/>
    <w:rsid w:val="109D57E0"/>
    <w:rsid w:val="10BA59BE"/>
    <w:rsid w:val="10BF5E9B"/>
    <w:rsid w:val="111523FC"/>
    <w:rsid w:val="111C3A01"/>
    <w:rsid w:val="114A7245"/>
    <w:rsid w:val="11782A26"/>
    <w:rsid w:val="11E44902"/>
    <w:rsid w:val="13141499"/>
    <w:rsid w:val="131D034D"/>
    <w:rsid w:val="133C3066"/>
    <w:rsid w:val="134E0964"/>
    <w:rsid w:val="13633F56"/>
    <w:rsid w:val="13653AA2"/>
    <w:rsid w:val="13D52C1B"/>
    <w:rsid w:val="13F41DC8"/>
    <w:rsid w:val="144B1714"/>
    <w:rsid w:val="14B95EDB"/>
    <w:rsid w:val="14C6168E"/>
    <w:rsid w:val="14C6556D"/>
    <w:rsid w:val="14E12006"/>
    <w:rsid w:val="1554725E"/>
    <w:rsid w:val="15604521"/>
    <w:rsid w:val="156125ED"/>
    <w:rsid w:val="158D32E0"/>
    <w:rsid w:val="15D171CD"/>
    <w:rsid w:val="16243DF1"/>
    <w:rsid w:val="165A4E2F"/>
    <w:rsid w:val="17E52B34"/>
    <w:rsid w:val="18130842"/>
    <w:rsid w:val="18465822"/>
    <w:rsid w:val="18675712"/>
    <w:rsid w:val="188B43F5"/>
    <w:rsid w:val="18E50010"/>
    <w:rsid w:val="18F71640"/>
    <w:rsid w:val="19394057"/>
    <w:rsid w:val="199C2358"/>
    <w:rsid w:val="19B7492C"/>
    <w:rsid w:val="1A511E59"/>
    <w:rsid w:val="1A705757"/>
    <w:rsid w:val="1AE4406F"/>
    <w:rsid w:val="1AE84C93"/>
    <w:rsid w:val="1B1D5FE3"/>
    <w:rsid w:val="1B484046"/>
    <w:rsid w:val="1B4A5E5B"/>
    <w:rsid w:val="1B925650"/>
    <w:rsid w:val="1C0025BA"/>
    <w:rsid w:val="1C66752D"/>
    <w:rsid w:val="1C6945DA"/>
    <w:rsid w:val="1CD22D64"/>
    <w:rsid w:val="1CED540D"/>
    <w:rsid w:val="1CF33ECD"/>
    <w:rsid w:val="1CF736B7"/>
    <w:rsid w:val="1D624A3F"/>
    <w:rsid w:val="1D632E00"/>
    <w:rsid w:val="1DD87EDC"/>
    <w:rsid w:val="1DDA4D59"/>
    <w:rsid w:val="1E570CBF"/>
    <w:rsid w:val="1E8652AA"/>
    <w:rsid w:val="1E9D4968"/>
    <w:rsid w:val="1EB13D33"/>
    <w:rsid w:val="1EEA6CFF"/>
    <w:rsid w:val="1F062593"/>
    <w:rsid w:val="1F08489B"/>
    <w:rsid w:val="1F2D0A6E"/>
    <w:rsid w:val="1F3A098C"/>
    <w:rsid w:val="1F3D23B3"/>
    <w:rsid w:val="1F6A74CC"/>
    <w:rsid w:val="1F6D6E4A"/>
    <w:rsid w:val="1F8009D9"/>
    <w:rsid w:val="1FCE723D"/>
    <w:rsid w:val="20084BEF"/>
    <w:rsid w:val="203372B2"/>
    <w:rsid w:val="204C6181"/>
    <w:rsid w:val="20FB0BC7"/>
    <w:rsid w:val="2114239C"/>
    <w:rsid w:val="216435EB"/>
    <w:rsid w:val="21C45BE8"/>
    <w:rsid w:val="21F678C9"/>
    <w:rsid w:val="21F94F0D"/>
    <w:rsid w:val="224F1BA5"/>
    <w:rsid w:val="22EF7055"/>
    <w:rsid w:val="231132FF"/>
    <w:rsid w:val="23743B1F"/>
    <w:rsid w:val="240C0392"/>
    <w:rsid w:val="24514D5A"/>
    <w:rsid w:val="24AB13E3"/>
    <w:rsid w:val="254D6667"/>
    <w:rsid w:val="25B67319"/>
    <w:rsid w:val="25B7688A"/>
    <w:rsid w:val="25B91E1A"/>
    <w:rsid w:val="25FF0C6B"/>
    <w:rsid w:val="26380176"/>
    <w:rsid w:val="26A440C8"/>
    <w:rsid w:val="26D56CF3"/>
    <w:rsid w:val="26FE2E6F"/>
    <w:rsid w:val="271E4A07"/>
    <w:rsid w:val="275D539C"/>
    <w:rsid w:val="27B41749"/>
    <w:rsid w:val="27BE30B5"/>
    <w:rsid w:val="28031161"/>
    <w:rsid w:val="282105EF"/>
    <w:rsid w:val="282D107F"/>
    <w:rsid w:val="28377F6C"/>
    <w:rsid w:val="28580457"/>
    <w:rsid w:val="287535CD"/>
    <w:rsid w:val="28CD4235"/>
    <w:rsid w:val="28D01566"/>
    <w:rsid w:val="28E31299"/>
    <w:rsid w:val="293D6BFB"/>
    <w:rsid w:val="29430470"/>
    <w:rsid w:val="29A81CF0"/>
    <w:rsid w:val="2A0812C8"/>
    <w:rsid w:val="2B2C4917"/>
    <w:rsid w:val="2B3D6767"/>
    <w:rsid w:val="2B411C38"/>
    <w:rsid w:val="2B57565F"/>
    <w:rsid w:val="2BBD2276"/>
    <w:rsid w:val="2C812A23"/>
    <w:rsid w:val="2CDF621C"/>
    <w:rsid w:val="2CE02E81"/>
    <w:rsid w:val="2CF2794B"/>
    <w:rsid w:val="2D9073ED"/>
    <w:rsid w:val="2DDB0955"/>
    <w:rsid w:val="2DDE0220"/>
    <w:rsid w:val="2E454084"/>
    <w:rsid w:val="2E4A05E4"/>
    <w:rsid w:val="2E6141F3"/>
    <w:rsid w:val="2EE60F8A"/>
    <w:rsid w:val="2F124686"/>
    <w:rsid w:val="2F1F1F02"/>
    <w:rsid w:val="2F2348BD"/>
    <w:rsid w:val="2F6F1AD9"/>
    <w:rsid w:val="2F831DB2"/>
    <w:rsid w:val="2F943FCB"/>
    <w:rsid w:val="2FD06C0B"/>
    <w:rsid w:val="30381B81"/>
    <w:rsid w:val="30A44277"/>
    <w:rsid w:val="30B15F03"/>
    <w:rsid w:val="30B30136"/>
    <w:rsid w:val="30CD7D7B"/>
    <w:rsid w:val="310B1BDB"/>
    <w:rsid w:val="31BB1E20"/>
    <w:rsid w:val="31CA4358"/>
    <w:rsid w:val="31FA7479"/>
    <w:rsid w:val="32050A97"/>
    <w:rsid w:val="32284BF5"/>
    <w:rsid w:val="324E4259"/>
    <w:rsid w:val="32A510F7"/>
    <w:rsid w:val="32DA1DD4"/>
    <w:rsid w:val="33127B8D"/>
    <w:rsid w:val="33323C73"/>
    <w:rsid w:val="3361798A"/>
    <w:rsid w:val="33861085"/>
    <w:rsid w:val="33CA5BAD"/>
    <w:rsid w:val="34311909"/>
    <w:rsid w:val="34477E1A"/>
    <w:rsid w:val="34B44507"/>
    <w:rsid w:val="35687566"/>
    <w:rsid w:val="35B15F88"/>
    <w:rsid w:val="35D501BC"/>
    <w:rsid w:val="35E87A5C"/>
    <w:rsid w:val="3608331B"/>
    <w:rsid w:val="36382C0F"/>
    <w:rsid w:val="36834056"/>
    <w:rsid w:val="369E4A52"/>
    <w:rsid w:val="36A73740"/>
    <w:rsid w:val="36C3312C"/>
    <w:rsid w:val="36EC0B56"/>
    <w:rsid w:val="37174BEB"/>
    <w:rsid w:val="37542B62"/>
    <w:rsid w:val="375A306E"/>
    <w:rsid w:val="37D83F93"/>
    <w:rsid w:val="382D2437"/>
    <w:rsid w:val="38442273"/>
    <w:rsid w:val="384E006D"/>
    <w:rsid w:val="385D0EF3"/>
    <w:rsid w:val="387D36CA"/>
    <w:rsid w:val="389536A9"/>
    <w:rsid w:val="38C010B0"/>
    <w:rsid w:val="38E86458"/>
    <w:rsid w:val="38EB2B69"/>
    <w:rsid w:val="391C67AE"/>
    <w:rsid w:val="39486CC3"/>
    <w:rsid w:val="39A3534F"/>
    <w:rsid w:val="39D65068"/>
    <w:rsid w:val="3AA25DEC"/>
    <w:rsid w:val="3AC648F5"/>
    <w:rsid w:val="3B30241A"/>
    <w:rsid w:val="3B5B756F"/>
    <w:rsid w:val="3B870893"/>
    <w:rsid w:val="3BA13299"/>
    <w:rsid w:val="3C102170"/>
    <w:rsid w:val="3C4F6F1A"/>
    <w:rsid w:val="3D2F290C"/>
    <w:rsid w:val="3D3375F0"/>
    <w:rsid w:val="3D4C1E7B"/>
    <w:rsid w:val="3D6E2990"/>
    <w:rsid w:val="3D79508E"/>
    <w:rsid w:val="3DC21444"/>
    <w:rsid w:val="3DD60FEB"/>
    <w:rsid w:val="3E263CAA"/>
    <w:rsid w:val="3E491747"/>
    <w:rsid w:val="3E6B192F"/>
    <w:rsid w:val="3EA55BAC"/>
    <w:rsid w:val="3EEF12C4"/>
    <w:rsid w:val="3EFF6E27"/>
    <w:rsid w:val="3F150346"/>
    <w:rsid w:val="3F19442F"/>
    <w:rsid w:val="3F4757B8"/>
    <w:rsid w:val="3F4A029A"/>
    <w:rsid w:val="3F4E528D"/>
    <w:rsid w:val="3F591E5E"/>
    <w:rsid w:val="3F5A6C6F"/>
    <w:rsid w:val="3F7A393A"/>
    <w:rsid w:val="3FC45529"/>
    <w:rsid w:val="3FE1690B"/>
    <w:rsid w:val="40113C23"/>
    <w:rsid w:val="40351638"/>
    <w:rsid w:val="403F2E01"/>
    <w:rsid w:val="40414CB5"/>
    <w:rsid w:val="404A2E64"/>
    <w:rsid w:val="40AB0EC9"/>
    <w:rsid w:val="40C2612C"/>
    <w:rsid w:val="40E52488"/>
    <w:rsid w:val="41007A8F"/>
    <w:rsid w:val="415869FC"/>
    <w:rsid w:val="41656712"/>
    <w:rsid w:val="41670862"/>
    <w:rsid w:val="41AB14E8"/>
    <w:rsid w:val="41AC0B4D"/>
    <w:rsid w:val="41D4500D"/>
    <w:rsid w:val="41D67141"/>
    <w:rsid w:val="41DD2651"/>
    <w:rsid w:val="41F534A6"/>
    <w:rsid w:val="41F5463E"/>
    <w:rsid w:val="42030507"/>
    <w:rsid w:val="420A020E"/>
    <w:rsid w:val="420A1906"/>
    <w:rsid w:val="423F7EC6"/>
    <w:rsid w:val="42720834"/>
    <w:rsid w:val="428345E9"/>
    <w:rsid w:val="429D5EC0"/>
    <w:rsid w:val="42A40896"/>
    <w:rsid w:val="42A86289"/>
    <w:rsid w:val="42BD50C4"/>
    <w:rsid w:val="437470EA"/>
    <w:rsid w:val="437C12A7"/>
    <w:rsid w:val="43F81C45"/>
    <w:rsid w:val="441F4671"/>
    <w:rsid w:val="444565A3"/>
    <w:rsid w:val="447A6AFE"/>
    <w:rsid w:val="44B9673B"/>
    <w:rsid w:val="45AC0F39"/>
    <w:rsid w:val="461B60BF"/>
    <w:rsid w:val="46C96141"/>
    <w:rsid w:val="46D06FAA"/>
    <w:rsid w:val="475461C4"/>
    <w:rsid w:val="477A0BC3"/>
    <w:rsid w:val="47D41743"/>
    <w:rsid w:val="47D63DB2"/>
    <w:rsid w:val="47F3755A"/>
    <w:rsid w:val="482B71EF"/>
    <w:rsid w:val="48447281"/>
    <w:rsid w:val="487D04F4"/>
    <w:rsid w:val="48912668"/>
    <w:rsid w:val="48A31EA1"/>
    <w:rsid w:val="48D90D59"/>
    <w:rsid w:val="48E11FE9"/>
    <w:rsid w:val="48FA020D"/>
    <w:rsid w:val="492C6FBB"/>
    <w:rsid w:val="499D1F70"/>
    <w:rsid w:val="4A1025A8"/>
    <w:rsid w:val="4A832C17"/>
    <w:rsid w:val="4A9100D0"/>
    <w:rsid w:val="4AC26B09"/>
    <w:rsid w:val="4AD056CA"/>
    <w:rsid w:val="4AD41B9B"/>
    <w:rsid w:val="4AED1C9D"/>
    <w:rsid w:val="4B597B89"/>
    <w:rsid w:val="4BE8259F"/>
    <w:rsid w:val="4C025EBB"/>
    <w:rsid w:val="4C4E289A"/>
    <w:rsid w:val="4CC56D84"/>
    <w:rsid w:val="4DBE5CAD"/>
    <w:rsid w:val="4DD75684"/>
    <w:rsid w:val="4E0D2518"/>
    <w:rsid w:val="4E231003"/>
    <w:rsid w:val="4E3873B7"/>
    <w:rsid w:val="4EF70D4B"/>
    <w:rsid w:val="4F2E0C11"/>
    <w:rsid w:val="4F79418A"/>
    <w:rsid w:val="50472E90"/>
    <w:rsid w:val="50A2078E"/>
    <w:rsid w:val="50B9275C"/>
    <w:rsid w:val="50F72CC9"/>
    <w:rsid w:val="50FE286B"/>
    <w:rsid w:val="514069D9"/>
    <w:rsid w:val="515E6982"/>
    <w:rsid w:val="51932220"/>
    <w:rsid w:val="51BC0756"/>
    <w:rsid w:val="51D276BD"/>
    <w:rsid w:val="51D77CAA"/>
    <w:rsid w:val="52173BDE"/>
    <w:rsid w:val="522135A2"/>
    <w:rsid w:val="5228244C"/>
    <w:rsid w:val="526D5211"/>
    <w:rsid w:val="529620AE"/>
    <w:rsid w:val="52EB291F"/>
    <w:rsid w:val="52ED493F"/>
    <w:rsid w:val="52F55822"/>
    <w:rsid w:val="531F0FF7"/>
    <w:rsid w:val="53B56AAB"/>
    <w:rsid w:val="53E03D6D"/>
    <w:rsid w:val="53E144A4"/>
    <w:rsid w:val="54333CD5"/>
    <w:rsid w:val="546107D9"/>
    <w:rsid w:val="546E506B"/>
    <w:rsid w:val="549E2395"/>
    <w:rsid w:val="55297C80"/>
    <w:rsid w:val="5531155E"/>
    <w:rsid w:val="565C7750"/>
    <w:rsid w:val="56644F18"/>
    <w:rsid w:val="56A12956"/>
    <w:rsid w:val="56C54297"/>
    <w:rsid w:val="56DB047F"/>
    <w:rsid w:val="56FE5BF2"/>
    <w:rsid w:val="56FF2E93"/>
    <w:rsid w:val="57100988"/>
    <w:rsid w:val="576D5122"/>
    <w:rsid w:val="58506377"/>
    <w:rsid w:val="586259DC"/>
    <w:rsid w:val="58625BCC"/>
    <w:rsid w:val="58627B7D"/>
    <w:rsid w:val="58B574EB"/>
    <w:rsid w:val="58CE04C7"/>
    <w:rsid w:val="58FC1D80"/>
    <w:rsid w:val="593509FB"/>
    <w:rsid w:val="59893E96"/>
    <w:rsid w:val="599D432B"/>
    <w:rsid w:val="59E56370"/>
    <w:rsid w:val="5A12625C"/>
    <w:rsid w:val="5B1E275D"/>
    <w:rsid w:val="5B3E21DC"/>
    <w:rsid w:val="5B4A5024"/>
    <w:rsid w:val="5BBD57F6"/>
    <w:rsid w:val="5BC414F3"/>
    <w:rsid w:val="5C953453"/>
    <w:rsid w:val="5CAE15E3"/>
    <w:rsid w:val="5CB84A88"/>
    <w:rsid w:val="5CDA4186"/>
    <w:rsid w:val="5D290C69"/>
    <w:rsid w:val="5DEE479F"/>
    <w:rsid w:val="5E254884"/>
    <w:rsid w:val="5E36741C"/>
    <w:rsid w:val="5E407DA6"/>
    <w:rsid w:val="5F3F2DAC"/>
    <w:rsid w:val="5F4829DC"/>
    <w:rsid w:val="5F714A03"/>
    <w:rsid w:val="5F725BF8"/>
    <w:rsid w:val="5F8301BD"/>
    <w:rsid w:val="5FB15C3A"/>
    <w:rsid w:val="5FDF26F7"/>
    <w:rsid w:val="5FEC0FE5"/>
    <w:rsid w:val="6022194E"/>
    <w:rsid w:val="60570E4A"/>
    <w:rsid w:val="606E5CB4"/>
    <w:rsid w:val="60980BFD"/>
    <w:rsid w:val="60D65D3F"/>
    <w:rsid w:val="60F4333C"/>
    <w:rsid w:val="60F85618"/>
    <w:rsid w:val="610B5004"/>
    <w:rsid w:val="611A50B4"/>
    <w:rsid w:val="619C43F3"/>
    <w:rsid w:val="6269072D"/>
    <w:rsid w:val="62A30CCB"/>
    <w:rsid w:val="62F24507"/>
    <w:rsid w:val="6352606D"/>
    <w:rsid w:val="639436E3"/>
    <w:rsid w:val="6445282D"/>
    <w:rsid w:val="645A13DB"/>
    <w:rsid w:val="64607B1A"/>
    <w:rsid w:val="648C045C"/>
    <w:rsid w:val="64A83BDE"/>
    <w:rsid w:val="6567664A"/>
    <w:rsid w:val="656A40F1"/>
    <w:rsid w:val="658C5E23"/>
    <w:rsid w:val="65F9363E"/>
    <w:rsid w:val="66287D10"/>
    <w:rsid w:val="66747376"/>
    <w:rsid w:val="667E25AF"/>
    <w:rsid w:val="66815672"/>
    <w:rsid w:val="67042ACB"/>
    <w:rsid w:val="67152E14"/>
    <w:rsid w:val="67770DF7"/>
    <w:rsid w:val="679C27B9"/>
    <w:rsid w:val="67C21399"/>
    <w:rsid w:val="67CB3049"/>
    <w:rsid w:val="67FF2A16"/>
    <w:rsid w:val="682465CF"/>
    <w:rsid w:val="68EA74FF"/>
    <w:rsid w:val="690814B0"/>
    <w:rsid w:val="694638B9"/>
    <w:rsid w:val="6972525B"/>
    <w:rsid w:val="69C211FB"/>
    <w:rsid w:val="69FC5E8B"/>
    <w:rsid w:val="6A16113C"/>
    <w:rsid w:val="6A777B3A"/>
    <w:rsid w:val="6AD14E1A"/>
    <w:rsid w:val="6AE1793A"/>
    <w:rsid w:val="6B056872"/>
    <w:rsid w:val="6B1765A5"/>
    <w:rsid w:val="6B217424"/>
    <w:rsid w:val="6B28360F"/>
    <w:rsid w:val="6B9F4D55"/>
    <w:rsid w:val="6BAA3DD9"/>
    <w:rsid w:val="6C172D01"/>
    <w:rsid w:val="6C5B0433"/>
    <w:rsid w:val="6CC21278"/>
    <w:rsid w:val="6CC2767B"/>
    <w:rsid w:val="6D342244"/>
    <w:rsid w:val="6DAB4CCB"/>
    <w:rsid w:val="6DC70D5C"/>
    <w:rsid w:val="6DDA24A1"/>
    <w:rsid w:val="6DE53C17"/>
    <w:rsid w:val="6DFC3BBF"/>
    <w:rsid w:val="6E0E1C83"/>
    <w:rsid w:val="6E20612F"/>
    <w:rsid w:val="6E45126B"/>
    <w:rsid w:val="6EA047F7"/>
    <w:rsid w:val="6EFB5292"/>
    <w:rsid w:val="6F062BB9"/>
    <w:rsid w:val="6F185329"/>
    <w:rsid w:val="6F213E8F"/>
    <w:rsid w:val="70783234"/>
    <w:rsid w:val="70E64A50"/>
    <w:rsid w:val="710A408D"/>
    <w:rsid w:val="71231A63"/>
    <w:rsid w:val="714B6E37"/>
    <w:rsid w:val="71C72BEE"/>
    <w:rsid w:val="72AA2579"/>
    <w:rsid w:val="73614D85"/>
    <w:rsid w:val="7363682B"/>
    <w:rsid w:val="7363763C"/>
    <w:rsid w:val="739465A0"/>
    <w:rsid w:val="73A82490"/>
    <w:rsid w:val="73AA3664"/>
    <w:rsid w:val="73B34AD5"/>
    <w:rsid w:val="73D42B6E"/>
    <w:rsid w:val="743B3E3F"/>
    <w:rsid w:val="74E41D61"/>
    <w:rsid w:val="75F575B2"/>
    <w:rsid w:val="7654465A"/>
    <w:rsid w:val="765A00C6"/>
    <w:rsid w:val="76995E63"/>
    <w:rsid w:val="772335FF"/>
    <w:rsid w:val="7733287E"/>
    <w:rsid w:val="77452BA0"/>
    <w:rsid w:val="774923FD"/>
    <w:rsid w:val="777E28EC"/>
    <w:rsid w:val="77B52272"/>
    <w:rsid w:val="78120C80"/>
    <w:rsid w:val="781959A6"/>
    <w:rsid w:val="783A1618"/>
    <w:rsid w:val="788222E3"/>
    <w:rsid w:val="7908485F"/>
    <w:rsid w:val="7936053E"/>
    <w:rsid w:val="793F0B2C"/>
    <w:rsid w:val="797818E8"/>
    <w:rsid w:val="797D07AB"/>
    <w:rsid w:val="79AC25AE"/>
    <w:rsid w:val="7AAC0A0E"/>
    <w:rsid w:val="7AF0301F"/>
    <w:rsid w:val="7B237CCD"/>
    <w:rsid w:val="7B306E47"/>
    <w:rsid w:val="7B8C6B3B"/>
    <w:rsid w:val="7BB717C3"/>
    <w:rsid w:val="7BD77DB7"/>
    <w:rsid w:val="7C3F595C"/>
    <w:rsid w:val="7C507B69"/>
    <w:rsid w:val="7C683BAE"/>
    <w:rsid w:val="7C885555"/>
    <w:rsid w:val="7CBD0742"/>
    <w:rsid w:val="7CC601EC"/>
    <w:rsid w:val="7D162D31"/>
    <w:rsid w:val="7D7D55A3"/>
    <w:rsid w:val="7D9A028A"/>
    <w:rsid w:val="7DE81FDD"/>
    <w:rsid w:val="7E3C60AD"/>
    <w:rsid w:val="7E4A776E"/>
    <w:rsid w:val="7EC565EC"/>
    <w:rsid w:val="7EEF5417"/>
    <w:rsid w:val="7F0277B9"/>
    <w:rsid w:val="7F0D3AEF"/>
    <w:rsid w:val="7F435763"/>
    <w:rsid w:val="7F597673"/>
    <w:rsid w:val="7F787175"/>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1">
    <w:name w:val="Default Paragraph Font"/>
    <w:autoRedefine/>
    <w:unhideWhenUsed/>
    <w:qFormat/>
    <w:uiPriority w:val="1"/>
  </w:style>
  <w:style w:type="table" w:default="1" w:styleId="59">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23"/>
    <w:link w:val="124"/>
    <w:autoRedefine/>
    <w:qFormat/>
    <w:uiPriority w:val="0"/>
    <w:rPr>
      <w:rFonts w:ascii="仿宋_GB2312" w:hAnsi="Times New Roman" w:eastAsia="仿宋_GB2312" w:cs="Times New Roman"/>
      <w:sz w:val="32"/>
      <w:szCs w:val="20"/>
    </w:rPr>
  </w:style>
  <w:style w:type="paragraph" w:styleId="23">
    <w:name w:val="Quote"/>
    <w:basedOn w:val="1"/>
    <w:next w:val="1"/>
    <w:qFormat/>
    <w:uiPriority w:val="29"/>
    <w:pPr>
      <w:spacing w:beforeLines="50" w:afterLines="50" w:line="360" w:lineRule="auto"/>
    </w:pPr>
    <w:rPr>
      <w:i/>
      <w:iCs/>
      <w:color w:val="000000"/>
      <w:szCs w:val="24"/>
      <w:lang w:val="zh-CN"/>
    </w:rPr>
  </w:style>
  <w:style w:type="paragraph" w:styleId="24">
    <w:name w:val="Body Text Indent"/>
    <w:basedOn w:val="1"/>
    <w:link w:val="105"/>
    <w:autoRedefine/>
    <w:qFormat/>
    <w:uiPriority w:val="0"/>
    <w:pPr>
      <w:spacing w:line="700" w:lineRule="exact"/>
      <w:ind w:left="960"/>
    </w:pPr>
    <w:rPr>
      <w:sz w:val="44"/>
    </w:rPr>
  </w:style>
  <w:style w:type="paragraph" w:styleId="25">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6">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7">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8">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9">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30">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1">
    <w:name w:val="Plain Text"/>
    <w:basedOn w:val="1"/>
    <w:link w:val="92"/>
    <w:autoRedefine/>
    <w:qFormat/>
    <w:uiPriority w:val="0"/>
    <w:rPr>
      <w:rFonts w:ascii="宋体" w:hAnsi="Courier New"/>
    </w:rPr>
  </w:style>
  <w:style w:type="paragraph" w:styleId="32">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3">
    <w:name w:val="Date"/>
    <w:basedOn w:val="1"/>
    <w:next w:val="1"/>
    <w:link w:val="108"/>
    <w:autoRedefine/>
    <w:qFormat/>
    <w:uiPriority w:val="0"/>
    <w:rPr>
      <w:sz w:val="28"/>
    </w:rPr>
  </w:style>
  <w:style w:type="paragraph" w:styleId="34">
    <w:name w:val="Body Text Indent 2"/>
    <w:basedOn w:val="1"/>
    <w:link w:val="78"/>
    <w:autoRedefine/>
    <w:qFormat/>
    <w:uiPriority w:val="0"/>
    <w:pPr>
      <w:snapToGrid w:val="0"/>
      <w:spacing w:line="560" w:lineRule="atLeast"/>
      <w:ind w:firstLine="540"/>
    </w:pPr>
    <w:rPr>
      <w:sz w:val="28"/>
    </w:rPr>
  </w:style>
  <w:style w:type="paragraph" w:styleId="35">
    <w:name w:val="Balloon Text"/>
    <w:basedOn w:val="1"/>
    <w:link w:val="133"/>
    <w:autoRedefine/>
    <w:qFormat/>
    <w:uiPriority w:val="0"/>
    <w:rPr>
      <w:rFonts w:ascii="Times New Roman" w:hAnsi="Times New Roman" w:eastAsia="宋体" w:cs="Times New Roman"/>
      <w:sz w:val="18"/>
      <w:szCs w:val="20"/>
    </w:rPr>
  </w:style>
  <w:style w:type="paragraph" w:styleId="36">
    <w:name w:val="footer"/>
    <w:basedOn w:val="1"/>
    <w:link w:val="106"/>
    <w:autoRedefine/>
    <w:qFormat/>
    <w:uiPriority w:val="99"/>
    <w:pPr>
      <w:tabs>
        <w:tab w:val="center" w:pos="4153"/>
        <w:tab w:val="right" w:pos="8306"/>
      </w:tabs>
      <w:snapToGrid w:val="0"/>
      <w:jc w:val="left"/>
    </w:pPr>
    <w:rPr>
      <w:sz w:val="18"/>
    </w:rPr>
  </w:style>
  <w:style w:type="paragraph" w:styleId="37">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8">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9">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40">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1">
    <w:name w:val="footnote text"/>
    <w:basedOn w:val="1"/>
    <w:link w:val="79"/>
    <w:autoRedefine/>
    <w:qFormat/>
    <w:uiPriority w:val="0"/>
    <w:pPr>
      <w:spacing w:line="360" w:lineRule="auto"/>
    </w:pPr>
    <w:rPr>
      <w:sz w:val="18"/>
    </w:rPr>
  </w:style>
  <w:style w:type="paragraph" w:styleId="42">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3">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4">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5">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6">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7">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8">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9">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50">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1">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2">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3">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4">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5">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6">
    <w:name w:val="annotation subject"/>
    <w:basedOn w:val="19"/>
    <w:next w:val="19"/>
    <w:link w:val="80"/>
    <w:autoRedefine/>
    <w:qFormat/>
    <w:uiPriority w:val="0"/>
    <w:rPr>
      <w:sz w:val="24"/>
    </w:rPr>
  </w:style>
  <w:style w:type="paragraph" w:styleId="57">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8">
    <w:name w:val="Body Text First Indent 2"/>
    <w:basedOn w:val="24"/>
    <w:link w:val="104"/>
    <w:autoRedefine/>
    <w:qFormat/>
    <w:uiPriority w:val="0"/>
    <w:pPr>
      <w:spacing w:after="120" w:line="240" w:lineRule="auto"/>
      <w:ind w:left="420" w:leftChars="200" w:firstLine="420" w:firstLineChars="200"/>
    </w:pPr>
  </w:style>
  <w:style w:type="table" w:styleId="60">
    <w:name w:val="Table Grid"/>
    <w:basedOn w:val="59"/>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2">
    <w:name w:val="Strong"/>
    <w:autoRedefine/>
    <w:qFormat/>
    <w:uiPriority w:val="0"/>
    <w:rPr>
      <w:b/>
    </w:rPr>
  </w:style>
  <w:style w:type="character" w:styleId="63">
    <w:name w:val="page number"/>
    <w:basedOn w:val="61"/>
    <w:autoRedefine/>
    <w:qFormat/>
    <w:uiPriority w:val="0"/>
  </w:style>
  <w:style w:type="character" w:styleId="64">
    <w:name w:val="FollowedHyperlink"/>
    <w:autoRedefine/>
    <w:qFormat/>
    <w:uiPriority w:val="0"/>
    <w:rPr>
      <w:color w:val="800080"/>
      <w:u w:val="single"/>
    </w:rPr>
  </w:style>
  <w:style w:type="character" w:styleId="65">
    <w:name w:val="Emphasis"/>
    <w:autoRedefine/>
    <w:qFormat/>
    <w:uiPriority w:val="0"/>
    <w:rPr>
      <w:i/>
    </w:rPr>
  </w:style>
  <w:style w:type="character" w:styleId="66">
    <w:name w:val="Hyperlink"/>
    <w:autoRedefine/>
    <w:qFormat/>
    <w:uiPriority w:val="99"/>
    <w:rPr>
      <w:color w:val="0000FF"/>
      <w:u w:val="single"/>
    </w:rPr>
  </w:style>
  <w:style w:type="character" w:styleId="67">
    <w:name w:val="annotation reference"/>
    <w:autoRedefine/>
    <w:qFormat/>
    <w:uiPriority w:val="0"/>
    <w:rPr>
      <w:sz w:val="21"/>
      <w:szCs w:val="21"/>
    </w:rPr>
  </w:style>
  <w:style w:type="character" w:styleId="68">
    <w:name w:val="footnote reference"/>
    <w:autoRedefine/>
    <w:qFormat/>
    <w:uiPriority w:val="0"/>
    <w:rPr>
      <w:position w:val="6"/>
      <w:sz w:val="14"/>
      <w:vertAlign w:val="superscript"/>
    </w:rPr>
  </w:style>
  <w:style w:type="character" w:customStyle="1" w:styleId="69">
    <w:name w:val="标题 1 Char"/>
    <w:basedOn w:val="61"/>
    <w:link w:val="2"/>
    <w:autoRedefine/>
    <w:qFormat/>
    <w:uiPriority w:val="0"/>
    <w:rPr>
      <w:rFonts w:ascii="宋体" w:hAnsi="Times New Roman" w:eastAsia="宋体" w:cs="Times New Roman"/>
      <w:sz w:val="28"/>
      <w:szCs w:val="20"/>
    </w:rPr>
  </w:style>
  <w:style w:type="character" w:customStyle="1" w:styleId="70">
    <w:name w:val="标题 2 Char"/>
    <w:basedOn w:val="61"/>
    <w:link w:val="3"/>
    <w:autoRedefine/>
    <w:qFormat/>
    <w:uiPriority w:val="0"/>
    <w:rPr>
      <w:rFonts w:ascii="Arial" w:hAnsi="Arial" w:eastAsia="黑体" w:cs="Times New Roman"/>
      <w:b/>
      <w:sz w:val="32"/>
      <w:szCs w:val="20"/>
    </w:rPr>
  </w:style>
  <w:style w:type="character" w:customStyle="1" w:styleId="71">
    <w:name w:val="标题 3 Char"/>
    <w:basedOn w:val="61"/>
    <w:link w:val="4"/>
    <w:autoRedefine/>
    <w:qFormat/>
    <w:uiPriority w:val="0"/>
    <w:rPr>
      <w:rFonts w:ascii="Times New Roman" w:hAnsi="Times New Roman" w:eastAsia="宋体" w:cs="Times New Roman"/>
      <w:b/>
      <w:sz w:val="32"/>
      <w:szCs w:val="20"/>
    </w:rPr>
  </w:style>
  <w:style w:type="character" w:customStyle="1" w:styleId="72">
    <w:name w:val="标题 4 Char"/>
    <w:basedOn w:val="61"/>
    <w:link w:val="5"/>
    <w:autoRedefine/>
    <w:qFormat/>
    <w:uiPriority w:val="0"/>
    <w:rPr>
      <w:rFonts w:ascii="Arial" w:hAnsi="Arial" w:eastAsia="黑体" w:cs="Times New Roman"/>
      <w:b/>
      <w:sz w:val="28"/>
      <w:szCs w:val="20"/>
    </w:rPr>
  </w:style>
  <w:style w:type="character" w:customStyle="1" w:styleId="73">
    <w:name w:val="标题 5 Char"/>
    <w:basedOn w:val="61"/>
    <w:link w:val="6"/>
    <w:autoRedefine/>
    <w:qFormat/>
    <w:uiPriority w:val="0"/>
    <w:rPr>
      <w:rFonts w:ascii="Times New Roman" w:hAnsi="Times New Roman" w:eastAsia="宋体" w:cs="Times New Roman"/>
      <w:b/>
      <w:sz w:val="28"/>
      <w:szCs w:val="20"/>
    </w:rPr>
  </w:style>
  <w:style w:type="character" w:customStyle="1" w:styleId="74">
    <w:name w:val="标题 6 Char"/>
    <w:basedOn w:val="61"/>
    <w:link w:val="7"/>
    <w:autoRedefine/>
    <w:qFormat/>
    <w:uiPriority w:val="0"/>
    <w:rPr>
      <w:rFonts w:ascii="Arial" w:hAnsi="Arial" w:eastAsia="黑体" w:cs="Times New Roman"/>
      <w:b/>
      <w:sz w:val="24"/>
      <w:szCs w:val="20"/>
    </w:rPr>
  </w:style>
  <w:style w:type="character" w:customStyle="1" w:styleId="75">
    <w:name w:val="标题 7 Char"/>
    <w:basedOn w:val="61"/>
    <w:link w:val="8"/>
    <w:autoRedefine/>
    <w:qFormat/>
    <w:uiPriority w:val="0"/>
    <w:rPr>
      <w:rFonts w:ascii="Arial" w:hAnsi="Arial" w:eastAsia="黑体" w:cs="Times New Roman"/>
      <w:b/>
      <w:sz w:val="24"/>
      <w:szCs w:val="20"/>
    </w:rPr>
  </w:style>
  <w:style w:type="character" w:customStyle="1" w:styleId="76">
    <w:name w:val="标题 8 Char"/>
    <w:basedOn w:val="61"/>
    <w:link w:val="9"/>
    <w:autoRedefine/>
    <w:qFormat/>
    <w:uiPriority w:val="0"/>
    <w:rPr>
      <w:rFonts w:ascii="Arial" w:hAnsi="Arial" w:eastAsia="黑体" w:cs="Times New Roman"/>
      <w:b/>
      <w:sz w:val="24"/>
      <w:szCs w:val="20"/>
    </w:rPr>
  </w:style>
  <w:style w:type="character" w:customStyle="1" w:styleId="77">
    <w:name w:val="标题 9 Char"/>
    <w:basedOn w:val="61"/>
    <w:link w:val="10"/>
    <w:autoRedefine/>
    <w:qFormat/>
    <w:uiPriority w:val="0"/>
    <w:rPr>
      <w:rFonts w:ascii="Arial" w:hAnsi="Arial" w:eastAsia="黑体" w:cs="Times New Roman"/>
      <w:b/>
      <w:sz w:val="24"/>
      <w:szCs w:val="20"/>
    </w:rPr>
  </w:style>
  <w:style w:type="character" w:customStyle="1" w:styleId="78">
    <w:name w:val="正文文本缩进 2 Char"/>
    <w:link w:val="34"/>
    <w:autoRedefine/>
    <w:qFormat/>
    <w:uiPriority w:val="0"/>
    <w:rPr>
      <w:sz w:val="28"/>
    </w:rPr>
  </w:style>
  <w:style w:type="character" w:customStyle="1" w:styleId="79">
    <w:name w:val="脚注文本 Char"/>
    <w:link w:val="41"/>
    <w:autoRedefine/>
    <w:qFormat/>
    <w:uiPriority w:val="0"/>
    <w:rPr>
      <w:sz w:val="18"/>
    </w:rPr>
  </w:style>
  <w:style w:type="character" w:customStyle="1" w:styleId="80">
    <w:name w:val="批注主题 Char"/>
    <w:basedOn w:val="81"/>
    <w:link w:val="56"/>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1"/>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8"/>
    <w:autoRedefine/>
    <w:qFormat/>
    <w:uiPriority w:val="0"/>
    <w:rPr>
      <w:sz w:val="44"/>
    </w:rPr>
  </w:style>
  <w:style w:type="character" w:customStyle="1" w:styleId="105">
    <w:name w:val="正文文本缩进 Char"/>
    <w:link w:val="24"/>
    <w:autoRedefine/>
    <w:qFormat/>
    <w:uiPriority w:val="0"/>
    <w:rPr>
      <w:sz w:val="44"/>
    </w:rPr>
  </w:style>
  <w:style w:type="character" w:customStyle="1" w:styleId="106">
    <w:name w:val="页脚 Char"/>
    <w:link w:val="36"/>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3"/>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1"/>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1"/>
    <w:autoRedefine/>
    <w:semiHidden/>
    <w:qFormat/>
    <w:uiPriority w:val="99"/>
    <w:rPr>
      <w:sz w:val="18"/>
      <w:szCs w:val="18"/>
    </w:rPr>
  </w:style>
  <w:style w:type="character" w:customStyle="1" w:styleId="117">
    <w:name w:val="页眉 Char"/>
    <w:basedOn w:val="61"/>
    <w:link w:val="37"/>
    <w:autoRedefine/>
    <w:qFormat/>
    <w:uiPriority w:val="0"/>
    <w:rPr>
      <w:rFonts w:ascii="Times New Roman" w:hAnsi="Times New Roman" w:eastAsia="宋体" w:cs="Times New Roman"/>
      <w:sz w:val="18"/>
      <w:szCs w:val="20"/>
    </w:rPr>
  </w:style>
  <w:style w:type="character" w:customStyle="1" w:styleId="118">
    <w:name w:val="正文文本缩进 Char1"/>
    <w:basedOn w:val="61"/>
    <w:autoRedefine/>
    <w:semiHidden/>
    <w:qFormat/>
    <w:uiPriority w:val="99"/>
  </w:style>
  <w:style w:type="character" w:customStyle="1" w:styleId="119">
    <w:name w:val="文档结构图 Char"/>
    <w:basedOn w:val="61"/>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1"/>
    <w:autoRedefine/>
    <w:semiHidden/>
    <w:qFormat/>
    <w:uiPriority w:val="99"/>
    <w:rPr>
      <w:sz w:val="18"/>
      <w:szCs w:val="18"/>
    </w:rPr>
  </w:style>
  <w:style w:type="character" w:customStyle="1" w:styleId="121">
    <w:name w:val="正文文本缩进 3 Char"/>
    <w:basedOn w:val="61"/>
    <w:link w:val="44"/>
    <w:autoRedefine/>
    <w:qFormat/>
    <w:uiPriority w:val="0"/>
    <w:rPr>
      <w:rFonts w:ascii="黑体" w:hAnsi="Times New Roman" w:eastAsia="黑体" w:cs="Times New Roman"/>
      <w:sz w:val="28"/>
      <w:szCs w:val="20"/>
    </w:rPr>
  </w:style>
  <w:style w:type="character" w:customStyle="1" w:styleId="122">
    <w:name w:val="正文文本 3 Char"/>
    <w:basedOn w:val="61"/>
    <w:link w:val="20"/>
    <w:autoRedefine/>
    <w:qFormat/>
    <w:uiPriority w:val="0"/>
    <w:rPr>
      <w:rFonts w:ascii="Times New Roman" w:hAnsi="Times New Roman" w:eastAsia="宋体" w:cs="Times New Roman"/>
      <w:sz w:val="16"/>
      <w:szCs w:val="20"/>
    </w:rPr>
  </w:style>
  <w:style w:type="character" w:customStyle="1" w:styleId="123">
    <w:name w:val="正文文本 2 Char"/>
    <w:basedOn w:val="61"/>
    <w:link w:val="48"/>
    <w:autoRedefine/>
    <w:qFormat/>
    <w:uiPriority w:val="0"/>
    <w:rPr>
      <w:rFonts w:ascii="Times New Roman" w:hAnsi="Times New Roman" w:eastAsia="宋体" w:cs="Times New Roman"/>
      <w:sz w:val="24"/>
      <w:szCs w:val="20"/>
    </w:rPr>
  </w:style>
  <w:style w:type="character" w:customStyle="1" w:styleId="124">
    <w:name w:val="正文文本 Char"/>
    <w:basedOn w:val="61"/>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1"/>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1"/>
    <w:link w:val="55"/>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1"/>
    <w:autoRedefine/>
    <w:semiHidden/>
    <w:qFormat/>
    <w:uiPriority w:val="99"/>
    <w:rPr>
      <w:rFonts w:ascii="Courier New" w:hAnsi="Courier New" w:cs="Courier New"/>
      <w:sz w:val="20"/>
      <w:szCs w:val="20"/>
    </w:rPr>
  </w:style>
  <w:style w:type="character" w:customStyle="1" w:styleId="129">
    <w:name w:val="日期 Char1"/>
    <w:basedOn w:val="61"/>
    <w:autoRedefine/>
    <w:semiHidden/>
    <w:qFormat/>
    <w:uiPriority w:val="99"/>
  </w:style>
  <w:style w:type="character" w:customStyle="1" w:styleId="130">
    <w:name w:val="纯文本 Char1"/>
    <w:basedOn w:val="61"/>
    <w:autoRedefine/>
    <w:semiHidden/>
    <w:qFormat/>
    <w:uiPriority w:val="99"/>
    <w:rPr>
      <w:rFonts w:ascii="宋体" w:hAnsi="Courier New" w:eastAsia="宋体" w:cs="Courier New"/>
      <w:szCs w:val="21"/>
    </w:rPr>
  </w:style>
  <w:style w:type="character" w:customStyle="1" w:styleId="131">
    <w:name w:val="批注文字 Char1"/>
    <w:basedOn w:val="61"/>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1"/>
    <w:link w:val="35"/>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7"/>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1"/>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5"/>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4"/>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1"/>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5"/>
    <w:next w:val="1"/>
    <w:autoRedefine/>
    <w:qFormat/>
    <w:uiPriority w:val="0"/>
    <w:pPr>
      <w:spacing w:before="240" w:after="720"/>
    </w:pPr>
    <w:rPr>
      <w:sz w:val="28"/>
    </w:rPr>
  </w:style>
  <w:style w:type="paragraph" w:customStyle="1" w:styleId="241">
    <w:name w:val="标题3——2"/>
    <w:basedOn w:val="4"/>
    <w:next w:val="57"/>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1"/>
    <w:qFormat/>
    <w:uiPriority w:val="0"/>
    <w:rPr>
      <w:rFonts w:hint="eastAsia" w:ascii="宋体" w:hAnsi="宋体" w:eastAsia="宋体" w:cs="宋体"/>
      <w:b/>
      <w:bCs/>
      <w:color w:val="000000"/>
      <w:sz w:val="22"/>
      <w:szCs w:val="22"/>
      <w:u w:val="none"/>
    </w:rPr>
  </w:style>
  <w:style w:type="character" w:customStyle="1" w:styleId="274">
    <w:name w:val="font61"/>
    <w:basedOn w:val="61"/>
    <w:qFormat/>
    <w:uiPriority w:val="0"/>
    <w:rPr>
      <w:rFonts w:hint="eastAsia" w:ascii="宋体" w:hAnsi="宋体" w:eastAsia="宋体" w:cs="宋体"/>
      <w:b/>
      <w:bCs/>
      <w:color w:val="000000"/>
      <w:sz w:val="24"/>
      <w:szCs w:val="24"/>
      <w:u w:val="none"/>
    </w:rPr>
  </w:style>
  <w:style w:type="character" w:customStyle="1" w:styleId="275">
    <w:name w:val="font71"/>
    <w:basedOn w:val="61"/>
    <w:qFormat/>
    <w:uiPriority w:val="0"/>
    <w:rPr>
      <w:rFonts w:ascii="宋体" w:hAnsi="宋体" w:eastAsia="宋体" w:cs="宋体"/>
      <w:b/>
      <w:bCs/>
      <w:color w:val="000000"/>
      <w:sz w:val="24"/>
      <w:szCs w:val="24"/>
      <w:u w:val="none"/>
    </w:rPr>
  </w:style>
  <w:style w:type="character" w:customStyle="1" w:styleId="276">
    <w:name w:val="font81"/>
    <w:basedOn w:val="61"/>
    <w:qFormat/>
    <w:uiPriority w:val="0"/>
    <w:rPr>
      <w:rFonts w:ascii="宋体" w:hAnsi="宋体" w:eastAsia="宋体" w:cs="宋体"/>
      <w:color w:val="000000"/>
      <w:sz w:val="24"/>
      <w:szCs w:val="24"/>
      <w:u w:val="none"/>
    </w:rPr>
  </w:style>
  <w:style w:type="character" w:customStyle="1" w:styleId="277">
    <w:name w:val="font31"/>
    <w:basedOn w:val="61"/>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41</Pages>
  <Words>12028</Words>
  <Characters>12282</Characters>
  <Lines>182</Lines>
  <Paragraphs>51</Paragraphs>
  <TotalTime>1</TotalTime>
  <ScaleCrop>false</ScaleCrop>
  <LinksUpToDate>false</LinksUpToDate>
  <CharactersWithSpaces>13319</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2025-10-13T12:09:27Z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