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2025FW126</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重庆医科大学附属永川医院新区分院建设工程竣工环保验收相关报务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6921"/>
      <w:bookmarkStart w:id="2" w:name="_Toc11641050"/>
      <w:bookmarkStart w:id="3" w:name="_Toc25875"/>
      <w:bookmarkStart w:id="4" w:name="_Toc485108766"/>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重庆医科大学附属永川医院新区分院建设工程竣工环保验收相关报务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28443"/>
      <w:bookmarkStart w:id="9" w:name="_Toc317775175"/>
      <w:bookmarkStart w:id="10" w:name="_Toc485108767"/>
      <w:bookmarkStart w:id="11" w:name="_Toc313893526"/>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重庆医科大学附属永川医院新区分院建设工程竣工环保验收相关报务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：医院自筹,预算金额：168333元。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102227313"/>
      <w:bookmarkStart w:id="19" w:name="_Toc485108774"/>
    </w:p>
    <w:p w14:paraId="6ED231B2">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提供具备环保技术咨询、技术服务相关经营范围的营业执照</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w:t>
      </w:r>
      <w:bookmarkStart w:id="189" w:name="_GoBack"/>
      <w:bookmarkEnd w:id="189"/>
      <w:r>
        <w:rPr>
          <w:rFonts w:hint="eastAsia" w:ascii="宋体" w:hAnsi="宋体" w:eastAsia="宋体" w:cs="宋体"/>
          <w:color w:val="000000" w:themeColor="text1"/>
          <w:sz w:val="24"/>
          <w:szCs w:val="24"/>
          <w:shd w:val="clear" w:color="auto" w:fill="auto"/>
          <w14:textFill>
            <w14:solidFill>
              <w14:schemeClr w14:val="tx1"/>
            </w14:solidFill>
          </w14:textFill>
        </w:rPr>
        <w:t>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29</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171062"/>
      <w:bookmarkStart w:id="24" w:name="_Toc373860294"/>
      <w:bookmarkStart w:id="25" w:name="_Toc54718176"/>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2806"/>
      <w:bookmarkStart w:id="27"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390"/>
      <w:bookmarkStart w:id="29"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1E28655E">
      <w:pPr>
        <w:spacing w:line="400" w:lineRule="exact"/>
        <w:ind w:firstLine="480" w:firstLineChars="200"/>
        <w:rPr>
          <w:rFonts w:hint="default" w:ascii="微软雅黑" w:hAnsi="微软雅黑" w:eastAsia="微软雅黑" w:cs="微软雅黑"/>
          <w:i w:val="0"/>
          <w:iCs w:val="0"/>
          <w:caps w:val="0"/>
          <w:color w:val="333333"/>
          <w:spacing w:val="0"/>
          <w:sz w:val="21"/>
          <w:szCs w:val="21"/>
          <w:shd w:val="clear" w:fill="FFFFFF"/>
          <w:lang w:val="en-US"/>
        </w:rPr>
      </w:pPr>
      <w:r>
        <w:rPr>
          <w:rFonts w:hint="eastAsia" w:ascii="宋体" w:hAnsi="宋体" w:eastAsia="宋体" w:cs="宋体"/>
          <w:color w:val="FF0000"/>
          <w:sz w:val="24"/>
          <w:szCs w:val="24"/>
          <w:shd w:val="clear" w:color="auto" w:fill="auto"/>
          <w:lang w:val="en-US" w:eastAsia="zh-CN"/>
        </w:rPr>
        <w:t>1.报价方式：总价包干，供应商根据市场行情、本项目特点结合自身实力自主报价，总价格不高于采购人预算价或最高限价（排污许可证填报相关服务、突发环境事件风险评估和应急预案编制相关服务、竣工环保验收报告编制相关服务分别报价）(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8"/>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403569780"/>
      <w:bookmarkStart w:id="41" w:name="_Toc19143"/>
      <w:bookmarkStart w:id="42" w:name="_Toc18122"/>
      <w:bookmarkStart w:id="43" w:name="_Toc342913393"/>
      <w:bookmarkStart w:id="44" w:name="_Toc179714298"/>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14247"/>
      <w:bookmarkStart w:id="47" w:name="_Toc28776"/>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14816"/>
      <w:bookmarkStart w:id="52" w:name="_Toc29340"/>
      <w:bookmarkStart w:id="53" w:name="_Toc403569782"/>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3212"/>
      <w:bookmarkStart w:id="56" w:name="_Toc102227321"/>
      <w:bookmarkStart w:id="57" w:name="_Toc7135"/>
      <w:bookmarkStart w:id="58" w:name="_Toc403569783"/>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403569785"/>
      <w:bookmarkStart w:id="64" w:name="_Toc342913396"/>
      <w:bookmarkStart w:id="65"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28327"/>
      <w:bookmarkStart w:id="72" w:name="_Toc12789058"/>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125E4500">
      <w:pPr>
        <w:snapToGrid w:val="0"/>
        <w:spacing w:line="400" w:lineRule="exact"/>
        <w:ind w:firstLine="480" w:firstLineChars="200"/>
        <w:rPr>
          <w:rFonts w:hint="eastAsia" w:ascii="宋体" w:hAnsi="宋体" w:eastAsia="宋体" w:cs="宋体"/>
          <w:color w:val="FF0000"/>
          <w:sz w:val="24"/>
          <w:szCs w:val="24"/>
          <w:shd w:val="clear" w:color="auto" w:fill="auto"/>
        </w:rPr>
      </w:pPr>
      <w:bookmarkStart w:id="74" w:name="_Toc4364"/>
      <w:bookmarkStart w:id="75" w:name="_Toc17014"/>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项目概况</w:t>
      </w:r>
      <w:r>
        <w:rPr>
          <w:rFonts w:hint="eastAsia" w:ascii="宋体" w:hAnsi="宋体" w:eastAsia="宋体" w:cs="宋体"/>
          <w:color w:val="000000" w:themeColor="text1"/>
          <w:sz w:val="24"/>
          <w:szCs w:val="24"/>
          <w:shd w:val="clear" w:color="auto" w:fill="auto"/>
          <w14:textFill>
            <w14:solidFill>
              <w14:schemeClr w14:val="tx1"/>
            </w14:solidFill>
          </w14:textFill>
        </w:rPr>
        <w:br w:type="textWrapping"/>
      </w:r>
      <w:r>
        <w:rPr>
          <w:rFonts w:hint="eastAsia" w:ascii="宋体" w:hAnsi="宋体" w:eastAsia="宋体" w:cs="宋体"/>
          <w:color w:val="FF0000"/>
          <w:sz w:val="24"/>
          <w:szCs w:val="24"/>
          <w:shd w:val="clear" w:color="auto" w:fill="auto"/>
        </w:rPr>
        <w:t>（一）项目建设地点：重庆市永川区兴龙大道D-1地块、A2-8-1地块</w:t>
      </w:r>
      <w:r>
        <w:rPr>
          <w:rFonts w:hint="eastAsia" w:ascii="宋体" w:hAnsi="宋体" w:eastAsia="宋体" w:cs="宋体"/>
          <w:color w:val="FF0000"/>
          <w:sz w:val="24"/>
          <w:szCs w:val="24"/>
          <w:shd w:val="clear" w:color="auto" w:fill="auto"/>
        </w:rPr>
        <w:br w:type="textWrapping"/>
      </w:r>
      <w:r>
        <w:rPr>
          <w:rFonts w:hint="eastAsia" w:ascii="宋体" w:hAnsi="宋体" w:eastAsia="宋体" w:cs="宋体"/>
          <w:color w:val="FF0000"/>
          <w:sz w:val="24"/>
          <w:szCs w:val="24"/>
          <w:shd w:val="clear" w:color="auto" w:fill="auto"/>
        </w:rPr>
        <w:t>（二）项目建设规模：本项目总建筑面积为187693m2（其中D-1地块为医疗部，建筑面积146702m2；A2-8-1地块为教学部，建筑面积为40991m2），医疗部包括门诊病房综合楼（地上19层、建筑面积89796m2）、污水处理站（地上1层，建筑面积514m2）、液氧站（地上1层、建筑面积107m2）、发热门诊（地上2层、建筑面积1073m2）、D区车库及其他配套用房（地下2层，建筑面积55212m2）；教学部包括学生公寓（共4栋，地上5层，建筑面积共22811m2）、食堂及活动中心（地上4层、建筑面积3467m2）、门房及公厕（地上1层、建筑面积140平方米）、A区车库及其他配套用房（地下1层，建筑面积14573m2）。</w:t>
      </w:r>
      <w:r>
        <w:rPr>
          <w:rFonts w:hint="eastAsia" w:ascii="宋体" w:hAnsi="宋体" w:eastAsia="宋体" w:cs="宋体"/>
          <w:color w:val="FF0000"/>
          <w:sz w:val="24"/>
          <w:szCs w:val="24"/>
          <w:shd w:val="clear" w:color="auto" w:fill="auto"/>
        </w:rPr>
        <w:br w:type="textWrapping"/>
      </w:r>
      <w:r>
        <w:rPr>
          <w:rFonts w:hint="eastAsia" w:ascii="宋体" w:hAnsi="宋体" w:eastAsia="宋体" w:cs="宋体"/>
          <w:color w:val="FF0000"/>
          <w:sz w:val="24"/>
          <w:szCs w:val="24"/>
          <w:shd w:val="clear" w:color="auto" w:fill="auto"/>
        </w:rPr>
        <w:t>（三）投入本项目的射线装置共26台。</w:t>
      </w:r>
    </w:p>
    <w:p w14:paraId="0B6A66CE">
      <w:pPr>
        <w:pStyle w:val="3"/>
        <w:keepNext/>
        <w:keepLines/>
        <w:pageBreakBefore w:val="0"/>
        <w:widowControl w:val="0"/>
        <w:kinsoku/>
        <w:wordWrap/>
        <w:overflowPunct/>
        <w:topLinePunct w:val="0"/>
        <w:autoSpaceDE/>
        <w:autoSpaceDN/>
        <w:bidi w:val="0"/>
        <w:adjustRightInd/>
        <w:snapToGrid/>
        <w:spacing w:before="0" w:after="0" w:line="440" w:lineRule="exact"/>
        <w:ind w:left="0" w:leftChars="0" w:firstLine="0" w:firstLineChars="0"/>
        <w:textAlignment w:val="auto"/>
        <w:outlineLvl w:val="9"/>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b w:val="0"/>
          <w:color w:val="FF0000"/>
          <w:kern w:val="2"/>
          <w:sz w:val="24"/>
          <w:szCs w:val="24"/>
          <w:shd w:val="clear" w:color="auto" w:fill="auto"/>
          <w:lang w:val="en-US" w:eastAsia="zh-CN" w:bidi="ar-SA"/>
        </w:rPr>
        <w:t>2、服务范围：按相关规定及要求，完成兴龙湖院区建设工程重庆医科大学附属永川医院新区分院建设工程竣工环保验收相关报务。</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br w:type="textWrapping"/>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3、其他要求：</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br w:type="textWrapping"/>
      </w:r>
      <w:r>
        <w:rPr>
          <w:rFonts w:hint="eastAsia" w:ascii="宋体" w:hAnsi="宋体" w:eastAsia="宋体" w:cs="宋体"/>
          <w:b w:val="0"/>
          <w:color w:val="FF0000"/>
          <w:kern w:val="2"/>
          <w:sz w:val="24"/>
          <w:szCs w:val="24"/>
          <w:shd w:val="clear" w:color="auto" w:fill="auto"/>
          <w:lang w:val="en-US" w:eastAsia="zh-CN" w:bidi="ar-SA"/>
        </w:rPr>
        <w:t>（一）根据《建设项目竣工环境保护验收技术规范》（医疗机构）、《建设项目竣工环境保护验收暂行办法》等相关要求，编制重庆医科大学附属永川医院新区分院建设工程竣工环保验收报告（含验收监测报告、专家验收意见和其他需要说明事项等），并在《全国建设项目竣工环境保护验收信息系统》进行验收公示及信息填报；</w:t>
      </w:r>
      <w:r>
        <w:rPr>
          <w:rFonts w:hint="eastAsia" w:ascii="宋体" w:hAnsi="宋体" w:eastAsia="宋体" w:cs="宋体"/>
          <w:b w:val="0"/>
          <w:color w:val="FF0000"/>
          <w:kern w:val="2"/>
          <w:sz w:val="24"/>
          <w:szCs w:val="24"/>
          <w:shd w:val="clear" w:color="auto" w:fill="auto"/>
          <w:lang w:val="en-US" w:eastAsia="zh-CN" w:bidi="ar-SA"/>
        </w:rPr>
        <w:br w:type="textWrapping"/>
      </w:r>
      <w:r>
        <w:rPr>
          <w:rFonts w:hint="eastAsia" w:ascii="宋体" w:hAnsi="宋体" w:eastAsia="宋体" w:cs="宋体"/>
          <w:b w:val="0"/>
          <w:color w:val="FF0000"/>
          <w:kern w:val="2"/>
          <w:sz w:val="24"/>
          <w:szCs w:val="24"/>
          <w:shd w:val="clear" w:color="auto" w:fill="auto"/>
          <w:lang w:val="en-US" w:eastAsia="zh-CN" w:bidi="ar-SA"/>
        </w:rPr>
        <w:t>（二）按照《突发环境事件应急预案管理办法》《突发环境事件风险评估报告编制指南》等相关要求，编制重庆医科大学附属永川医院新区分院的突发环境事件风险评估报告和突发环境事件应急预案，通过专家评审，并在当地生态环境局网上完成备案；</w:t>
      </w:r>
      <w:r>
        <w:rPr>
          <w:rFonts w:hint="eastAsia" w:ascii="宋体" w:hAnsi="宋体" w:eastAsia="宋体" w:cs="宋体"/>
          <w:b w:val="0"/>
          <w:color w:val="FF0000"/>
          <w:kern w:val="2"/>
          <w:sz w:val="24"/>
          <w:szCs w:val="24"/>
          <w:shd w:val="clear" w:color="auto" w:fill="auto"/>
          <w:lang w:val="en-US" w:eastAsia="zh-CN" w:bidi="ar-SA"/>
        </w:rPr>
        <w:br w:type="textWrapping"/>
      </w:r>
      <w:r>
        <w:rPr>
          <w:rFonts w:hint="eastAsia" w:ascii="宋体" w:hAnsi="宋体" w:eastAsia="宋体" w:cs="宋体"/>
          <w:b w:val="0"/>
          <w:color w:val="FF0000"/>
          <w:kern w:val="2"/>
          <w:sz w:val="24"/>
          <w:szCs w:val="24"/>
          <w:shd w:val="clear" w:color="auto" w:fill="auto"/>
          <w:lang w:val="en-US" w:eastAsia="zh-CN" w:bidi="ar-SA"/>
        </w:rPr>
        <w:t>（三）根据《排污许可证申请与核发技术规范·总则》（HJ942-2018）及《排污许可证申请与核发技术规范·医疗机构》（HJ1105-2020）相关要求并结合本院实际情况，在竣工验收评审前完成排污许可证填报工作，并取得排污许可证。</w:t>
      </w:r>
    </w:p>
    <w:p w14:paraId="00942CD7">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772A5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0EECB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40D0EBB7">
      <w:pPr>
        <w:snapToGrid w:val="0"/>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1、服务期限：排污许可证填报相关服务进场后20天内完成；突发环境事件风险评估和应急预案编制相关服务进场后25天内完成；竣工环保验收报告编制相关服务进场后40天内完成。</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br w:type="textWrapping"/>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 xml:space="preserve">   2、所有工作完成后10天内提交完整的竣工环保验收报告、风险评估报告、应急预案等所有成果资料。</w:t>
      </w:r>
    </w:p>
    <w:p w14:paraId="4DE61133">
      <w:pPr>
        <w:snapToGrid w:val="0"/>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3、付款方式：成交供应商服务内容全部完成，提交完整的成果资料及合法有效的发票后，7个工作日内一次性付清服务费。</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148265480"/>
      <w:bookmarkStart w:id="88" w:name="_Toc30394582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872A86F">
      <w:pPr>
        <w:spacing w:line="560" w:lineRule="exact"/>
        <w:ind w:firstLine="0" w:firstLineChars="0"/>
        <w:jc w:val="center"/>
        <w:rPr>
          <w:sz w:val="28"/>
          <w:szCs w:val="28"/>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sz w:val="28"/>
          <w:szCs w:val="28"/>
        </w:rPr>
        <w:t>报价表</w:t>
      </w:r>
    </w:p>
    <w:tbl>
      <w:tblPr>
        <w:tblStyle w:val="6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2"/>
        <w:gridCol w:w="2404"/>
        <w:gridCol w:w="2410"/>
        <w:gridCol w:w="2406"/>
      </w:tblGrid>
      <w:tr w14:paraId="3349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tcPr>
          <w:p w14:paraId="46D62140">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序号</w:t>
            </w:r>
          </w:p>
        </w:tc>
        <w:tc>
          <w:tcPr>
            <w:tcW w:w="1249" w:type="pct"/>
          </w:tcPr>
          <w:p w14:paraId="2DEB01C9">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项目</w:t>
            </w:r>
          </w:p>
        </w:tc>
        <w:tc>
          <w:tcPr>
            <w:tcW w:w="1251" w:type="pct"/>
          </w:tcPr>
          <w:p w14:paraId="7AA6D451">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价格（元）</w:t>
            </w:r>
          </w:p>
        </w:tc>
        <w:tc>
          <w:tcPr>
            <w:tcW w:w="1250" w:type="pct"/>
          </w:tcPr>
          <w:p w14:paraId="54A4C756">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备注</w:t>
            </w:r>
          </w:p>
        </w:tc>
      </w:tr>
      <w:tr w14:paraId="3355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0101F350">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p>
        </w:tc>
        <w:tc>
          <w:tcPr>
            <w:tcW w:w="1249" w:type="pct"/>
            <w:vAlign w:val="center"/>
          </w:tcPr>
          <w:p w14:paraId="13AE7D37">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新区分院排污许可证填报相关服务</w:t>
            </w:r>
          </w:p>
        </w:tc>
        <w:tc>
          <w:tcPr>
            <w:tcW w:w="1251" w:type="pct"/>
            <w:vAlign w:val="center"/>
          </w:tcPr>
          <w:p w14:paraId="0AF69459">
            <w:pPr>
              <w:spacing w:line="560" w:lineRule="exact"/>
              <w:jc w:val="center"/>
              <w:rPr>
                <w:rFonts w:hint="eastAsia" w:ascii="宋体" w:hAnsi="宋体" w:eastAsia="宋体" w:cs="宋体"/>
                <w:color w:val="FF0000"/>
                <w:sz w:val="24"/>
                <w:szCs w:val="24"/>
                <w:shd w:val="clear" w:color="auto" w:fill="auto"/>
                <w:lang w:val="en-US" w:eastAsia="zh-CN"/>
              </w:rPr>
            </w:pPr>
          </w:p>
        </w:tc>
        <w:tc>
          <w:tcPr>
            <w:tcW w:w="1250" w:type="pct"/>
            <w:vAlign w:val="center"/>
          </w:tcPr>
          <w:p w14:paraId="55E231EA">
            <w:pPr>
              <w:spacing w:line="560" w:lineRule="exact"/>
              <w:jc w:val="center"/>
              <w:rPr>
                <w:rFonts w:hint="eastAsia" w:ascii="宋体" w:hAnsi="宋体" w:eastAsia="宋体" w:cs="宋体"/>
                <w:color w:val="FF0000"/>
                <w:sz w:val="24"/>
                <w:szCs w:val="24"/>
                <w:shd w:val="clear" w:color="auto" w:fill="auto"/>
                <w:lang w:val="en-US" w:eastAsia="zh-CN"/>
              </w:rPr>
            </w:pPr>
          </w:p>
        </w:tc>
      </w:tr>
      <w:tr w14:paraId="4588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718DA259">
            <w:pPr>
              <w:spacing w:line="56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w:t>
            </w:r>
          </w:p>
        </w:tc>
        <w:tc>
          <w:tcPr>
            <w:tcW w:w="1249" w:type="pct"/>
            <w:vAlign w:val="center"/>
          </w:tcPr>
          <w:p w14:paraId="0C4A369E">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新区分院突发环境事件风险评估和应急预案编制相关报务</w:t>
            </w:r>
          </w:p>
        </w:tc>
        <w:tc>
          <w:tcPr>
            <w:tcW w:w="1251" w:type="pct"/>
            <w:vAlign w:val="center"/>
          </w:tcPr>
          <w:p w14:paraId="50DB1848">
            <w:pPr>
              <w:spacing w:line="560" w:lineRule="exact"/>
              <w:jc w:val="center"/>
              <w:rPr>
                <w:rFonts w:hint="eastAsia" w:ascii="宋体" w:hAnsi="宋体" w:eastAsia="宋体" w:cs="宋体"/>
                <w:color w:val="FF0000"/>
                <w:sz w:val="24"/>
                <w:szCs w:val="24"/>
                <w:shd w:val="clear" w:color="auto" w:fill="auto"/>
                <w:lang w:val="en-US" w:eastAsia="zh-CN"/>
              </w:rPr>
            </w:pPr>
          </w:p>
        </w:tc>
        <w:tc>
          <w:tcPr>
            <w:tcW w:w="1250" w:type="pct"/>
            <w:vAlign w:val="center"/>
          </w:tcPr>
          <w:p w14:paraId="0E33C4DE">
            <w:pPr>
              <w:spacing w:line="560" w:lineRule="exact"/>
              <w:jc w:val="center"/>
              <w:rPr>
                <w:rFonts w:hint="eastAsia" w:ascii="宋体" w:hAnsi="宋体" w:eastAsia="宋体" w:cs="宋体"/>
                <w:color w:val="FF0000"/>
                <w:sz w:val="24"/>
                <w:szCs w:val="24"/>
                <w:shd w:val="clear" w:color="auto" w:fill="auto"/>
                <w:lang w:val="en-US" w:eastAsia="zh-CN"/>
              </w:rPr>
            </w:pPr>
          </w:p>
        </w:tc>
      </w:tr>
      <w:tr w14:paraId="581D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68A07CC9">
            <w:pPr>
              <w:spacing w:line="560" w:lineRule="exact"/>
              <w:jc w:val="center"/>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w:t>
            </w:r>
          </w:p>
        </w:tc>
        <w:tc>
          <w:tcPr>
            <w:tcW w:w="1249" w:type="pct"/>
            <w:vAlign w:val="center"/>
          </w:tcPr>
          <w:p w14:paraId="16326E53">
            <w:pPr>
              <w:spacing w:line="560" w:lineRule="exact"/>
              <w:jc w:val="center"/>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新区分院建设工程竣工环保验收报告编制相关服务</w:t>
            </w:r>
          </w:p>
        </w:tc>
        <w:tc>
          <w:tcPr>
            <w:tcW w:w="1251" w:type="pct"/>
            <w:vAlign w:val="center"/>
          </w:tcPr>
          <w:p w14:paraId="5FB2A686">
            <w:pPr>
              <w:spacing w:line="560" w:lineRule="exact"/>
              <w:jc w:val="center"/>
              <w:rPr>
                <w:rFonts w:hint="eastAsia" w:ascii="宋体" w:hAnsi="宋体" w:eastAsia="宋体" w:cs="宋体"/>
                <w:color w:val="FF0000"/>
                <w:sz w:val="24"/>
                <w:szCs w:val="24"/>
                <w:shd w:val="clear" w:color="auto" w:fill="auto"/>
                <w:lang w:val="en-US" w:eastAsia="zh-CN"/>
              </w:rPr>
            </w:pPr>
          </w:p>
        </w:tc>
        <w:tc>
          <w:tcPr>
            <w:tcW w:w="1250" w:type="pct"/>
            <w:vAlign w:val="center"/>
          </w:tcPr>
          <w:p w14:paraId="59EED295">
            <w:pPr>
              <w:spacing w:line="560" w:lineRule="exact"/>
              <w:jc w:val="center"/>
              <w:rPr>
                <w:rFonts w:hint="eastAsia" w:ascii="宋体" w:hAnsi="宋体" w:eastAsia="宋体" w:cs="宋体"/>
                <w:color w:val="FF0000"/>
                <w:sz w:val="24"/>
                <w:szCs w:val="24"/>
                <w:shd w:val="clear" w:color="auto" w:fill="auto"/>
                <w:lang w:val="en-US" w:eastAsia="zh-CN"/>
              </w:rPr>
            </w:pPr>
          </w:p>
        </w:tc>
      </w:tr>
      <w:tr w14:paraId="48E1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9" w:type="pct"/>
            <w:gridSpan w:val="3"/>
          </w:tcPr>
          <w:p w14:paraId="4F469D9D">
            <w:pPr>
              <w:spacing w:line="560" w:lineRule="exact"/>
              <w:jc w:val="center"/>
              <w:rPr>
                <w:rFonts w:hint="eastAsia" w:eastAsiaTheme="minorEastAsia"/>
                <w:sz w:val="28"/>
                <w:szCs w:val="28"/>
                <w:vertAlign w:val="baseline"/>
                <w:lang w:eastAsia="zh-CN"/>
              </w:rPr>
            </w:pPr>
            <w:r>
              <w:rPr>
                <w:rFonts w:hint="eastAsia"/>
                <w:sz w:val="28"/>
                <w:szCs w:val="28"/>
                <w:vertAlign w:val="baseline"/>
                <w:lang w:eastAsia="zh-CN"/>
              </w:rPr>
              <w:t>总价（元）：</w:t>
            </w:r>
          </w:p>
        </w:tc>
        <w:tc>
          <w:tcPr>
            <w:tcW w:w="1250" w:type="pct"/>
          </w:tcPr>
          <w:p w14:paraId="39DA5FCC">
            <w:pPr>
              <w:spacing w:line="560" w:lineRule="exact"/>
              <w:jc w:val="center"/>
              <w:rPr>
                <w:sz w:val="28"/>
                <w:szCs w:val="28"/>
                <w:vertAlign w:val="baseline"/>
              </w:rPr>
            </w:pPr>
          </w:p>
        </w:tc>
      </w:tr>
    </w:tbl>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1.总价包干，供应商根据市场行情、本项目特点结合自身实力自主报价，总价格不高于采购人预算价或最高限价。</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26DBB76E">
      <w:pPr>
        <w:outlineLvl w:val="0"/>
        <w:rPr>
          <w:rFonts w:hint="eastAsia" w:ascii="宋体" w:hAnsi="宋体" w:eastAsia="宋体" w:cs="宋体"/>
          <w:b/>
          <w:color w:val="000000" w:themeColor="text1"/>
          <w:shd w:val="clear" w:color="auto" w:fill="auto"/>
          <w14:textFill>
            <w14:solidFill>
              <w14:schemeClr w14:val="tx1"/>
            </w14:solidFill>
          </w14:textFill>
        </w:rPr>
      </w:pPr>
    </w:p>
    <w:p w14:paraId="2CD5DA2C">
      <w:pPr>
        <w:outlineLvl w:val="0"/>
        <w:rPr>
          <w:rFonts w:hint="eastAsia" w:ascii="宋体" w:hAnsi="宋体" w:eastAsia="宋体" w:cs="宋体"/>
          <w:b/>
          <w:color w:val="000000" w:themeColor="text1"/>
          <w:shd w:val="clear" w:color="auto" w:fill="auto"/>
          <w14:textFill>
            <w14:solidFill>
              <w14:schemeClr w14:val="tx1"/>
            </w14:solidFill>
          </w14:textFill>
        </w:rPr>
      </w:pPr>
    </w:p>
    <w:p w14:paraId="58978C42">
      <w:pPr>
        <w:outlineLvl w:val="0"/>
        <w:rPr>
          <w:rFonts w:hint="eastAsia" w:ascii="宋体" w:hAnsi="宋体" w:eastAsia="宋体" w:cs="宋体"/>
          <w:b/>
          <w:color w:val="000000" w:themeColor="text1"/>
          <w:shd w:val="clear" w:color="auto" w:fill="auto"/>
          <w14:textFill>
            <w14:solidFill>
              <w14:schemeClr w14:val="tx1"/>
            </w14:solidFill>
          </w14:textFill>
        </w:rPr>
      </w:pPr>
    </w:p>
    <w:p w14:paraId="13ED3BCD">
      <w:pPr>
        <w:outlineLvl w:val="0"/>
        <w:rPr>
          <w:rFonts w:hint="eastAsia" w:ascii="宋体" w:hAnsi="宋体" w:eastAsia="宋体" w:cs="宋体"/>
          <w:b/>
          <w:color w:val="000000" w:themeColor="text1"/>
          <w:shd w:val="clear" w:color="auto" w:fill="auto"/>
          <w14:textFill>
            <w14:solidFill>
              <w14:schemeClr w14:val="tx1"/>
            </w14:solidFill>
          </w14:textFill>
        </w:rPr>
      </w:pPr>
    </w:p>
    <w:p w14:paraId="7F7CD0EC">
      <w:pPr>
        <w:outlineLvl w:val="0"/>
        <w:rPr>
          <w:rFonts w:hint="eastAsia" w:ascii="宋体" w:hAnsi="宋体" w:eastAsia="宋体" w:cs="宋体"/>
          <w:b/>
          <w:color w:val="000000" w:themeColor="text1"/>
          <w:shd w:val="clear" w:color="auto" w:fill="auto"/>
          <w14:textFill>
            <w14:solidFill>
              <w14:schemeClr w14:val="tx1"/>
            </w14:solidFill>
          </w14:textFill>
        </w:rPr>
      </w:pPr>
    </w:p>
    <w:p w14:paraId="64EEA8A2">
      <w:pPr>
        <w:outlineLvl w:val="0"/>
        <w:rPr>
          <w:rFonts w:hint="eastAsia" w:ascii="宋体" w:hAnsi="宋体" w:eastAsia="宋体" w:cs="宋体"/>
          <w:b/>
          <w:color w:val="000000" w:themeColor="text1"/>
          <w:shd w:val="clear" w:color="auto" w:fill="auto"/>
          <w14:textFill>
            <w14:solidFill>
              <w14:schemeClr w14:val="tx1"/>
            </w14:solidFill>
          </w14:textFill>
        </w:rPr>
      </w:pPr>
    </w:p>
    <w:p w14:paraId="484588E4">
      <w:pPr>
        <w:outlineLvl w:val="0"/>
        <w:rPr>
          <w:rFonts w:hint="eastAsia" w:ascii="宋体" w:hAnsi="宋体" w:eastAsia="宋体" w:cs="宋体"/>
          <w:b/>
          <w:color w:val="000000" w:themeColor="text1"/>
          <w:shd w:val="clear" w:color="auto" w:fill="auto"/>
          <w14:textFill>
            <w14:solidFill>
              <w14:schemeClr w14:val="tx1"/>
            </w14:solidFill>
          </w14:textFill>
        </w:rPr>
      </w:pPr>
    </w:p>
    <w:p w14:paraId="30E4646E">
      <w:pPr>
        <w:outlineLvl w:val="0"/>
        <w:rPr>
          <w:rFonts w:hint="eastAsia" w:ascii="宋体" w:hAnsi="宋体" w:eastAsia="宋体" w:cs="宋体"/>
          <w:b/>
          <w:color w:val="000000" w:themeColor="text1"/>
          <w:shd w:val="clear" w:color="auto" w:fill="auto"/>
          <w14:textFill>
            <w14:solidFill>
              <w14:schemeClr w14:val="tx1"/>
            </w14:solidFill>
          </w14:textFill>
        </w:rPr>
      </w:pPr>
    </w:p>
    <w:p w14:paraId="3623FFE5">
      <w:pPr>
        <w:outlineLvl w:val="0"/>
        <w:rPr>
          <w:rFonts w:hint="eastAsia" w:ascii="宋体" w:hAnsi="宋体" w:eastAsia="宋体" w:cs="宋体"/>
          <w:b/>
          <w:color w:val="000000" w:themeColor="text1"/>
          <w:shd w:val="clear" w:color="auto" w:fill="auto"/>
          <w14:textFill>
            <w14:solidFill>
              <w14:schemeClr w14:val="tx1"/>
            </w14:solidFill>
          </w14:textFill>
        </w:rPr>
      </w:pPr>
    </w:p>
    <w:p w14:paraId="6C2072D1">
      <w:pPr>
        <w:outlineLvl w:val="0"/>
        <w:rPr>
          <w:rFonts w:hint="eastAsia" w:ascii="宋体" w:hAnsi="宋体" w:eastAsia="宋体" w:cs="宋体"/>
          <w:b/>
          <w:color w:val="000000" w:themeColor="text1"/>
          <w:shd w:val="clear" w:color="auto" w:fill="auto"/>
          <w14:textFill>
            <w14:solidFill>
              <w14:schemeClr w14:val="tx1"/>
            </w14:solidFill>
          </w14:textFill>
        </w:rPr>
      </w:pPr>
    </w:p>
    <w:p w14:paraId="50618586">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C69A6B-E58F-49CD-86B9-A7CEC9CDD40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F8807950-E081-4A7A-95AD-28F35CBDC373}"/>
  </w:font>
  <w:font w:name="微软雅黑">
    <w:panose1 w:val="020B0503020204020204"/>
    <w:charset w:val="86"/>
    <w:family w:val="auto"/>
    <w:pitch w:val="default"/>
    <w:sig w:usb0="80000287" w:usb1="280F3C52" w:usb2="00000016" w:usb3="00000000" w:csb0="0004001F" w:csb1="00000000"/>
    <w:embedRegular r:id="rId3" w:fontKey="{0C8017FF-0613-47C4-A0CA-C58427D655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B325DC"/>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51448A"/>
    <w:rsid w:val="0983062E"/>
    <w:rsid w:val="0ACB5503"/>
    <w:rsid w:val="0ACF458A"/>
    <w:rsid w:val="0B6515A1"/>
    <w:rsid w:val="0B6F68C5"/>
    <w:rsid w:val="0BAE21B6"/>
    <w:rsid w:val="0BDC31C7"/>
    <w:rsid w:val="0BE1258C"/>
    <w:rsid w:val="0BE64970"/>
    <w:rsid w:val="0C033E70"/>
    <w:rsid w:val="0C3152C1"/>
    <w:rsid w:val="0C481EEF"/>
    <w:rsid w:val="0C56674E"/>
    <w:rsid w:val="0C72264C"/>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4E62A1D"/>
    <w:rsid w:val="154C4C37"/>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CC73BB"/>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01636C"/>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3E3844"/>
    <w:rsid w:val="437344B8"/>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843697"/>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2D08FA"/>
    <w:rsid w:val="4C4E289A"/>
    <w:rsid w:val="4CC56D84"/>
    <w:rsid w:val="4DBE5CAD"/>
    <w:rsid w:val="4DD75684"/>
    <w:rsid w:val="4E0D2518"/>
    <w:rsid w:val="4E1557C5"/>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4A70C6"/>
    <w:rsid w:val="526D5211"/>
    <w:rsid w:val="529620AE"/>
    <w:rsid w:val="52C7180D"/>
    <w:rsid w:val="52EB291F"/>
    <w:rsid w:val="52ED493F"/>
    <w:rsid w:val="52EF4E28"/>
    <w:rsid w:val="52F55822"/>
    <w:rsid w:val="531D3103"/>
    <w:rsid w:val="531F0FF7"/>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EA1556"/>
    <w:rsid w:val="58FC1D80"/>
    <w:rsid w:val="593509FB"/>
    <w:rsid w:val="59893E96"/>
    <w:rsid w:val="599D432B"/>
    <w:rsid w:val="59E56370"/>
    <w:rsid w:val="5A12625C"/>
    <w:rsid w:val="5B1E275D"/>
    <w:rsid w:val="5B3E21DC"/>
    <w:rsid w:val="5B4A5024"/>
    <w:rsid w:val="5BBD57F6"/>
    <w:rsid w:val="5BC414F3"/>
    <w:rsid w:val="5C2D4F60"/>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1F70B3"/>
    <w:rsid w:val="682465CF"/>
    <w:rsid w:val="68EA74FF"/>
    <w:rsid w:val="690814B0"/>
    <w:rsid w:val="691727A3"/>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655E47"/>
    <w:rsid w:val="74CE1079"/>
    <w:rsid w:val="74E41D61"/>
    <w:rsid w:val="75F575B2"/>
    <w:rsid w:val="7654465A"/>
    <w:rsid w:val="765A00C6"/>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0626D"/>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932A90"/>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11807</Words>
  <Characters>12127</Characters>
  <Lines>182</Lines>
  <Paragraphs>51</Paragraphs>
  <TotalTime>12</TotalTime>
  <ScaleCrop>false</ScaleCrop>
  <LinksUpToDate>false</LinksUpToDate>
  <CharactersWithSpaces>12632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2025-10-24T08:49:04Z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