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2025FW123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信息中心智慧病房软硬件全保服务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485108766"/>
      <w:bookmarkStart w:id="2" w:name="_Toc25875"/>
      <w:bookmarkStart w:id="3" w:name="_Toc23588"/>
      <w:bookmarkStart w:id="4" w:name="_Toc6921"/>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信息中心智慧病房软硬件全保服务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313893526"/>
      <w:bookmarkStart w:id="10" w:name="_Toc28443"/>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信息中心智慧病房软硬件全保服务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4DDD87B9">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：医院自筹,预算金额：413250元/3年。</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w:t>
      </w:r>
      <w:bookmarkStart w:id="189" w:name="_GoBack"/>
      <w:bookmarkEnd w:id="189"/>
      <w:r>
        <w:rPr>
          <w:rFonts w:hint="eastAsia" w:ascii="宋体" w:hAnsi="宋体" w:eastAsia="宋体" w:cs="宋体"/>
          <w:color w:val="000000" w:themeColor="text1"/>
          <w:sz w:val="24"/>
          <w:szCs w:val="24"/>
          <w:shd w:val="clear" w:color="auto" w:fill="auto"/>
          <w14:textFill>
            <w14:solidFill>
              <w14:schemeClr w14:val="tx1"/>
            </w14:solidFill>
          </w14:textFill>
        </w:rPr>
        <w:t>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1.报价为包干价，包含服务费、人工费、设备费、代理费、税金费用等费用，均由成交供应商承担。(报价表见第六章)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79714298"/>
      <w:bookmarkStart w:id="42" w:name="_Toc18122"/>
      <w:bookmarkStart w:id="43" w:name="_Toc34291339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3212"/>
      <w:bookmarkStart w:id="56" w:name="_Toc403569783"/>
      <w:bookmarkStart w:id="57" w:name="_Toc342913395"/>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2880"/>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一、服务需求</w:t>
      </w:r>
    </w:p>
    <w:p w14:paraId="3FEEF1A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1、软件维护范围包括：医院</w:t>
      </w:r>
      <w:r>
        <w:rPr>
          <w:rFonts w:hint="eastAsia" w:ascii="宋体" w:hAnsi="宋体" w:eastAsia="宋体" w:cs="宋体"/>
          <w:color w:val="FF0000"/>
          <w:sz w:val="24"/>
          <w:szCs w:val="24"/>
          <w:shd w:val="clear" w:color="auto" w:fill="auto"/>
        </w:rPr>
        <w:t>智慧病房集成管理平台（后台系统）、智慧护理看板系统、医护对讲系统、床旁交互系统、信息发布系统。</w:t>
      </w:r>
      <w:r>
        <w:rPr>
          <w:rFonts w:hint="eastAsia" w:ascii="宋体" w:hAnsi="宋体" w:eastAsia="宋体" w:cs="宋体"/>
          <w:color w:val="FF0000"/>
          <w:sz w:val="24"/>
          <w:szCs w:val="24"/>
          <w:shd w:val="clear" w:color="auto" w:fill="auto"/>
          <w:lang w:val="en-US" w:eastAsia="zh-CN"/>
        </w:rPr>
        <w:t>硬件维护范围包括：600台床头显示屏、18台护士站呼叫控制主机、36台走廊双面屏。</w:t>
      </w:r>
    </w:p>
    <w:p w14:paraId="5AC93D9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维保服务期内，服务方应在充分了解采购人现有环境基础上，提供规范化、高质量的服务，对各种原因引起的</w:t>
      </w:r>
      <w:r>
        <w:rPr>
          <w:rFonts w:hint="eastAsia" w:ascii="宋体" w:hAnsi="宋体" w:eastAsia="宋体" w:cs="宋体"/>
          <w:color w:val="FF0000"/>
          <w:sz w:val="24"/>
          <w:szCs w:val="24"/>
          <w:shd w:val="clear" w:color="auto" w:fill="auto"/>
          <w:lang w:val="en-US" w:eastAsia="zh-CN"/>
        </w:rPr>
        <w:t>软</w:t>
      </w:r>
      <w:r>
        <w:rPr>
          <w:rFonts w:hint="eastAsia" w:ascii="宋体" w:hAnsi="宋体" w:eastAsia="宋体" w:cs="宋体"/>
          <w:color w:val="FF0000"/>
          <w:sz w:val="24"/>
          <w:szCs w:val="24"/>
          <w:shd w:val="clear" w:color="auto" w:fill="auto"/>
        </w:rPr>
        <w:t>硬件故障，提供</w:t>
      </w:r>
      <w:r>
        <w:rPr>
          <w:rFonts w:hint="eastAsia" w:ascii="宋体" w:hAnsi="宋体" w:eastAsia="宋体" w:cs="宋体"/>
          <w:color w:val="FF0000"/>
          <w:sz w:val="24"/>
          <w:szCs w:val="24"/>
          <w:shd w:val="clear" w:color="auto" w:fill="auto"/>
          <w:lang w:val="en-US" w:eastAsia="zh-CN"/>
        </w:rPr>
        <w:t>软件维护、软件优化升级、</w:t>
      </w:r>
      <w:r>
        <w:rPr>
          <w:rFonts w:hint="eastAsia" w:ascii="宋体" w:hAnsi="宋体" w:eastAsia="宋体" w:cs="宋体"/>
          <w:color w:val="FF0000"/>
          <w:sz w:val="24"/>
          <w:szCs w:val="24"/>
          <w:shd w:val="clear" w:color="auto" w:fill="auto"/>
        </w:rPr>
        <w:t>硬件</w:t>
      </w:r>
      <w:r>
        <w:rPr>
          <w:rFonts w:hint="eastAsia" w:ascii="宋体" w:hAnsi="宋体" w:eastAsia="宋体" w:cs="宋体"/>
          <w:color w:val="FF0000"/>
          <w:sz w:val="24"/>
          <w:szCs w:val="24"/>
          <w:shd w:val="clear" w:color="auto" w:fill="auto"/>
          <w:lang w:val="en-US" w:eastAsia="zh-CN"/>
        </w:rPr>
        <w:t>维修、硬件更换等</w:t>
      </w:r>
      <w:r>
        <w:rPr>
          <w:rFonts w:hint="eastAsia" w:ascii="宋体" w:hAnsi="宋体" w:eastAsia="宋体" w:cs="宋体"/>
          <w:color w:val="FF0000"/>
          <w:sz w:val="24"/>
          <w:szCs w:val="24"/>
          <w:shd w:val="clear" w:color="auto" w:fill="auto"/>
        </w:rPr>
        <w:t>服务。</w:t>
      </w:r>
    </w:p>
    <w:p w14:paraId="0F2D303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故障响应与解决</w:t>
      </w:r>
    </w:p>
    <w:p w14:paraId="36FFE12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服务支持：提供7*24小时</w:t>
      </w:r>
      <w:r>
        <w:rPr>
          <w:rFonts w:hint="eastAsia" w:ascii="宋体" w:hAnsi="宋体" w:eastAsia="宋体" w:cs="宋体"/>
          <w:color w:val="FF0000"/>
          <w:sz w:val="24"/>
          <w:szCs w:val="24"/>
          <w:shd w:val="clear" w:color="auto" w:fill="auto"/>
          <w:lang w:val="en-US" w:eastAsia="zh-CN"/>
        </w:rPr>
        <w:t>技术</w:t>
      </w:r>
      <w:r>
        <w:rPr>
          <w:rFonts w:hint="eastAsia" w:ascii="宋体" w:hAnsi="宋体" w:eastAsia="宋体" w:cs="宋体"/>
          <w:color w:val="FF0000"/>
          <w:sz w:val="24"/>
          <w:szCs w:val="24"/>
          <w:shd w:val="clear" w:color="auto" w:fill="auto"/>
        </w:rPr>
        <w:t>支持，</w:t>
      </w:r>
      <w:r>
        <w:rPr>
          <w:rFonts w:hint="eastAsia" w:ascii="宋体" w:hAnsi="宋体" w:eastAsia="宋体" w:cs="宋体"/>
          <w:color w:val="FF0000"/>
          <w:sz w:val="24"/>
          <w:szCs w:val="24"/>
          <w:shd w:val="clear" w:color="auto" w:fill="auto"/>
          <w:lang w:val="en-US" w:eastAsia="zh-CN"/>
        </w:rPr>
        <w:t>使用院方指定报修平台，</w:t>
      </w:r>
      <w:r>
        <w:rPr>
          <w:rFonts w:hint="eastAsia" w:ascii="宋体" w:hAnsi="宋体" w:eastAsia="宋体" w:cs="宋体"/>
          <w:color w:val="FF0000"/>
          <w:sz w:val="24"/>
          <w:szCs w:val="24"/>
          <w:shd w:val="clear" w:color="auto" w:fill="auto"/>
        </w:rPr>
        <w:t>接收软件</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硬件</w:t>
      </w:r>
      <w:r>
        <w:rPr>
          <w:rFonts w:hint="eastAsia" w:ascii="宋体" w:hAnsi="宋体" w:eastAsia="宋体" w:cs="宋体"/>
          <w:color w:val="FF0000"/>
          <w:sz w:val="24"/>
          <w:szCs w:val="24"/>
          <w:shd w:val="clear" w:color="auto" w:fill="auto"/>
        </w:rPr>
        <w:t>使用问题</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实时更新</w:t>
      </w:r>
      <w:r>
        <w:rPr>
          <w:rFonts w:hint="eastAsia" w:ascii="宋体" w:hAnsi="宋体" w:eastAsia="宋体" w:cs="宋体"/>
          <w:color w:val="FF0000"/>
          <w:sz w:val="24"/>
          <w:szCs w:val="24"/>
          <w:shd w:val="clear" w:color="auto" w:fill="auto"/>
        </w:rPr>
        <w:t>故障</w:t>
      </w:r>
      <w:r>
        <w:rPr>
          <w:rFonts w:hint="eastAsia" w:ascii="宋体" w:hAnsi="宋体" w:eastAsia="宋体" w:cs="宋体"/>
          <w:color w:val="FF0000"/>
          <w:sz w:val="24"/>
          <w:szCs w:val="24"/>
          <w:shd w:val="clear" w:color="auto" w:fill="auto"/>
          <w:lang w:val="en-US" w:eastAsia="zh-CN"/>
        </w:rPr>
        <w:t>维修进度</w:t>
      </w:r>
      <w:r>
        <w:rPr>
          <w:rFonts w:hint="eastAsia" w:ascii="宋体" w:hAnsi="宋体" w:eastAsia="宋体" w:cs="宋体"/>
          <w:color w:val="FF0000"/>
          <w:sz w:val="24"/>
          <w:szCs w:val="24"/>
          <w:shd w:val="clear" w:color="auto" w:fill="auto"/>
        </w:rPr>
        <w:t>。响应时间：</w:t>
      </w:r>
    </w:p>
    <w:p w14:paraId="116D03C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一级故障（系统瘫痪、核心功能无法使用）： 15分钟内响应，1小时内提供应急解决方案，4小时内恢复核心功能。</w:t>
      </w:r>
    </w:p>
    <w:p w14:paraId="1E370A7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二级故障（部分功能失效，影响正常使用）： 30分钟内响应，2小时内远程介入，8小时内解决。</w:t>
      </w:r>
    </w:p>
    <w:p w14:paraId="409945E8">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三级故障（一般性操作问题或性能下降）： 2小时内响应，24小时内提供解决方案或替代方案。</w:t>
      </w:r>
    </w:p>
    <w:p w14:paraId="531BA47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远程支持：服务方应</w:t>
      </w:r>
      <w:r>
        <w:rPr>
          <w:rFonts w:hint="eastAsia" w:ascii="宋体" w:hAnsi="宋体" w:eastAsia="宋体" w:cs="宋体"/>
          <w:color w:val="FF0000"/>
          <w:sz w:val="24"/>
          <w:szCs w:val="24"/>
          <w:shd w:val="clear" w:color="auto" w:fill="auto"/>
          <w:lang w:val="en-US" w:eastAsia="zh-CN"/>
        </w:rPr>
        <w:t>按院方要求进行远程维护</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软件故障诊断与修复。</w:t>
      </w:r>
    </w:p>
    <w:p w14:paraId="6681DC4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现场支持：对于无法通过远程解决的复杂软件故障，服务方需承诺在约定时间内（如：一级故障6小时内）派遣工程师到达现场处理。</w:t>
      </w:r>
    </w:p>
    <w:p w14:paraId="1EED32BE">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根本原因分析：对重复发生或重大软件故障，需在故障解决后5个工作日内提交书面《根本原因分析报告》，说明问题根源、解决过程和预防措施。</w:t>
      </w:r>
    </w:p>
    <w:p w14:paraId="0CC0626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预防性维护与系统健康检查</w:t>
      </w:r>
    </w:p>
    <w:p w14:paraId="4B8C499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定期巡检：每周不少于一次做上门巡检，维保。每季度提供一次全面的远程系统健康检查，每半年提供一次现场深度巡检。</w:t>
      </w:r>
    </w:p>
    <w:p w14:paraId="5FF0BBF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巡检内容应包括：</w:t>
      </w:r>
    </w:p>
    <w:p w14:paraId="3168BC5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①</w:t>
      </w:r>
      <w:r>
        <w:rPr>
          <w:rFonts w:hint="eastAsia" w:ascii="宋体" w:hAnsi="宋体" w:eastAsia="宋体" w:cs="宋体"/>
          <w:color w:val="FF0000"/>
          <w:sz w:val="24"/>
          <w:szCs w:val="24"/>
          <w:shd w:val="clear" w:color="auto" w:fill="auto"/>
        </w:rPr>
        <w:t>系统日志分析与错误警告排查</w:t>
      </w:r>
    </w:p>
    <w:p w14:paraId="1A0E30D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②</w:t>
      </w:r>
      <w:r>
        <w:rPr>
          <w:rFonts w:hint="eastAsia" w:ascii="宋体" w:hAnsi="宋体" w:eastAsia="宋体" w:cs="宋体"/>
          <w:color w:val="FF0000"/>
          <w:sz w:val="24"/>
          <w:szCs w:val="24"/>
          <w:shd w:val="clear" w:color="auto" w:fill="auto"/>
        </w:rPr>
        <w:t>数据库性能检查与空间使用分析</w:t>
      </w:r>
    </w:p>
    <w:p w14:paraId="2D7597A1">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③</w:t>
      </w:r>
      <w:r>
        <w:rPr>
          <w:rFonts w:hint="eastAsia" w:ascii="宋体" w:hAnsi="宋体" w:eastAsia="宋体" w:cs="宋体"/>
          <w:color w:val="FF0000"/>
          <w:sz w:val="24"/>
          <w:szCs w:val="24"/>
          <w:shd w:val="clear" w:color="auto" w:fill="auto"/>
        </w:rPr>
        <w:t>核心服务进程状态与资源占用（CPU、内存）监控</w:t>
      </w:r>
    </w:p>
    <w:p w14:paraId="1346D34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④</w:t>
      </w:r>
      <w:r>
        <w:rPr>
          <w:rFonts w:hint="eastAsia" w:ascii="宋体" w:hAnsi="宋体" w:eastAsia="宋体" w:cs="宋体"/>
          <w:color w:val="FF0000"/>
          <w:sz w:val="24"/>
          <w:szCs w:val="24"/>
          <w:shd w:val="clear" w:color="auto" w:fill="auto"/>
        </w:rPr>
        <w:t>网络通信状态检查</w:t>
      </w:r>
    </w:p>
    <w:p w14:paraId="1F252CAE">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⑤</w:t>
      </w:r>
      <w:r>
        <w:rPr>
          <w:rFonts w:hint="eastAsia" w:ascii="宋体" w:hAnsi="宋体" w:eastAsia="宋体" w:cs="宋体"/>
          <w:color w:val="FF0000"/>
          <w:sz w:val="24"/>
          <w:szCs w:val="24"/>
          <w:shd w:val="clear" w:color="auto" w:fill="auto"/>
        </w:rPr>
        <w:t>与第三方系统接口连通性及数据交互测试</w:t>
      </w:r>
    </w:p>
    <w:p w14:paraId="702FE4C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⑥</w:t>
      </w:r>
      <w:r>
        <w:rPr>
          <w:rFonts w:hint="eastAsia" w:ascii="宋体" w:hAnsi="宋体" w:eastAsia="宋体" w:cs="宋体"/>
          <w:color w:val="FF0000"/>
          <w:sz w:val="24"/>
          <w:szCs w:val="24"/>
          <w:shd w:val="clear" w:color="auto" w:fill="auto"/>
        </w:rPr>
        <w:t>软件版本与补丁状态评估</w:t>
      </w:r>
    </w:p>
    <w:p w14:paraId="786890C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巡检报告：每次巡检后需提交《系统健康检查报告》，包含检查项目、发现的问题、优化建议及风险预警。</w:t>
      </w:r>
    </w:p>
    <w:p w14:paraId="5E868D6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系统优化与性能提升</w:t>
      </w:r>
    </w:p>
    <w:p w14:paraId="6AEAF53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①</w:t>
      </w:r>
      <w:r>
        <w:rPr>
          <w:rFonts w:hint="eastAsia" w:ascii="宋体" w:hAnsi="宋体" w:eastAsia="宋体" w:cs="宋体"/>
          <w:color w:val="FF0000"/>
          <w:sz w:val="24"/>
          <w:szCs w:val="24"/>
          <w:shd w:val="clear" w:color="auto" w:fill="auto"/>
        </w:rPr>
        <w:t>性能监控：协助院方监控关键业务模块的响应时间，并对性能瓶颈进行分析。</w:t>
      </w:r>
    </w:p>
    <w:p w14:paraId="52CF230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②</w:t>
      </w:r>
      <w:r>
        <w:rPr>
          <w:rFonts w:hint="eastAsia" w:ascii="宋体" w:hAnsi="宋体" w:eastAsia="宋体" w:cs="宋体"/>
          <w:color w:val="FF0000"/>
          <w:sz w:val="24"/>
          <w:szCs w:val="24"/>
          <w:shd w:val="clear" w:color="auto" w:fill="auto"/>
        </w:rPr>
        <w:t>优化建议：根据系统运行数据和业务压力变化，定期（如每半年）提供数据库优化、配置参数调整、架构优化等建议方案，并与院方共同实施。</w:t>
      </w:r>
    </w:p>
    <w:p w14:paraId="2A33E3B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③</w:t>
      </w:r>
      <w:r>
        <w:rPr>
          <w:rFonts w:hint="eastAsia" w:ascii="宋体" w:hAnsi="宋体" w:eastAsia="宋体" w:cs="宋体"/>
          <w:color w:val="FF0000"/>
          <w:sz w:val="24"/>
          <w:szCs w:val="24"/>
          <w:shd w:val="clear" w:color="auto" w:fill="auto"/>
        </w:rPr>
        <w:t>数据清理：提供历史数据（如呼叫记录、日志）的归档与清理方案，防止数据库过度膨胀影响系统性能。</w:t>
      </w:r>
    </w:p>
    <w:p w14:paraId="1FEAB94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系统更新与补丁管理</w:t>
      </w:r>
    </w:p>
    <w:p w14:paraId="0AD2E84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漏洞修复：及时提供针对操作系统、数据库、中间件及呼叫系统自身软件的安全漏洞补丁，并制定安全的部署计划。</w:t>
      </w:r>
    </w:p>
    <w:p w14:paraId="5825E5E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兼容性更新：当医院相关的操作系统（如Windows Server）、数据库（如SQL Server）或第三方系统（如HIS）进行重大版本升级时，服务商需确保呼叫系统软件保持兼容，并提供必要的更新或补丁。</w:t>
      </w:r>
    </w:p>
    <w:p w14:paraId="40F291C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功能迭代：在维保期内，服务商应提供基于通用需求的功能优化和迭代，如报表格式调整、显示信息增加等。</w:t>
      </w:r>
    </w:p>
    <w:p w14:paraId="34CF99F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数据安全与备份支持</w:t>
      </w:r>
    </w:p>
    <w:p w14:paraId="1B51AF2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安全评估：每年进行一次软件层面的安全风险评估，检查用户权限、访问日志、数据加密等情况</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并生成安全评估报告。</w:t>
      </w:r>
    </w:p>
    <w:p w14:paraId="27B96DF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备份策略支持：协助院方制定并验证系统软件及数据库的备份与恢复策略。</w:t>
      </w:r>
    </w:p>
    <w:p w14:paraId="0FBD88A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灾难恢复演练：每年至少协助或主导一次基于软件的灾难恢复演练，确保在系统崩溃后能快速恢复数据和系统配置。</w:t>
      </w:r>
    </w:p>
    <w:p w14:paraId="753077A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rPr>
        <w:t>文档与知识转移</w:t>
      </w:r>
    </w:p>
    <w:p w14:paraId="5F6A838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维护文档更新：维保期内，所有因变更而产生的系统配置文档、接口文档、操作手册等均应保持最新，并交付给院方。</w:t>
      </w:r>
    </w:p>
    <w:p w14:paraId="1445A24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培训：每年至少为院方提供一次系统管理方面的深度技术培训，内容涵盖日常维护、故障排查、日志分析等。</w:t>
      </w:r>
    </w:p>
    <w:p w14:paraId="7BEEE4F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9、（1）服务期内硬件设备出现无法修复的故障，服务方需提供全新的硬件设备进行更换，</w:t>
      </w:r>
      <w:r>
        <w:rPr>
          <w:rFonts w:hint="eastAsia" w:ascii="宋体" w:hAnsi="宋体" w:eastAsia="宋体" w:cs="宋体"/>
          <w:color w:val="FF0000"/>
          <w:sz w:val="24"/>
          <w:szCs w:val="24"/>
          <w:shd w:val="clear" w:color="auto" w:fill="auto"/>
        </w:rPr>
        <w:t>服务方提供硬件性能需等同或优于采购人自有硬件</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参数见下表</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w:t>
      </w:r>
    </w:p>
    <w:p w14:paraId="713A7EF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（2）服务方提供的</w:t>
      </w:r>
      <w:r>
        <w:rPr>
          <w:rFonts w:hint="eastAsia" w:ascii="宋体" w:hAnsi="宋体" w:eastAsia="宋体" w:cs="宋体"/>
          <w:color w:val="FF0000"/>
          <w:sz w:val="24"/>
          <w:szCs w:val="24"/>
          <w:shd w:val="clear" w:color="auto" w:fill="auto"/>
        </w:rPr>
        <w:t>硬件</w:t>
      </w:r>
      <w:r>
        <w:rPr>
          <w:rFonts w:hint="eastAsia" w:ascii="宋体" w:hAnsi="宋体" w:eastAsia="宋体" w:cs="宋体"/>
          <w:color w:val="FF0000"/>
          <w:sz w:val="24"/>
          <w:szCs w:val="24"/>
          <w:shd w:val="clear" w:color="auto" w:fill="auto"/>
          <w:lang w:val="en-US" w:eastAsia="zh-CN"/>
        </w:rPr>
        <w:t>设备</w:t>
      </w:r>
      <w:r>
        <w:rPr>
          <w:rFonts w:hint="eastAsia" w:ascii="宋体" w:hAnsi="宋体" w:eastAsia="宋体" w:cs="宋体"/>
          <w:color w:val="FF0000"/>
          <w:sz w:val="24"/>
          <w:szCs w:val="24"/>
          <w:shd w:val="clear" w:color="auto" w:fill="auto"/>
        </w:rPr>
        <w:t>参数</w:t>
      </w:r>
      <w:r>
        <w:rPr>
          <w:rFonts w:hint="eastAsia" w:ascii="宋体" w:hAnsi="宋体" w:eastAsia="宋体" w:cs="宋体"/>
          <w:color w:val="FF0000"/>
          <w:sz w:val="24"/>
          <w:szCs w:val="24"/>
          <w:shd w:val="clear" w:color="auto" w:fill="auto"/>
          <w:lang w:val="en-US" w:eastAsia="zh-CN"/>
        </w:rPr>
        <w:t>不低于以下标准</w:t>
      </w:r>
      <w:r>
        <w:rPr>
          <w:rFonts w:hint="eastAsia" w:ascii="宋体" w:hAnsi="宋体" w:eastAsia="宋体" w:cs="宋体"/>
          <w:color w:val="FF0000"/>
          <w:sz w:val="24"/>
          <w:szCs w:val="24"/>
          <w:shd w:val="clear" w:color="auto" w:fill="auto"/>
        </w:rPr>
        <w:t>：</w:t>
      </w:r>
    </w:p>
    <w:tbl>
      <w:tblPr>
        <w:tblStyle w:val="58"/>
        <w:tblW w:w="9052" w:type="dxa"/>
        <w:jc w:val="center"/>
        <w:tblLayout w:type="fixed"/>
        <w:tblCellMar>
          <w:top w:w="0" w:type="dxa"/>
          <w:left w:w="108" w:type="dxa"/>
          <w:bottom w:w="0" w:type="dxa"/>
          <w:right w:w="108" w:type="dxa"/>
        </w:tblCellMar>
      </w:tblPr>
      <w:tblGrid>
        <w:gridCol w:w="720"/>
        <w:gridCol w:w="1096"/>
        <w:gridCol w:w="7236"/>
      </w:tblGrid>
      <w:tr w14:paraId="7ACB2D2A">
        <w:tblPrEx>
          <w:tblCellMar>
            <w:top w:w="0" w:type="dxa"/>
            <w:left w:w="108" w:type="dxa"/>
            <w:bottom w:w="0" w:type="dxa"/>
            <w:right w:w="108" w:type="dxa"/>
          </w:tblCellMar>
        </w:tblPrEx>
        <w:trPr>
          <w:trHeight w:val="411"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626963F5">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序号</w:t>
            </w:r>
          </w:p>
        </w:tc>
        <w:tc>
          <w:tcPr>
            <w:tcW w:w="1096" w:type="dxa"/>
            <w:tcBorders>
              <w:top w:val="single" w:color="000000" w:sz="4" w:space="0"/>
              <w:left w:val="single" w:color="000000" w:sz="4" w:space="0"/>
              <w:bottom w:val="single" w:color="000000" w:sz="4" w:space="0"/>
              <w:right w:val="single" w:color="000000" w:sz="4" w:space="0"/>
            </w:tcBorders>
            <w:noWrap/>
            <w:vAlign w:val="center"/>
          </w:tcPr>
          <w:p w14:paraId="480DD383">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硬件名称</w:t>
            </w:r>
          </w:p>
        </w:tc>
        <w:tc>
          <w:tcPr>
            <w:tcW w:w="7236" w:type="dxa"/>
            <w:tcBorders>
              <w:top w:val="single" w:color="000000" w:sz="4" w:space="0"/>
              <w:left w:val="single" w:color="000000" w:sz="4" w:space="0"/>
              <w:bottom w:val="single" w:color="000000" w:sz="4" w:space="0"/>
              <w:right w:val="single" w:color="000000" w:sz="4" w:space="0"/>
            </w:tcBorders>
            <w:noWrap/>
            <w:vAlign w:val="center"/>
          </w:tcPr>
          <w:p w14:paraId="55781504">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参数列表</w:t>
            </w:r>
          </w:p>
        </w:tc>
      </w:tr>
      <w:tr w14:paraId="414E2F37">
        <w:tblPrEx>
          <w:tblCellMar>
            <w:top w:w="0" w:type="dxa"/>
            <w:left w:w="108" w:type="dxa"/>
            <w:bottom w:w="0" w:type="dxa"/>
            <w:right w:w="108" w:type="dxa"/>
          </w:tblCellMar>
        </w:tblPrEx>
        <w:trPr>
          <w:trHeight w:val="600"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ign w:val="center"/>
          </w:tcPr>
          <w:p w14:paraId="5F90A7F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1096" w:type="dxa"/>
            <w:vMerge w:val="restart"/>
            <w:tcBorders>
              <w:top w:val="single" w:color="000000" w:sz="4" w:space="0"/>
              <w:left w:val="single" w:color="000000" w:sz="4" w:space="0"/>
              <w:bottom w:val="single" w:color="000000" w:sz="4" w:space="0"/>
              <w:right w:val="single" w:color="000000" w:sz="4" w:space="0"/>
            </w:tcBorders>
            <w:vAlign w:val="center"/>
          </w:tcPr>
          <w:p w14:paraId="4B892E9C">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床头显示屏</w:t>
            </w:r>
          </w:p>
        </w:tc>
        <w:tc>
          <w:tcPr>
            <w:tcW w:w="7236" w:type="dxa"/>
            <w:tcBorders>
              <w:top w:val="single" w:color="000000" w:sz="4" w:space="0"/>
              <w:left w:val="single" w:color="000000" w:sz="4" w:space="0"/>
              <w:bottom w:val="single" w:color="000000" w:sz="4" w:space="0"/>
              <w:right w:val="single" w:color="000000" w:sz="4" w:space="0"/>
            </w:tcBorders>
            <w:vAlign w:val="center"/>
          </w:tcPr>
          <w:p w14:paraId="68CDFC1F">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1.显示尺寸不低于7寸，电容多点IPS触控显示屏，视角≥170度，对比度≥1000:1，亮度≥300cd/m2 ,分辨率≥1024×600</w:t>
            </w:r>
          </w:p>
        </w:tc>
      </w:tr>
      <w:tr w14:paraId="329B34A7">
        <w:tblPrEx>
          <w:tblCellMar>
            <w:top w:w="0" w:type="dxa"/>
            <w:left w:w="108" w:type="dxa"/>
            <w:bottom w:w="0" w:type="dxa"/>
            <w:right w:w="108" w:type="dxa"/>
          </w:tblCellMar>
        </w:tblPrEx>
        <w:trPr>
          <w:trHeight w:val="58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F7637C8">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2546D597">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297CC4EB">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2.设备主板采用不低于4核、1.6GHz主频、安卓7.1以上系统平台，运行内存≥2GB，存储内存≥8GB</w:t>
            </w:r>
          </w:p>
        </w:tc>
      </w:tr>
      <w:tr w14:paraId="02D69D3D">
        <w:tblPrEx>
          <w:tblCellMar>
            <w:top w:w="0" w:type="dxa"/>
            <w:left w:w="108" w:type="dxa"/>
            <w:bottom w:w="0" w:type="dxa"/>
            <w:right w:w="108" w:type="dxa"/>
          </w:tblCellMar>
        </w:tblPrEx>
        <w:trPr>
          <w:trHeight w:val="58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73FB6E0">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32575870">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5BE888D8">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3.带4麦克风阵列，防暴力损坏外壳；窄边框外观；支持设备带及墙体嵌入式安装</w:t>
            </w:r>
          </w:p>
        </w:tc>
      </w:tr>
      <w:tr w14:paraId="4782DE9B">
        <w:tblPrEx>
          <w:tblCellMar>
            <w:top w:w="0" w:type="dxa"/>
            <w:left w:w="108" w:type="dxa"/>
            <w:bottom w:w="0" w:type="dxa"/>
            <w:right w:w="108" w:type="dxa"/>
          </w:tblCellMar>
        </w:tblPrEx>
        <w:trPr>
          <w:trHeight w:val="308"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4D11CC4">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5549644B">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7B9969F5">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4.具备RJ45接口，支持POE供电</w:t>
            </w:r>
          </w:p>
        </w:tc>
      </w:tr>
      <w:tr w14:paraId="194ABBFC">
        <w:tblPrEx>
          <w:tblCellMar>
            <w:top w:w="0" w:type="dxa"/>
            <w:left w:w="108" w:type="dxa"/>
            <w:bottom w:w="0" w:type="dxa"/>
            <w:right w:w="108" w:type="dxa"/>
          </w:tblCellMar>
        </w:tblPrEx>
        <w:trPr>
          <w:trHeight w:val="34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2A2AADE">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3581AFDC">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4B446104">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5.功耗：额定功耗不高于3W</w:t>
            </w:r>
          </w:p>
        </w:tc>
      </w:tr>
      <w:tr w14:paraId="141FA67F">
        <w:tblPrEx>
          <w:tblCellMar>
            <w:top w:w="0" w:type="dxa"/>
            <w:left w:w="108" w:type="dxa"/>
            <w:bottom w:w="0" w:type="dxa"/>
            <w:right w:w="108" w:type="dxa"/>
          </w:tblCellMar>
        </w:tblPrEx>
        <w:trPr>
          <w:trHeight w:val="34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31A6ABE">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077DDDB5">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02AF24B3">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6.带不低于1×4W扬声器，麦克风；带呼叫对讲手柄；</w:t>
            </w:r>
          </w:p>
        </w:tc>
      </w:tr>
      <w:tr w14:paraId="6DE874BB">
        <w:tblPrEx>
          <w:tblCellMar>
            <w:top w:w="0" w:type="dxa"/>
            <w:left w:w="108" w:type="dxa"/>
            <w:bottom w:w="0" w:type="dxa"/>
            <w:right w:w="108" w:type="dxa"/>
          </w:tblCellMar>
        </w:tblPrEx>
        <w:trPr>
          <w:trHeight w:val="58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ign w:val="center"/>
          </w:tcPr>
          <w:p w14:paraId="45B788F3">
            <w:pPr>
              <w:snapToGrid w:val="0"/>
              <w:spacing w:line="400" w:lineRule="exac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2</w:t>
            </w:r>
          </w:p>
        </w:tc>
        <w:tc>
          <w:tcPr>
            <w:tcW w:w="1096" w:type="dxa"/>
            <w:vMerge w:val="restart"/>
            <w:tcBorders>
              <w:top w:val="single" w:color="000000" w:sz="4" w:space="0"/>
              <w:left w:val="single" w:color="000000" w:sz="4" w:space="0"/>
              <w:bottom w:val="single" w:color="000000" w:sz="4" w:space="0"/>
              <w:right w:val="single" w:color="000000" w:sz="4" w:space="0"/>
            </w:tcBorders>
            <w:vAlign w:val="center"/>
          </w:tcPr>
          <w:p w14:paraId="2D0D9CD5">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走廊双面屏</w:t>
            </w:r>
          </w:p>
        </w:tc>
        <w:tc>
          <w:tcPr>
            <w:tcW w:w="7236" w:type="dxa"/>
            <w:tcBorders>
              <w:top w:val="single" w:color="000000" w:sz="4" w:space="0"/>
              <w:left w:val="single" w:color="000000" w:sz="4" w:space="0"/>
              <w:bottom w:val="single" w:color="000000" w:sz="4" w:space="0"/>
              <w:right w:val="single" w:color="000000" w:sz="4" w:space="0"/>
            </w:tcBorders>
            <w:vAlign w:val="center"/>
          </w:tcPr>
          <w:p w14:paraId="7E4666F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1.双面液晶IPS显示面板，视角≥170度，尺寸≥21.5英寸，显示分辨率1920×1080，对比度≥1500：1，最大亮度≥350cd/m2</w:t>
            </w:r>
          </w:p>
        </w:tc>
      </w:tr>
      <w:tr w14:paraId="5EA0D1C3">
        <w:tblPrEx>
          <w:tblCellMar>
            <w:top w:w="0" w:type="dxa"/>
            <w:left w:w="108" w:type="dxa"/>
            <w:bottom w:w="0" w:type="dxa"/>
            <w:right w:w="108" w:type="dxa"/>
          </w:tblCellMar>
        </w:tblPrEx>
        <w:trPr>
          <w:trHeight w:val="531"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9D31EE6">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035525DD">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749A4D9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2.设备主板采用不低于4核、1.6GHz主频、安卓7.1以上系统平台，运行内存≥2GB，存储内存≥8GB</w:t>
            </w:r>
          </w:p>
        </w:tc>
      </w:tr>
      <w:tr w14:paraId="732D0B36">
        <w:tblPrEx>
          <w:tblCellMar>
            <w:top w:w="0" w:type="dxa"/>
            <w:left w:w="108" w:type="dxa"/>
            <w:bottom w:w="0" w:type="dxa"/>
            <w:right w:w="108" w:type="dxa"/>
          </w:tblCellMar>
        </w:tblPrEx>
        <w:trPr>
          <w:trHeight w:val="319"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A9C0021">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2DBDC71C">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right w:val="single" w:color="000000" w:sz="4" w:space="0"/>
            </w:tcBorders>
            <w:vAlign w:val="center"/>
          </w:tcPr>
          <w:p w14:paraId="648C3DD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3.不低于2×4W立体声扬声器</w:t>
            </w:r>
          </w:p>
        </w:tc>
      </w:tr>
      <w:tr w14:paraId="2F47F98F">
        <w:tblPrEx>
          <w:tblCellMar>
            <w:top w:w="0" w:type="dxa"/>
            <w:left w:w="108" w:type="dxa"/>
            <w:bottom w:w="0" w:type="dxa"/>
            <w:right w:w="108" w:type="dxa"/>
          </w:tblCellMar>
        </w:tblPrEx>
        <w:trPr>
          <w:trHeight w:val="325"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4D913D9">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66DB1EDB">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7F3BAC2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4.设备具备RJ45接口及支持标准的WI-FI接口协议</w:t>
            </w:r>
          </w:p>
        </w:tc>
      </w:tr>
      <w:tr w14:paraId="1989D5FB">
        <w:tblPrEx>
          <w:tblCellMar>
            <w:top w:w="0" w:type="dxa"/>
            <w:left w:w="108" w:type="dxa"/>
            <w:bottom w:w="0" w:type="dxa"/>
            <w:right w:w="108" w:type="dxa"/>
          </w:tblCellMar>
        </w:tblPrEx>
        <w:trPr>
          <w:trHeight w:val="566"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ign w:val="center"/>
          </w:tcPr>
          <w:p w14:paraId="773DAF00">
            <w:pPr>
              <w:snapToGrid w:val="0"/>
              <w:spacing w:line="400" w:lineRule="exac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3</w:t>
            </w:r>
          </w:p>
        </w:tc>
        <w:tc>
          <w:tcPr>
            <w:tcW w:w="1096" w:type="dxa"/>
            <w:vMerge w:val="restart"/>
            <w:tcBorders>
              <w:top w:val="single" w:color="000000" w:sz="4" w:space="0"/>
              <w:left w:val="single" w:color="000000" w:sz="4" w:space="0"/>
              <w:bottom w:val="single" w:color="000000" w:sz="4" w:space="0"/>
              <w:right w:val="single" w:color="000000" w:sz="4" w:space="0"/>
            </w:tcBorders>
            <w:vAlign w:val="center"/>
          </w:tcPr>
          <w:p w14:paraId="146F7ADB">
            <w:pPr>
              <w:snapToGrid w:val="0"/>
              <w:spacing w:line="40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护士站呼叫控制主机</w:t>
            </w:r>
          </w:p>
        </w:tc>
        <w:tc>
          <w:tcPr>
            <w:tcW w:w="7236" w:type="dxa"/>
            <w:tcBorders>
              <w:top w:val="single" w:color="000000" w:sz="4" w:space="0"/>
              <w:left w:val="single" w:color="000000" w:sz="4" w:space="0"/>
              <w:bottom w:val="single" w:color="000000" w:sz="4" w:space="0"/>
              <w:right w:val="single" w:color="000000" w:sz="4" w:space="0"/>
            </w:tcBorders>
            <w:vAlign w:val="center"/>
          </w:tcPr>
          <w:p w14:paraId="13C8CDB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1.液晶IPS显示面板，电容多点触控，视角≥170度，尺寸≥21英寸，显示分辨率≥1920×1080，对比度≥1000：1，最大亮度≥300cd/m2</w:t>
            </w:r>
          </w:p>
        </w:tc>
      </w:tr>
      <w:tr w14:paraId="0BCB3BF1">
        <w:tblPrEx>
          <w:tblCellMar>
            <w:top w:w="0" w:type="dxa"/>
            <w:left w:w="108" w:type="dxa"/>
            <w:bottom w:w="0" w:type="dxa"/>
            <w:right w:w="108" w:type="dxa"/>
          </w:tblCellMar>
        </w:tblPrEx>
        <w:trPr>
          <w:trHeight w:val="480"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7E2BD7F">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308C9DA2">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1D882A4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2.设备主板采用不低于4核、1.6GHz主频、安卓7.1以上系统平台，运行内存≥2GB，存储内存≥8GB</w:t>
            </w:r>
          </w:p>
        </w:tc>
      </w:tr>
      <w:tr w14:paraId="3D88A11F">
        <w:tblPrEx>
          <w:tblCellMar>
            <w:top w:w="0" w:type="dxa"/>
            <w:left w:w="108" w:type="dxa"/>
            <w:bottom w:w="0" w:type="dxa"/>
            <w:right w:w="108" w:type="dxa"/>
          </w:tblCellMar>
        </w:tblPrEx>
        <w:trPr>
          <w:trHeight w:val="291"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EC744FA">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0DADD5AF">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60EB4A2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3.设备具备RJ45接口及支持标准的WI-FI接口协议</w:t>
            </w:r>
          </w:p>
        </w:tc>
      </w:tr>
      <w:tr w14:paraId="09952BE9">
        <w:tblPrEx>
          <w:tblCellMar>
            <w:top w:w="0" w:type="dxa"/>
            <w:left w:w="108" w:type="dxa"/>
            <w:bottom w:w="0" w:type="dxa"/>
            <w:right w:w="108" w:type="dxa"/>
          </w:tblCellMar>
        </w:tblPrEx>
        <w:trPr>
          <w:trHeight w:val="325"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D99EBC4">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1096" w:type="dxa"/>
            <w:vMerge w:val="continue"/>
            <w:tcBorders>
              <w:top w:val="single" w:color="000000" w:sz="4" w:space="0"/>
              <w:left w:val="single" w:color="000000" w:sz="4" w:space="0"/>
              <w:bottom w:val="single" w:color="000000" w:sz="4" w:space="0"/>
              <w:right w:val="single" w:color="000000" w:sz="4" w:space="0"/>
            </w:tcBorders>
            <w:vAlign w:val="center"/>
          </w:tcPr>
          <w:p w14:paraId="54F69F4F">
            <w:pPr>
              <w:snapToGrid w:val="0"/>
              <w:spacing w:line="400" w:lineRule="exact"/>
              <w:ind w:firstLine="480" w:firstLineChars="200"/>
              <w:rPr>
                <w:rFonts w:hint="eastAsia" w:ascii="宋体" w:hAnsi="宋体" w:eastAsia="宋体" w:cs="宋体"/>
                <w:color w:val="FF0000"/>
                <w:sz w:val="24"/>
                <w:szCs w:val="24"/>
                <w:shd w:val="clear" w:color="auto" w:fill="auto"/>
              </w:rPr>
            </w:pPr>
          </w:p>
        </w:tc>
        <w:tc>
          <w:tcPr>
            <w:tcW w:w="7236" w:type="dxa"/>
            <w:tcBorders>
              <w:top w:val="single" w:color="000000" w:sz="4" w:space="0"/>
              <w:left w:val="single" w:color="000000" w:sz="4" w:space="0"/>
              <w:bottom w:val="single" w:color="000000" w:sz="4" w:space="0"/>
              <w:right w:val="single" w:color="000000" w:sz="4" w:space="0"/>
            </w:tcBorders>
            <w:vAlign w:val="center"/>
          </w:tcPr>
          <w:p w14:paraId="144A832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4.具备有线听筒手柄；整机无实体按键；不低于2×4W立体声扬声器</w:t>
            </w:r>
          </w:p>
        </w:tc>
      </w:tr>
    </w:tbl>
    <w:p w14:paraId="3C0D363A">
      <w:pPr>
        <w:snapToGrid w:val="0"/>
        <w:spacing w:line="400" w:lineRule="exact"/>
        <w:ind w:firstLine="480" w:firstLineChars="200"/>
        <w:rPr>
          <w:rFonts w:hint="eastAsia" w:ascii="宋体" w:hAnsi="宋体" w:eastAsia="宋体" w:cs="宋体"/>
          <w:color w:val="FF0000"/>
          <w:sz w:val="24"/>
          <w:szCs w:val="24"/>
          <w:shd w:val="clear" w:color="auto" w:fill="auto"/>
        </w:rPr>
      </w:pPr>
    </w:p>
    <w:p w14:paraId="712A480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10、</w:t>
      </w:r>
      <w:r>
        <w:rPr>
          <w:rFonts w:hint="eastAsia" w:ascii="宋体" w:hAnsi="宋体" w:eastAsia="宋体" w:cs="宋体"/>
          <w:color w:val="FF0000"/>
          <w:sz w:val="24"/>
          <w:szCs w:val="24"/>
          <w:shd w:val="clear" w:color="auto" w:fill="auto"/>
        </w:rPr>
        <w:t>服务方不得向第三方外包其服务。</w:t>
      </w:r>
    </w:p>
    <w:p w14:paraId="29B308B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11、</w:t>
      </w:r>
      <w:r>
        <w:rPr>
          <w:rFonts w:hint="eastAsia" w:ascii="宋体" w:hAnsi="宋体" w:eastAsia="宋体" w:cs="宋体"/>
          <w:color w:val="FF0000"/>
          <w:sz w:val="24"/>
          <w:szCs w:val="24"/>
          <w:shd w:val="clear" w:color="auto" w:fill="auto"/>
        </w:rPr>
        <w:t>服务方应派遣一名具有专业知识的人员作为与采购人的对接人，负责本项目的项目管理，统筹相关工作，监督项目执行与情况汇报，控制工作质量，执行变更和应急情况管理，并根据实际状况调整服务方人员安排，以保证项目的正常高效运作。</w:t>
      </w:r>
    </w:p>
    <w:p w14:paraId="5D58E8F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12、</w:t>
      </w:r>
      <w:r>
        <w:rPr>
          <w:rFonts w:hint="eastAsia" w:ascii="宋体" w:hAnsi="宋体" w:eastAsia="宋体" w:cs="宋体"/>
          <w:color w:val="FF0000"/>
          <w:sz w:val="24"/>
          <w:szCs w:val="24"/>
          <w:shd w:val="clear" w:color="auto" w:fill="auto"/>
        </w:rPr>
        <w:t>服务方</w:t>
      </w:r>
      <w:r>
        <w:rPr>
          <w:rFonts w:hint="eastAsia" w:ascii="宋体" w:hAnsi="宋体" w:eastAsia="宋体" w:cs="宋体"/>
          <w:color w:val="FF0000"/>
          <w:sz w:val="24"/>
          <w:szCs w:val="24"/>
          <w:shd w:val="clear" w:color="auto" w:fill="auto"/>
          <w:lang w:val="en-US" w:eastAsia="zh-CN"/>
        </w:rPr>
        <w:t>至少派遣1位</w:t>
      </w:r>
      <w:r>
        <w:rPr>
          <w:rFonts w:hint="eastAsia" w:ascii="宋体" w:hAnsi="宋体" w:eastAsia="宋体" w:cs="宋体"/>
          <w:color w:val="FF0000"/>
          <w:sz w:val="24"/>
          <w:szCs w:val="24"/>
          <w:shd w:val="clear" w:color="auto" w:fill="auto"/>
        </w:rPr>
        <w:t>专业</w:t>
      </w:r>
      <w:r>
        <w:rPr>
          <w:rFonts w:hint="eastAsia" w:ascii="宋体" w:hAnsi="宋体" w:eastAsia="宋体" w:cs="宋体"/>
          <w:color w:val="FF0000"/>
          <w:sz w:val="24"/>
          <w:szCs w:val="24"/>
          <w:shd w:val="clear" w:color="auto" w:fill="auto"/>
          <w:lang w:val="en-US" w:eastAsia="zh-CN"/>
        </w:rPr>
        <w:t>工程师</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val="en-US" w:eastAsia="zh-CN"/>
        </w:rPr>
        <w:t>医院</w:t>
      </w:r>
      <w:r>
        <w:rPr>
          <w:rFonts w:hint="eastAsia" w:ascii="宋体" w:hAnsi="宋体" w:eastAsia="宋体" w:cs="宋体"/>
          <w:color w:val="FF0000"/>
          <w:sz w:val="24"/>
          <w:szCs w:val="24"/>
          <w:shd w:val="clear" w:color="auto" w:fill="auto"/>
        </w:rPr>
        <w:t>提供</w:t>
      </w:r>
      <w:r>
        <w:rPr>
          <w:rFonts w:hint="eastAsia" w:ascii="宋体" w:hAnsi="宋体" w:eastAsia="宋体" w:cs="宋体"/>
          <w:color w:val="FF0000"/>
          <w:sz w:val="24"/>
          <w:szCs w:val="24"/>
          <w:shd w:val="clear" w:color="auto" w:fill="auto"/>
          <w:lang w:val="en-US" w:eastAsia="zh-CN"/>
        </w:rPr>
        <w:t>驻场</w:t>
      </w:r>
      <w:r>
        <w:rPr>
          <w:rFonts w:hint="eastAsia" w:ascii="宋体" w:hAnsi="宋体" w:eastAsia="宋体" w:cs="宋体"/>
          <w:color w:val="FF0000"/>
          <w:sz w:val="24"/>
          <w:szCs w:val="24"/>
          <w:shd w:val="clear" w:color="auto" w:fill="auto"/>
        </w:rPr>
        <w:t>服务，采购人有权要求撤换不合格的服务人员。</w:t>
      </w:r>
    </w:p>
    <w:p w14:paraId="595FBC19">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0203AB5F">
      <w:pPr>
        <w:pStyle w:val="102"/>
        <w:spacing w:before="33" w:line="224" w:lineRule="auto"/>
        <w:ind w:left="93" w:leftChars="0" w:firstLine="516" w:firstLineChars="215"/>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pPr>
    </w:p>
    <w:p w14:paraId="060ACDF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39238BE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4364"/>
      <w:bookmarkStart w:id="75" w:name="_Toc17014"/>
    </w:p>
    <w:p w14:paraId="3DB49A6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88D29B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E657A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1AB3765">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1、服务期：3年。</w:t>
      </w:r>
    </w:p>
    <w:p w14:paraId="79F34065">
      <w:pPr>
        <w:pageBreakBefore w:val="0"/>
        <w:kinsoku/>
        <w:wordWrap/>
        <w:overflowPunct/>
        <w:topLinePunct w:val="0"/>
        <w:autoSpaceDE/>
        <w:autoSpaceDN/>
        <w:bidi w:val="0"/>
        <w:spacing w:line="400" w:lineRule="exact"/>
        <w:ind w:firstLine="480" w:firstLineChars="200"/>
        <w:textAlignment w:val="auto"/>
        <w:outlineLvl w:val="2"/>
        <w:rPr>
          <w:rFonts w:ascii="方正仿宋_GBK" w:hAnsi="宋体" w:eastAsia="方正仿宋_GBK"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2、</w:t>
      </w:r>
      <w:r>
        <w:rPr>
          <w:rFonts w:hint="eastAsia" w:ascii="宋体" w:hAnsi="宋体" w:eastAsia="宋体" w:cs="宋体"/>
          <w:color w:val="FF0000"/>
          <w:kern w:val="2"/>
          <w:sz w:val="24"/>
          <w:szCs w:val="24"/>
          <w:shd w:val="clear" w:color="auto" w:fill="auto"/>
          <w:lang w:val="en-US" w:eastAsia="zh-CN" w:bidi="ar-SA"/>
        </w:rPr>
        <w:t>根据投标人的技术能力、服务响应时间、配件到场速度、维护保养情况等进行考核，如未达到合同约定要求用户可随时终止合同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w:t>
      </w:r>
    </w:p>
    <w:p w14:paraId="739554C4">
      <w:pPr>
        <w:pageBreakBefore w:val="0"/>
        <w:kinsoku/>
        <w:wordWrap/>
        <w:overflowPunct/>
        <w:topLinePunct w:val="0"/>
        <w:autoSpaceDE/>
        <w:autoSpaceDN/>
        <w:bidi w:val="0"/>
        <w:spacing w:line="400" w:lineRule="exact"/>
        <w:ind w:firstLine="480" w:firstLineChars="200"/>
        <w:textAlignment w:val="auto"/>
        <w:outlineLvl w:val="2"/>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3、服务地点：</w:t>
      </w:r>
      <w:r>
        <w:rPr>
          <w:rFonts w:hint="eastAsia" w:ascii="宋体" w:hAnsi="宋体" w:eastAsia="宋体" w:cs="宋体"/>
          <w:color w:val="FF0000"/>
          <w:kern w:val="2"/>
          <w:sz w:val="24"/>
          <w:szCs w:val="24"/>
          <w:shd w:val="clear" w:color="auto" w:fill="auto"/>
          <w:lang w:val="en-US" w:eastAsia="zh-CN" w:bidi="ar-SA"/>
        </w:rPr>
        <w:t>重庆市永川区萱花路439号、重庆市永川区人民大道859号，重庆医科大学附属永川医院采购人指定地点</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w:t>
      </w:r>
    </w:p>
    <w:p w14:paraId="6F566564">
      <w:pPr>
        <w:pageBreakBefore w:val="0"/>
        <w:kinsoku/>
        <w:wordWrap/>
        <w:overflowPunct/>
        <w:topLinePunct w:val="0"/>
        <w:autoSpaceDE/>
        <w:autoSpaceDN/>
        <w:bidi w:val="0"/>
        <w:spacing w:line="400" w:lineRule="exact"/>
        <w:ind w:firstLine="480" w:firstLineChars="200"/>
        <w:textAlignment w:val="auto"/>
        <w:outlineLvl w:val="2"/>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4、考核方式：服务期内，采购人每半年对中标人合同履行能力、维保服务质量等进行确认(包含但不限于响应维修的及时性、配件送达效率、按要求做好保养服务及维修服务记录情况)，中标人有义务配合采购人进行合同确认工作。若确认合格，合同继续履行；若确认不合格，采购人可随时终止合同。</w:t>
      </w:r>
    </w:p>
    <w:p w14:paraId="6E4E9BBE">
      <w:pPr>
        <w:pStyle w:val="181"/>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5、付款方式：合同签订后，第一年供应商提供有效合法的发票，经采购人审核无误后60日内付款，第二年、第三年供应商在相应的服务期内，供应商提供合法有效的发票，经采购人审核无误后60日内付款。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4085"/>
      <w:bookmarkStart w:id="136" w:name="_Toc485108795"/>
      <w:bookmarkStart w:id="137" w:name="_Toc29521"/>
      <w:bookmarkStart w:id="138" w:name="_Toc13696"/>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313008356"/>
      <w:bookmarkStart w:id="153" w:name="_Toc313888360"/>
      <w:bookmarkStart w:id="154" w:name="_Toc485108796"/>
      <w:bookmarkStart w:id="155" w:name="_Toc480979018"/>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1"/>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485108797"/>
      <w:bookmarkStart w:id="160" w:name="_Toc342913420"/>
      <w:bookmarkStart w:id="161" w:name="_Toc313008357"/>
      <w:bookmarkStart w:id="162" w:name="_Toc480979019"/>
      <w:bookmarkStart w:id="163" w:name="_Toc313888361"/>
      <w:r>
        <w:rPr>
          <w:rFonts w:hint="eastAsia"/>
          <w:color w:val="000000" w:themeColor="text1"/>
          <w:sz w:val="32"/>
          <w:szCs w:val="36"/>
          <w14:textFill>
            <w14:solidFill>
              <w14:schemeClr w14:val="tx1"/>
            </w14:solidFill>
          </w14:textFill>
        </w:rPr>
        <w:t>报价表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9"/>
        <w:gridCol w:w="3209"/>
        <w:gridCol w:w="3210"/>
      </w:tblGrid>
      <w:tr w14:paraId="6DE2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209" w:type="dxa"/>
            <w:vAlign w:val="center"/>
          </w:tcPr>
          <w:p w14:paraId="3C8DB968">
            <w:pPr>
              <w:pStyle w:val="51"/>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项目名称</w:t>
            </w:r>
          </w:p>
        </w:tc>
        <w:tc>
          <w:tcPr>
            <w:tcW w:w="3209" w:type="dxa"/>
            <w:vAlign w:val="center"/>
          </w:tcPr>
          <w:p w14:paraId="7027906E">
            <w:pPr>
              <w:pStyle w:val="51"/>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价格（元</w:t>
            </w:r>
            <w:r>
              <w:rPr>
                <w:rFonts w:hint="eastAsia"/>
                <w:color w:val="000000" w:themeColor="text1"/>
                <w:sz w:val="32"/>
                <w:szCs w:val="36"/>
                <w:vertAlign w:val="baseline"/>
                <w:lang w:val="en-US" w:eastAsia="zh-CN"/>
                <w14:textFill>
                  <w14:solidFill>
                    <w14:schemeClr w14:val="tx1"/>
                  </w14:solidFill>
                </w14:textFill>
              </w:rPr>
              <w:t>/年</w:t>
            </w:r>
            <w:r>
              <w:rPr>
                <w:rFonts w:hint="eastAsia"/>
                <w:color w:val="000000" w:themeColor="text1"/>
                <w:sz w:val="32"/>
                <w:szCs w:val="36"/>
                <w:vertAlign w:val="baseline"/>
                <w:lang w:eastAsia="zh-CN"/>
                <w14:textFill>
                  <w14:solidFill>
                    <w14:schemeClr w14:val="tx1"/>
                  </w14:solidFill>
                </w14:textFill>
              </w:rPr>
              <w:t>）</w:t>
            </w:r>
          </w:p>
        </w:tc>
        <w:tc>
          <w:tcPr>
            <w:tcW w:w="3210" w:type="dxa"/>
            <w:vAlign w:val="center"/>
          </w:tcPr>
          <w:p w14:paraId="1E8A7A9F">
            <w:pPr>
              <w:pStyle w:val="51"/>
              <w:spacing w:before="0" w:beforeAutospacing="0" w:after="0" w:afterAutospacing="0" w:line="480" w:lineRule="auto"/>
              <w:jc w:val="center"/>
              <w:rPr>
                <w:rFonts w:hint="eastAsia" w:eastAsia="宋体"/>
                <w:color w:val="000000" w:themeColor="text1"/>
                <w:sz w:val="32"/>
                <w:szCs w:val="36"/>
                <w:vertAlign w:val="baseline"/>
                <w:lang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备注</w:t>
            </w:r>
          </w:p>
        </w:tc>
      </w:tr>
      <w:tr w14:paraId="41F8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14:paraId="57F84B10">
            <w:pPr>
              <w:pStyle w:val="51"/>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r>
              <w:rPr>
                <w:rFonts w:hint="eastAsia" w:cs="宋体"/>
                <w:color w:val="000000" w:themeColor="text1"/>
                <w:sz w:val="28"/>
                <w:szCs w:val="28"/>
                <w:shd w:val="clear" w:color="auto" w:fill="auto"/>
                <w:lang w:val="en-US" w:eastAsia="zh-CN"/>
                <w14:textFill>
                  <w14:solidFill>
                    <w14:schemeClr w14:val="tx1"/>
                  </w14:solidFill>
                </w14:textFill>
              </w:rPr>
              <w:t>信息中心智慧病房软硬件全保服务</w:t>
            </w:r>
          </w:p>
        </w:tc>
        <w:tc>
          <w:tcPr>
            <w:tcW w:w="3209" w:type="dxa"/>
            <w:vAlign w:val="center"/>
          </w:tcPr>
          <w:p w14:paraId="08D4F223">
            <w:pPr>
              <w:pStyle w:val="51"/>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p>
        </w:tc>
        <w:tc>
          <w:tcPr>
            <w:tcW w:w="3210" w:type="dxa"/>
            <w:vAlign w:val="center"/>
          </w:tcPr>
          <w:p w14:paraId="5C01AA8C">
            <w:pPr>
              <w:pStyle w:val="51"/>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p>
        </w:tc>
      </w:tr>
      <w:tr w14:paraId="0788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8" w:type="dxa"/>
            <w:gridSpan w:val="2"/>
            <w:vAlign w:val="center"/>
          </w:tcPr>
          <w:p w14:paraId="421238EE">
            <w:pPr>
              <w:pStyle w:val="51"/>
              <w:spacing w:before="0" w:beforeAutospacing="0" w:after="0" w:afterAutospacing="0" w:line="480" w:lineRule="auto"/>
              <w:jc w:val="center"/>
              <w:rPr>
                <w:rFonts w:hint="default" w:eastAsia="宋体"/>
                <w:color w:val="000000" w:themeColor="text1"/>
                <w:sz w:val="32"/>
                <w:szCs w:val="36"/>
                <w:vertAlign w:val="baseline"/>
                <w:lang w:val="en-US" w:eastAsia="zh-CN"/>
                <w14:textFill>
                  <w14:solidFill>
                    <w14:schemeClr w14:val="tx1"/>
                  </w14:solidFill>
                </w14:textFill>
              </w:rPr>
            </w:pPr>
            <w:r>
              <w:rPr>
                <w:rFonts w:hint="eastAsia"/>
                <w:color w:val="000000" w:themeColor="text1"/>
                <w:sz w:val="32"/>
                <w:szCs w:val="36"/>
                <w:vertAlign w:val="baseline"/>
                <w:lang w:eastAsia="zh-CN"/>
                <w14:textFill>
                  <w14:solidFill>
                    <w14:schemeClr w14:val="tx1"/>
                  </w14:solidFill>
                </w14:textFill>
              </w:rPr>
              <w:t>总价</w:t>
            </w:r>
            <w:r>
              <w:rPr>
                <w:rFonts w:hint="eastAsia"/>
                <w:color w:val="000000" w:themeColor="text1"/>
                <w:sz w:val="32"/>
                <w:szCs w:val="36"/>
                <w:vertAlign w:val="baseline"/>
                <w:lang w:val="en-US" w:eastAsia="zh-CN"/>
                <w14:textFill>
                  <w14:solidFill>
                    <w14:schemeClr w14:val="tx1"/>
                  </w14:solidFill>
                </w14:textFill>
              </w:rPr>
              <w:t>(3年总价)：</w:t>
            </w:r>
          </w:p>
        </w:tc>
        <w:tc>
          <w:tcPr>
            <w:tcW w:w="3210" w:type="dxa"/>
            <w:vAlign w:val="center"/>
          </w:tcPr>
          <w:p w14:paraId="48D5E246">
            <w:pPr>
              <w:pStyle w:val="51"/>
              <w:spacing w:before="0" w:beforeAutospacing="0" w:after="0" w:afterAutospacing="0" w:line="480" w:lineRule="auto"/>
              <w:jc w:val="center"/>
              <w:rPr>
                <w:rFonts w:hint="eastAsia"/>
                <w:color w:val="000000" w:themeColor="text1"/>
                <w:sz w:val="32"/>
                <w:szCs w:val="36"/>
                <w:vertAlign w:val="baseline"/>
                <w14:textFill>
                  <w14:solidFill>
                    <w14:schemeClr w14:val="tx1"/>
                  </w14:solidFill>
                </w14:textFill>
              </w:rPr>
            </w:pPr>
          </w:p>
        </w:tc>
      </w:tr>
    </w:tbl>
    <w:p w14:paraId="2FA402D4">
      <w:pPr>
        <w:rPr>
          <w:rFonts w:hint="eastAsia" w:ascii="宋体" w:hAnsi="宋体" w:eastAsia="宋体" w:cs="宋体"/>
          <w:b/>
          <w:color w:val="000000" w:themeColor="text1"/>
          <w:shd w:val="clear" w:color="auto" w:fill="auto"/>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报价为包干价，包含服务费、人工费、设备费、代理费、税金费用等费用，均由成交供应商承担</w:t>
      </w: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227CAF8C">
      <w:pPr>
        <w:spacing w:line="500" w:lineRule="exact"/>
        <w:ind w:firstLine="6000" w:firstLineChars="25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w:t>
      </w:r>
    </w:p>
    <w:p w14:paraId="14B9D29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2F0EA9A1">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467BBE81">
      <w:pPr>
        <w:outlineLvl w:val="0"/>
        <w:rPr>
          <w:rFonts w:hint="eastAsia" w:ascii="宋体" w:hAnsi="宋体" w:eastAsia="宋体" w:cs="宋体"/>
          <w:b/>
          <w:color w:val="000000" w:themeColor="text1"/>
          <w:shd w:val="clear" w:color="auto" w:fill="auto"/>
          <w14:textFill>
            <w14:solidFill>
              <w14:schemeClr w14:val="tx1"/>
            </w14:solidFill>
          </w14:textFill>
        </w:rPr>
      </w:pPr>
    </w:p>
    <w:p w14:paraId="677A5D3A">
      <w:pPr>
        <w:outlineLvl w:val="0"/>
        <w:rPr>
          <w:rFonts w:hint="eastAsia" w:ascii="宋体" w:hAnsi="宋体" w:eastAsia="宋体" w:cs="宋体"/>
          <w:b/>
          <w:color w:val="000000" w:themeColor="text1"/>
          <w:shd w:val="clear" w:color="auto" w:fill="auto"/>
          <w14:textFill>
            <w14:solidFill>
              <w14:schemeClr w14:val="tx1"/>
            </w14:solidFill>
          </w14:textFill>
        </w:rPr>
      </w:pPr>
    </w:p>
    <w:p w14:paraId="59E700E6">
      <w:pPr>
        <w:outlineLvl w:val="0"/>
        <w:rPr>
          <w:rFonts w:hint="eastAsia" w:ascii="宋体" w:hAnsi="宋体" w:eastAsia="宋体" w:cs="宋体"/>
          <w:b/>
          <w:color w:val="000000" w:themeColor="text1"/>
          <w:shd w:val="clear" w:color="auto" w:fill="auto"/>
          <w14:textFill>
            <w14:solidFill>
              <w14:schemeClr w14:val="tx1"/>
            </w14:solidFill>
          </w14:textFill>
        </w:rPr>
      </w:pPr>
    </w:p>
    <w:p w14:paraId="1D9A76E3">
      <w:pPr>
        <w:outlineLvl w:val="0"/>
        <w:rPr>
          <w:rFonts w:hint="eastAsia" w:ascii="宋体" w:hAnsi="宋体" w:eastAsia="宋体" w:cs="宋体"/>
          <w:b/>
          <w:color w:val="000000" w:themeColor="text1"/>
          <w:shd w:val="clear" w:color="auto" w:fill="auto"/>
          <w14:textFill>
            <w14:solidFill>
              <w14:schemeClr w14:val="tx1"/>
            </w14:solidFill>
          </w14:textFill>
        </w:rPr>
      </w:pPr>
    </w:p>
    <w:p w14:paraId="78AD4EED">
      <w:pPr>
        <w:outlineLvl w:val="0"/>
        <w:rPr>
          <w:rFonts w:hint="eastAsia" w:ascii="宋体" w:hAnsi="宋体" w:eastAsia="宋体" w:cs="宋体"/>
          <w:b/>
          <w:color w:val="000000" w:themeColor="text1"/>
          <w:shd w:val="clear" w:color="auto" w:fill="auto"/>
          <w14:textFill>
            <w14:solidFill>
              <w14:schemeClr w14:val="tx1"/>
            </w14:solidFill>
          </w14:textFill>
        </w:rPr>
      </w:pPr>
    </w:p>
    <w:p w14:paraId="1CC1306E">
      <w:pPr>
        <w:outlineLvl w:val="0"/>
        <w:rPr>
          <w:rFonts w:hint="eastAsia" w:ascii="宋体" w:hAnsi="宋体" w:eastAsia="宋体" w:cs="宋体"/>
          <w:b/>
          <w:color w:val="000000" w:themeColor="text1"/>
          <w:shd w:val="clear" w:color="auto" w:fill="auto"/>
          <w14:textFill>
            <w14:solidFill>
              <w14:schemeClr w14:val="tx1"/>
            </w14:solidFill>
          </w14:textFill>
        </w:rPr>
      </w:pPr>
    </w:p>
    <w:p w14:paraId="451E7CB3">
      <w:pPr>
        <w:outlineLvl w:val="0"/>
        <w:rPr>
          <w:rFonts w:hint="eastAsia" w:ascii="宋体" w:hAnsi="宋体" w:eastAsia="宋体" w:cs="宋体"/>
          <w:b/>
          <w:color w:val="000000" w:themeColor="text1"/>
          <w:shd w:val="clear" w:color="auto" w:fill="auto"/>
          <w14:textFill>
            <w14:solidFill>
              <w14:schemeClr w14:val="tx1"/>
            </w14:solidFill>
          </w14:textFill>
        </w:rPr>
      </w:pPr>
    </w:p>
    <w:p w14:paraId="089ED68C">
      <w:pPr>
        <w:outlineLvl w:val="0"/>
        <w:rPr>
          <w:rFonts w:hint="eastAsia" w:ascii="宋体" w:hAnsi="宋体" w:eastAsia="宋体" w:cs="宋体"/>
          <w:b/>
          <w:color w:val="000000" w:themeColor="text1"/>
          <w:shd w:val="clear" w:color="auto" w:fill="auto"/>
          <w14:textFill>
            <w14:solidFill>
              <w14:schemeClr w14:val="tx1"/>
            </w14:solidFill>
          </w14:textFill>
        </w:rPr>
      </w:pPr>
    </w:p>
    <w:p w14:paraId="36806125">
      <w:pPr>
        <w:outlineLvl w:val="0"/>
        <w:rPr>
          <w:rFonts w:hint="eastAsia" w:ascii="宋体" w:hAnsi="宋体" w:eastAsia="宋体" w:cs="宋体"/>
          <w:b/>
          <w:color w:val="000000" w:themeColor="text1"/>
          <w:shd w:val="clear" w:color="auto" w:fill="auto"/>
          <w14:textFill>
            <w14:solidFill>
              <w14:schemeClr w14:val="tx1"/>
            </w14:solidFill>
          </w14:textFill>
        </w:rPr>
      </w:pPr>
    </w:p>
    <w:p w14:paraId="4CA157DB">
      <w:pPr>
        <w:outlineLvl w:val="0"/>
        <w:rPr>
          <w:rFonts w:hint="eastAsia" w:ascii="宋体" w:hAnsi="宋体" w:eastAsia="宋体" w:cs="宋体"/>
          <w:b/>
          <w:color w:val="000000" w:themeColor="text1"/>
          <w:shd w:val="clear" w:color="auto" w:fill="auto"/>
          <w14:textFill>
            <w14:solidFill>
              <w14:schemeClr w14:val="tx1"/>
            </w14:solidFill>
          </w14:textFill>
        </w:rPr>
      </w:pPr>
    </w:p>
    <w:p w14:paraId="0ED194DC">
      <w:pPr>
        <w:outlineLvl w:val="0"/>
        <w:rPr>
          <w:rFonts w:hint="eastAsia" w:ascii="宋体" w:hAnsi="宋体" w:eastAsia="宋体" w:cs="宋体"/>
          <w:b/>
          <w:color w:val="000000" w:themeColor="text1"/>
          <w:shd w:val="clear" w:color="auto" w:fill="auto"/>
          <w14:textFill>
            <w14:solidFill>
              <w14:schemeClr w14:val="tx1"/>
            </w14:solidFill>
          </w14:textFill>
        </w:rPr>
      </w:pPr>
    </w:p>
    <w:p w14:paraId="353908B7">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480979020"/>
      <w:bookmarkStart w:id="167" w:name="_Toc342913421"/>
      <w:bookmarkStart w:id="168" w:name="_Toc313888362"/>
      <w:bookmarkStart w:id="169" w:name="_Toc15203"/>
      <w:bookmarkStart w:id="170" w:name="_Toc313008358"/>
      <w:bookmarkStart w:id="171" w:name="_Toc485108798"/>
      <w:bookmarkStart w:id="172"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8A380A3A-A274-49CA-BD54-2B74F4E9082A}"/>
  </w:font>
  <w:font w:name="MS Shell Dlg">
    <w:altName w:val="Microsoft Sans Serif"/>
    <w:panose1 w:val="020B0604020202020204"/>
    <w:charset w:val="00"/>
    <w:family w:val="swiss"/>
    <w:pitch w:val="default"/>
    <w:sig w:usb0="00000000" w:usb1="00000000" w:usb2="00000008" w:usb3="00000000" w:csb0="000101FF" w:csb1="00000000"/>
    <w:embedRegular r:id="rId2" w:fontKey="{31A67DD8-B54B-4394-8099-76B2DF3FE77D}"/>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486818"/>
    <w:rsid w:val="0ACB5503"/>
    <w:rsid w:val="0ACF458A"/>
    <w:rsid w:val="0ADC7B88"/>
    <w:rsid w:val="0B6515A1"/>
    <w:rsid w:val="0B6F68C5"/>
    <w:rsid w:val="0BAE21B6"/>
    <w:rsid w:val="0BDC31C7"/>
    <w:rsid w:val="0BE1258C"/>
    <w:rsid w:val="0BE64970"/>
    <w:rsid w:val="0C033E70"/>
    <w:rsid w:val="0C3152C1"/>
    <w:rsid w:val="0C481EEF"/>
    <w:rsid w:val="0C56674E"/>
    <w:rsid w:val="0C931BB2"/>
    <w:rsid w:val="0C975B64"/>
    <w:rsid w:val="0C9D3992"/>
    <w:rsid w:val="0D32097D"/>
    <w:rsid w:val="0D9F7618"/>
    <w:rsid w:val="0DC167EC"/>
    <w:rsid w:val="0E0E625A"/>
    <w:rsid w:val="0E38674E"/>
    <w:rsid w:val="0E4D3D6E"/>
    <w:rsid w:val="0E5721EA"/>
    <w:rsid w:val="0E5A796A"/>
    <w:rsid w:val="0E5B5064"/>
    <w:rsid w:val="0E5B6625"/>
    <w:rsid w:val="0E9859A3"/>
    <w:rsid w:val="0E987B2D"/>
    <w:rsid w:val="0ECE4584"/>
    <w:rsid w:val="0F291536"/>
    <w:rsid w:val="0F9479CB"/>
    <w:rsid w:val="0FAB0EE6"/>
    <w:rsid w:val="0FC701EB"/>
    <w:rsid w:val="0FD61CDB"/>
    <w:rsid w:val="0FD8306F"/>
    <w:rsid w:val="0FFD1C5A"/>
    <w:rsid w:val="1014334F"/>
    <w:rsid w:val="10246EEB"/>
    <w:rsid w:val="10413B50"/>
    <w:rsid w:val="104D689B"/>
    <w:rsid w:val="109D57E0"/>
    <w:rsid w:val="10BF5E9B"/>
    <w:rsid w:val="111523FC"/>
    <w:rsid w:val="111C3A01"/>
    <w:rsid w:val="11782A26"/>
    <w:rsid w:val="11C91AF8"/>
    <w:rsid w:val="130A6751"/>
    <w:rsid w:val="13141499"/>
    <w:rsid w:val="131C09ED"/>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0D3106"/>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6736DD"/>
    <w:rsid w:val="22EF7055"/>
    <w:rsid w:val="23030CDE"/>
    <w:rsid w:val="231132FF"/>
    <w:rsid w:val="23743B1F"/>
    <w:rsid w:val="23C56EF3"/>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7F2FDD"/>
    <w:rsid w:val="28CD4235"/>
    <w:rsid w:val="28D01566"/>
    <w:rsid w:val="28E31299"/>
    <w:rsid w:val="293D6BFB"/>
    <w:rsid w:val="29430470"/>
    <w:rsid w:val="294A70E8"/>
    <w:rsid w:val="29A81CF0"/>
    <w:rsid w:val="2A0812C8"/>
    <w:rsid w:val="2A581DA4"/>
    <w:rsid w:val="2A68545B"/>
    <w:rsid w:val="2B2C4917"/>
    <w:rsid w:val="2B3D6767"/>
    <w:rsid w:val="2B57565F"/>
    <w:rsid w:val="2BBD2276"/>
    <w:rsid w:val="2C812A23"/>
    <w:rsid w:val="2CDF621C"/>
    <w:rsid w:val="2CE02E81"/>
    <w:rsid w:val="2CF2794B"/>
    <w:rsid w:val="2D9073ED"/>
    <w:rsid w:val="2DDB0955"/>
    <w:rsid w:val="2DDE0220"/>
    <w:rsid w:val="2E454084"/>
    <w:rsid w:val="2E4A05E4"/>
    <w:rsid w:val="2EDB184B"/>
    <w:rsid w:val="2F124686"/>
    <w:rsid w:val="2F1F1F02"/>
    <w:rsid w:val="2F2348BD"/>
    <w:rsid w:val="2F6F1AD9"/>
    <w:rsid w:val="2F831DB2"/>
    <w:rsid w:val="2F943FCB"/>
    <w:rsid w:val="2FD06C0B"/>
    <w:rsid w:val="30381B81"/>
    <w:rsid w:val="3048533D"/>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3411F2"/>
    <w:rsid w:val="39486CC3"/>
    <w:rsid w:val="39A3534F"/>
    <w:rsid w:val="39D65068"/>
    <w:rsid w:val="3AA25DEC"/>
    <w:rsid w:val="3AC648F5"/>
    <w:rsid w:val="3B30241A"/>
    <w:rsid w:val="3B5B756F"/>
    <w:rsid w:val="3B870893"/>
    <w:rsid w:val="3C4F6F1A"/>
    <w:rsid w:val="3D2449D3"/>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BD767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E418C5"/>
    <w:rsid w:val="41F534A6"/>
    <w:rsid w:val="41F5463E"/>
    <w:rsid w:val="42030507"/>
    <w:rsid w:val="420A020E"/>
    <w:rsid w:val="420A1906"/>
    <w:rsid w:val="423F7EC6"/>
    <w:rsid w:val="42561742"/>
    <w:rsid w:val="42720834"/>
    <w:rsid w:val="42812C89"/>
    <w:rsid w:val="428345E9"/>
    <w:rsid w:val="429D5EC0"/>
    <w:rsid w:val="42A40896"/>
    <w:rsid w:val="42A86289"/>
    <w:rsid w:val="42BD50C4"/>
    <w:rsid w:val="437470EA"/>
    <w:rsid w:val="437C12A7"/>
    <w:rsid w:val="43800292"/>
    <w:rsid w:val="43F81C45"/>
    <w:rsid w:val="441F4671"/>
    <w:rsid w:val="444565A3"/>
    <w:rsid w:val="447A6AFE"/>
    <w:rsid w:val="44D81A54"/>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A14DA0"/>
    <w:rsid w:val="4AC26B09"/>
    <w:rsid w:val="4AD056CA"/>
    <w:rsid w:val="4AD41B9B"/>
    <w:rsid w:val="4AED1C9D"/>
    <w:rsid w:val="4B597B89"/>
    <w:rsid w:val="4BE8259F"/>
    <w:rsid w:val="4C025EBB"/>
    <w:rsid w:val="4C4E289A"/>
    <w:rsid w:val="4D70509A"/>
    <w:rsid w:val="4DBE5CAD"/>
    <w:rsid w:val="4DD75684"/>
    <w:rsid w:val="4DE35714"/>
    <w:rsid w:val="4E0D2518"/>
    <w:rsid w:val="4E231003"/>
    <w:rsid w:val="4E3873B7"/>
    <w:rsid w:val="4E55163D"/>
    <w:rsid w:val="4EF70D4B"/>
    <w:rsid w:val="4F154014"/>
    <w:rsid w:val="4F2E0C11"/>
    <w:rsid w:val="4F79418A"/>
    <w:rsid w:val="4FD3706A"/>
    <w:rsid w:val="50472E90"/>
    <w:rsid w:val="50A2078E"/>
    <w:rsid w:val="50B9275C"/>
    <w:rsid w:val="50F72CC9"/>
    <w:rsid w:val="50FE286B"/>
    <w:rsid w:val="5108734E"/>
    <w:rsid w:val="514069D9"/>
    <w:rsid w:val="51932220"/>
    <w:rsid w:val="51BC0756"/>
    <w:rsid w:val="51D77CAA"/>
    <w:rsid w:val="52173BDE"/>
    <w:rsid w:val="521C269F"/>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8775D5"/>
    <w:rsid w:val="56A12956"/>
    <w:rsid w:val="56C54297"/>
    <w:rsid w:val="56FE5BF2"/>
    <w:rsid w:val="56FF2E93"/>
    <w:rsid w:val="572F65C0"/>
    <w:rsid w:val="576D5122"/>
    <w:rsid w:val="584112B9"/>
    <w:rsid w:val="58506377"/>
    <w:rsid w:val="586259DC"/>
    <w:rsid w:val="58625BCC"/>
    <w:rsid w:val="58627B7D"/>
    <w:rsid w:val="58B574EB"/>
    <w:rsid w:val="58FC1D80"/>
    <w:rsid w:val="59022B99"/>
    <w:rsid w:val="593509FB"/>
    <w:rsid w:val="59893E96"/>
    <w:rsid w:val="599D432B"/>
    <w:rsid w:val="59E56370"/>
    <w:rsid w:val="5B1E275D"/>
    <w:rsid w:val="5B3E21DC"/>
    <w:rsid w:val="5B4A5024"/>
    <w:rsid w:val="5BBD57F6"/>
    <w:rsid w:val="5BC414F3"/>
    <w:rsid w:val="5C2C64D8"/>
    <w:rsid w:val="5C953453"/>
    <w:rsid w:val="5CAE15E3"/>
    <w:rsid w:val="5CB26332"/>
    <w:rsid w:val="5CB84A88"/>
    <w:rsid w:val="5D290C69"/>
    <w:rsid w:val="5DEE479F"/>
    <w:rsid w:val="5E254884"/>
    <w:rsid w:val="5E2D78A3"/>
    <w:rsid w:val="5E36741C"/>
    <w:rsid w:val="5F3F2DAC"/>
    <w:rsid w:val="5F4829DC"/>
    <w:rsid w:val="5F714A03"/>
    <w:rsid w:val="5F725BF8"/>
    <w:rsid w:val="5FB15C3A"/>
    <w:rsid w:val="5FDF26F7"/>
    <w:rsid w:val="5FEC0FE5"/>
    <w:rsid w:val="60104B30"/>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26097"/>
    <w:rsid w:val="6B9F4D55"/>
    <w:rsid w:val="6BAA3DD9"/>
    <w:rsid w:val="6BEA0AD2"/>
    <w:rsid w:val="6C172D01"/>
    <w:rsid w:val="6C5B0433"/>
    <w:rsid w:val="6CC21278"/>
    <w:rsid w:val="6CC2767B"/>
    <w:rsid w:val="6D011365"/>
    <w:rsid w:val="6D253716"/>
    <w:rsid w:val="6D342244"/>
    <w:rsid w:val="6DAB4CCB"/>
    <w:rsid w:val="6DC70D5C"/>
    <w:rsid w:val="6DDA24A1"/>
    <w:rsid w:val="6DFC3BBF"/>
    <w:rsid w:val="6E0E1C83"/>
    <w:rsid w:val="6E45126B"/>
    <w:rsid w:val="6EA047F7"/>
    <w:rsid w:val="6EEB753C"/>
    <w:rsid w:val="6EFB5292"/>
    <w:rsid w:val="6F062BB9"/>
    <w:rsid w:val="6F185329"/>
    <w:rsid w:val="6F213E8F"/>
    <w:rsid w:val="6F450210"/>
    <w:rsid w:val="6FD74555"/>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1A0671"/>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25243"/>
    <w:rsid w:val="7D7D55A3"/>
    <w:rsid w:val="7DE81FDD"/>
    <w:rsid w:val="7E3574EC"/>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13972</Words>
  <Characters>14402</Characters>
  <Lines>182</Lines>
  <Paragraphs>51</Paragraphs>
  <TotalTime>6</TotalTime>
  <ScaleCrop>false</ScaleCrop>
  <LinksUpToDate>false</LinksUpToDate>
  <CharactersWithSpaces>15443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2025-10-24T08:52:21Z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