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2025FW125</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定制公交线路服务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十月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6921"/>
      <w:bookmarkStart w:id="1" w:name="_Toc11641050"/>
      <w:bookmarkStart w:id="2" w:name="_Toc23588"/>
      <w:bookmarkStart w:id="3" w:name="_Toc25875"/>
      <w:bookmarkStart w:id="4" w:name="_Toc485108766"/>
      <w:bookmarkStart w:id="5" w:name="_Toc12789052"/>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定制公交线路服务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3893526"/>
      <w:bookmarkStart w:id="9" w:name="_Toc485108767"/>
      <w:bookmarkStart w:id="10" w:name="_Toc28443"/>
      <w:bookmarkStart w:id="11" w:name="_Toc317775175"/>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定制公交线路服务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服务期：半年，自2025年12月1日起至2025年5月31日止。</w:t>
            </w:r>
          </w:p>
        </w:tc>
      </w:tr>
    </w:tbl>
    <w:p w14:paraId="00DB30B5">
      <w:pPr>
        <w:spacing w:line="560" w:lineRule="exact"/>
        <w:jc w:val="left"/>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：医院自筹,预算金额：31万元。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102227313"/>
      <w:bookmarkStart w:id="19" w:name="_Toc485108774"/>
    </w:p>
    <w:p w14:paraId="6ED231B2">
      <w:pPr>
        <w:spacing w:line="48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有效期内的《交通运输企业安全生产标准化建设等级证明二级》、《交通运输企业安全生产标准化建设等级证明三级》资质</w:t>
      </w:r>
    </w:p>
    <w:p w14:paraId="54D434CB">
      <w:pPr>
        <w:spacing w:line="48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21</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21</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23</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171062"/>
      <w:bookmarkStart w:id="24" w:name="_Toc373860294"/>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390"/>
      <w:bookmarkStart w:id="29"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71441A98">
      <w:pPr>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1.报价方式：</w:t>
      </w:r>
      <w:r>
        <w:rPr>
          <w:rFonts w:hint="eastAsia" w:ascii="宋体" w:hAnsi="宋体" w:eastAsia="宋体" w:cs="宋体"/>
          <w:color w:val="FF0000"/>
          <w:sz w:val="24"/>
          <w:szCs w:val="24"/>
          <w:shd w:val="clear" w:color="auto" w:fill="auto"/>
          <w:lang w:eastAsia="zh-CN"/>
        </w:rPr>
        <w:t>参选报</w:t>
      </w:r>
      <w:r>
        <w:rPr>
          <w:rFonts w:hint="eastAsia" w:ascii="宋体" w:hAnsi="宋体" w:eastAsia="宋体" w:cs="宋体"/>
          <w:color w:val="FF0000"/>
          <w:sz w:val="24"/>
          <w:szCs w:val="24"/>
          <w:shd w:val="clear" w:color="auto" w:fill="auto"/>
          <w:lang w:val="en-US" w:eastAsia="zh-CN"/>
        </w:rPr>
        <w:t>价</w:t>
      </w:r>
      <w:r>
        <w:rPr>
          <w:rFonts w:hint="eastAsia" w:ascii="宋体" w:hAnsi="宋体" w:eastAsia="宋体" w:cs="宋体"/>
          <w:color w:val="FF0000"/>
          <w:sz w:val="24"/>
          <w:szCs w:val="24"/>
          <w:shd w:val="clear" w:color="auto" w:fill="auto"/>
          <w:lang w:eastAsia="zh-CN"/>
        </w:rPr>
        <w:t>为包干价，包含但不限于服务费、驾驶员劳务费、税费等。</w:t>
      </w:r>
      <w:r>
        <w:rPr>
          <w:rFonts w:hint="eastAsia" w:ascii="宋体" w:hAnsi="宋体" w:eastAsia="宋体" w:cs="宋体"/>
          <w:color w:val="FF0000"/>
          <w:sz w:val="24"/>
          <w:szCs w:val="24"/>
          <w:shd w:val="clear" w:color="auto" w:fill="auto"/>
          <w:lang w:val="en-US" w:eastAsia="zh-CN"/>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8"/>
      <w:bookmarkStart w:id="38" w:name="OLE_LINK3"/>
      <w:bookmarkStart w:id="39"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9143"/>
      <w:bookmarkStart w:id="41" w:name="_Toc18122"/>
      <w:bookmarkStart w:id="42" w:name="_Toc403569780"/>
      <w:bookmarkStart w:id="43" w:name="_Toc179714298"/>
      <w:bookmarkStart w:id="44" w:name="_Toc342913393"/>
      <w:bookmarkStart w:id="45"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403569781"/>
      <w:bookmarkStart w:id="48" w:name="_Toc14247"/>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14816"/>
      <w:bookmarkStart w:id="52" w:name="_Toc403569782"/>
      <w:bookmarkStart w:id="53"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均能满足比选实质性响应要求的供应商所提交的最后报价由</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403569783"/>
      <w:bookmarkStart w:id="55" w:name="_Toc7135"/>
      <w:bookmarkStart w:id="56" w:name="_Toc102227321"/>
      <w:bookmarkStart w:id="57" w:name="_Toc3212"/>
      <w:bookmarkStart w:id="58" w:name="_Toc342913395"/>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7413"/>
      <w:bookmarkStart w:id="60" w:name="_Toc12880"/>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342913396"/>
      <w:bookmarkStart w:id="64" w:name="_Toc6381"/>
      <w:bookmarkStart w:id="65"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485108784"/>
      <w:bookmarkStart w:id="68"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485108787"/>
      <w:bookmarkStart w:id="72" w:name="_Toc28327"/>
      <w:bookmarkStart w:id="73" w:name="_Toc12789058"/>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196CEB3B">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bookmarkStart w:id="74" w:name="_Toc4364"/>
      <w:bookmarkStart w:id="75" w:name="_Toc17014"/>
      <w:r>
        <w:rPr>
          <w:rFonts w:hint="eastAsia" w:ascii="宋体" w:hAnsi="宋体" w:eastAsia="宋体" w:cs="宋体"/>
          <w:color w:val="FF0000"/>
          <w:sz w:val="24"/>
          <w:szCs w:val="24"/>
          <w:shd w:val="clear" w:color="auto" w:fill="auto"/>
          <w:lang w:val="en-US" w:eastAsia="zh-CN"/>
        </w:rPr>
        <w:t>1.运行路线：萱花院区—税务局（护理学院）—蚂蝗桥—植物园（加油站旁）—区政协（人社局旁）—华创西（人人乐）—君临棠城—兴龙湖公园南（金科中央公园）—海关—兴龙湖院区—翡翠郡—大安院区。</w:t>
      </w:r>
    </w:p>
    <w:p w14:paraId="7A653B3F">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2.运行时间：7:00-19:00，双向定时整点发车，共需2辆车，全天各13趟次。在定时发车班次不能满足兴龙湖教学部教学用车需求的情况下，服务方须根据采购方需求单独调车。</w:t>
      </w:r>
    </w:p>
    <w:p w14:paraId="0792FFED">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3.提供的车辆为标准纯大型普通客车，核载50人以上，须车况好、成色新，车龄在5年内，供采购方职工、学生、患者及家属免费乘坐。</w:t>
      </w:r>
    </w:p>
    <w:p w14:paraId="609D45A7">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4.服务方应具有备用车辆，确保不影响班次正常运行。</w:t>
      </w:r>
    </w:p>
    <w:p w14:paraId="125E450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117FA40">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26FCD2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F629A0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B2B24B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591F34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117ACE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A8FB82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7DEB9E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BFDA216">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47B3708">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481816A">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D3F53D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EF0370">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9192C2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DB7153F">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3E999F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DA32008">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D83E7AF">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0772A51">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2789059"/>
      <w:bookmarkStart w:id="77"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03569795"/>
      <w:bookmarkStart w:id="81" w:name="_Toc485108793"/>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04773FCE">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1.投标方提供符合要求且技术状况良好的租赁车辆及该车辆行驶必备的法定证件。按规定购买机动车辆相关保险（包括车辆损失险、第三者责任险、车上人员责任险（驾驶员、乘客）等）。</w:t>
      </w:r>
    </w:p>
    <w:p w14:paraId="30AF9B16">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2.车辆安全设</w:t>
      </w:r>
      <w:bookmarkStart w:id="82" w:name="OLE_LINK86"/>
      <w:bookmarkStart w:id="83" w:name="OLE_LINK87"/>
      <w:r>
        <w:rPr>
          <w:rFonts w:hint="eastAsia" w:ascii="宋体" w:hAnsi="宋体" w:eastAsia="宋体" w:cs="宋体"/>
          <w:color w:val="FF0000"/>
          <w:sz w:val="24"/>
          <w:szCs w:val="24"/>
          <w:shd w:val="clear" w:color="auto" w:fill="auto"/>
          <w:lang w:val="en-US" w:eastAsia="zh-CN"/>
        </w:rPr>
        <w:t>备及随车配件齐全完好，车内须备有随车工具、备胎、灭火器等，配备冷暖空调。车容车貌整洁，厢内干净卫生。</w:t>
      </w:r>
      <w:bookmarkEnd w:id="82"/>
      <w:bookmarkEnd w:id="83"/>
    </w:p>
    <w:p w14:paraId="2D81C84B">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3.投标方车辆驾驶员应持有合法有效的中国大陆交管部门核发的并按要求审验的机动车驾驶证，须有5年安全驾驶经历，且在5年内未发生过重大交通安全事故。</w:t>
      </w:r>
    </w:p>
    <w:p w14:paraId="6780A8CB">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4.服务方驾驶人员在驾驶过程中须遵守交通及其相关法律法规，不违章、超速及违规操作，不得将车辆交给其他人员驾驶。</w:t>
      </w:r>
    </w:p>
    <w:p w14:paraId="72063BBF">
      <w:pPr>
        <w:snapToGrid w:val="0"/>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5.服务周期：半年。2025年12月1日至2026年5月31日</w:t>
      </w:r>
    </w:p>
    <w:p w14:paraId="05CCF5EF">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6.付款方式：按月结算费用，服</w:t>
      </w:r>
      <w:bookmarkStart w:id="191" w:name="_GoBack"/>
      <w:bookmarkEnd w:id="191"/>
      <w:r>
        <w:rPr>
          <w:rFonts w:hint="eastAsia" w:ascii="宋体" w:hAnsi="宋体" w:eastAsia="宋体" w:cs="宋体"/>
          <w:color w:val="FF0000"/>
          <w:sz w:val="24"/>
          <w:szCs w:val="24"/>
          <w:shd w:val="clear" w:color="auto" w:fill="auto"/>
          <w:lang w:val="en-US" w:eastAsia="zh-CN"/>
        </w:rPr>
        <w:t>务方应于次月的前5个工作日内提供合法发票，经采购方审核无误后60日内支付费用。</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4" w:name="_Toc26989"/>
      <w:bookmarkStart w:id="85" w:name="_Toc403569796"/>
      <w:bookmarkStart w:id="86" w:name="_Toc14840"/>
      <w:bookmarkStart w:id="87" w:name="_Toc15711"/>
      <w:bookmarkStart w:id="88" w:name="_Toc485108794"/>
      <w:bookmarkStart w:id="89" w:name="_Toc148265480"/>
      <w:bookmarkStart w:id="90" w:name="_Toc30394582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4"/>
      <w:bookmarkEnd w:id="85"/>
      <w:bookmarkEnd w:id="86"/>
      <w:bookmarkEnd w:id="87"/>
      <w:bookmarkEnd w:id="88"/>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30815"/>
      <w:bookmarkStart w:id="92"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91"/>
      <w:bookmarkEnd w:id="92"/>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3"/>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4"/>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5"/>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6"/>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7"/>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17879"/>
      <w:bookmarkStart w:id="99"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8"/>
      <w:bookmarkEnd w:id="99"/>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0"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100"/>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8853"/>
      <w:bookmarkStart w:id="102"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101"/>
      <w:bookmarkEnd w:id="102"/>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25177"/>
      <w:bookmarkStart w:id="104"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3"/>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5"/>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4"/>
      <w:bookmarkEnd w:id="106"/>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7"/>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8"/>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9"/>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2241"/>
      <w:bookmarkStart w:id="111"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10"/>
      <w:bookmarkEnd w:id="111"/>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2" w:name="_Toc12985"/>
      <w:bookmarkStart w:id="113"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2"/>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3"/>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9053"/>
      <w:bookmarkStart w:id="115"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4"/>
      <w:bookmarkEnd w:id="115"/>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6"/>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7"/>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8"/>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4718211"/>
      <w:bookmarkStart w:id="120"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9"/>
      <w:bookmarkEnd w:id="120"/>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21"/>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2"/>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3" w:name="_Toc54718210"/>
      <w:bookmarkStart w:id="124" w:name="_Toc31719"/>
      <w:bookmarkStart w:id="125" w:name="_Toc54718212"/>
      <w:bookmarkStart w:id="126"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3"/>
      <w:bookmarkEnd w:id="124"/>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7"/>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8"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8"/>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5"/>
      <w:bookmarkEnd w:id="126"/>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9"/>
      <w:bookmarkEnd w:id="130"/>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31"/>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2"/>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3"/>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4"/>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5"/>
    </w:p>
    <w:bookmarkEnd w:id="89"/>
    <w:bookmarkEnd w:id="90"/>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6" w:name="_Hlt41879464"/>
      <w:bookmarkEnd w:id="136"/>
      <w:bookmarkStart w:id="137" w:name="_Toc485108795"/>
      <w:bookmarkStart w:id="138" w:name="_Toc13696"/>
      <w:bookmarkStart w:id="139" w:name="_Toc29521"/>
      <w:bookmarkStart w:id="140" w:name="_Toc14085"/>
      <w:bookmarkStart w:id="141" w:name="_Toc12789072"/>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7"/>
      <w:bookmarkEnd w:id="138"/>
      <w:bookmarkEnd w:id="139"/>
      <w:bookmarkEnd w:id="140"/>
      <w:bookmarkEnd w:id="141"/>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2"/>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3"/>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4"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4"/>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5" w:name="_Toc38358147"/>
      <w:bookmarkStart w:id="146" w:name="OLE_LINK11"/>
      <w:bookmarkStart w:id="147"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5"/>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8"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8"/>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9" w:name="_Toc21293"/>
      <w:bookmarkStart w:id="150" w:name="_Toc5685"/>
      <w:bookmarkStart w:id="151"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9"/>
      <w:bookmarkEnd w:id="150"/>
      <w:bookmarkEnd w:id="151"/>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2"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2"/>
    </w:p>
    <w:bookmarkEnd w:id="146"/>
    <w:bookmarkEnd w:id="147"/>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3" w:name="_Toc485108796"/>
      <w:bookmarkStart w:id="154" w:name="_Toc342913419"/>
      <w:bookmarkStart w:id="155" w:name="_Toc480979018"/>
      <w:bookmarkStart w:id="156" w:name="_Toc313888360"/>
      <w:bookmarkStart w:id="157" w:name="_Toc5565"/>
      <w:bookmarkStart w:id="158" w:name="_Toc313008356"/>
      <w:bookmarkStart w:id="159" w:name="_Toc283382454"/>
      <w:bookmarkStart w:id="160"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3"/>
      <w:bookmarkEnd w:id="154"/>
      <w:bookmarkEnd w:id="155"/>
      <w:bookmarkEnd w:id="156"/>
      <w:bookmarkEnd w:id="157"/>
      <w:bookmarkEnd w:id="158"/>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9"/>
    <w:bookmarkEnd w:id="160"/>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2872A86F">
      <w:pPr>
        <w:spacing w:line="560" w:lineRule="exact"/>
        <w:ind w:firstLine="0" w:firstLineChars="0"/>
        <w:jc w:val="center"/>
        <w:rPr>
          <w:sz w:val="28"/>
          <w:szCs w:val="28"/>
        </w:rPr>
      </w:pPr>
      <w:bookmarkStart w:id="161" w:name="_Toc485108797"/>
      <w:bookmarkStart w:id="162" w:name="_Toc480979019"/>
      <w:bookmarkStart w:id="163" w:name="_Toc313888361"/>
      <w:bookmarkStart w:id="164" w:name="_Toc313008357"/>
      <w:bookmarkStart w:id="165" w:name="_Toc342913420"/>
      <w:bookmarkStart w:id="166" w:name="_Toc12908"/>
      <w:bookmarkStart w:id="167" w:name="_Toc9883"/>
      <w:r>
        <w:rPr>
          <w:sz w:val="28"/>
          <w:szCs w:val="28"/>
        </w:rPr>
        <w:t>报价表</w:t>
      </w:r>
    </w:p>
    <w:p w14:paraId="46D62140">
      <w:pPr>
        <w:spacing w:line="560" w:lineRule="exact"/>
        <w:ind w:firstLine="0" w:firstLineChars="0"/>
        <w:rPr>
          <w:sz w:val="28"/>
          <w:szCs w:val="28"/>
        </w:rPr>
      </w:pPr>
    </w:p>
    <w:tbl>
      <w:tblPr>
        <w:tblStyle w:val="59"/>
        <w:tblW w:w="7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5"/>
        <w:gridCol w:w="3804"/>
        <w:gridCol w:w="1854"/>
      </w:tblGrid>
      <w:tr w14:paraId="2269D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855" w:type="dxa"/>
            <w:noWrap w:val="0"/>
            <w:vAlign w:val="center"/>
          </w:tcPr>
          <w:p w14:paraId="5863C713">
            <w:pPr>
              <w:ind w:firstLine="0" w:firstLineChars="0"/>
              <w:jc w:val="center"/>
              <w:rPr>
                <w:sz w:val="24"/>
              </w:rPr>
            </w:pPr>
            <w:r>
              <w:rPr>
                <w:sz w:val="24"/>
              </w:rPr>
              <w:t>项目名称</w:t>
            </w:r>
          </w:p>
        </w:tc>
        <w:tc>
          <w:tcPr>
            <w:tcW w:w="3804" w:type="dxa"/>
            <w:noWrap w:val="0"/>
            <w:vAlign w:val="center"/>
          </w:tcPr>
          <w:p w14:paraId="2DEA1908">
            <w:pPr>
              <w:ind w:firstLine="0" w:firstLineChars="0"/>
              <w:jc w:val="center"/>
              <w:rPr>
                <w:sz w:val="24"/>
              </w:rPr>
            </w:pPr>
            <w:r>
              <w:rPr>
                <w:sz w:val="24"/>
              </w:rPr>
              <w:t>单价</w:t>
            </w:r>
          </w:p>
        </w:tc>
        <w:tc>
          <w:tcPr>
            <w:tcW w:w="1854" w:type="dxa"/>
            <w:noWrap w:val="0"/>
            <w:vAlign w:val="center"/>
          </w:tcPr>
          <w:p w14:paraId="50ED67DB">
            <w:pPr>
              <w:ind w:firstLine="0" w:firstLineChars="0"/>
              <w:jc w:val="center"/>
              <w:rPr>
                <w:sz w:val="24"/>
              </w:rPr>
            </w:pPr>
            <w:r>
              <w:rPr>
                <w:sz w:val="24"/>
              </w:rPr>
              <w:t>备注</w:t>
            </w:r>
          </w:p>
        </w:tc>
      </w:tr>
      <w:tr w14:paraId="21F5B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855" w:type="dxa"/>
            <w:vMerge w:val="restart"/>
            <w:noWrap w:val="0"/>
            <w:vAlign w:val="center"/>
          </w:tcPr>
          <w:p w14:paraId="489ADFC8">
            <w:pPr>
              <w:ind w:firstLine="0" w:firstLineChars="0"/>
              <w:jc w:val="center"/>
              <w:rPr>
                <w:sz w:val="24"/>
              </w:rPr>
            </w:pPr>
            <w:r>
              <w:rPr>
                <w:sz w:val="24"/>
              </w:rPr>
              <w:t>服务费</w:t>
            </w:r>
          </w:p>
        </w:tc>
        <w:tc>
          <w:tcPr>
            <w:tcW w:w="3804" w:type="dxa"/>
            <w:noWrap w:val="0"/>
            <w:vAlign w:val="center"/>
          </w:tcPr>
          <w:p w14:paraId="7B661F5A">
            <w:pPr>
              <w:ind w:firstLine="0" w:firstLineChars="0"/>
              <w:jc w:val="center"/>
              <w:rPr>
                <w:sz w:val="24"/>
              </w:rPr>
            </w:pPr>
            <w:r>
              <w:rPr>
                <w:sz w:val="24"/>
              </w:rPr>
              <w:t>__________元/月</w:t>
            </w:r>
          </w:p>
        </w:tc>
        <w:tc>
          <w:tcPr>
            <w:tcW w:w="1854" w:type="dxa"/>
            <w:noWrap w:val="0"/>
            <w:vAlign w:val="center"/>
          </w:tcPr>
          <w:p w14:paraId="13437059">
            <w:pPr>
              <w:ind w:firstLine="0" w:firstLineChars="0"/>
              <w:jc w:val="center"/>
              <w:rPr>
                <w:sz w:val="24"/>
              </w:rPr>
            </w:pPr>
            <w:r>
              <w:rPr>
                <w:sz w:val="24"/>
              </w:rPr>
              <w:t>定时发车</w:t>
            </w:r>
          </w:p>
        </w:tc>
      </w:tr>
      <w:tr w14:paraId="1F796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855" w:type="dxa"/>
            <w:vMerge w:val="continue"/>
            <w:noWrap w:val="0"/>
            <w:vAlign w:val="center"/>
          </w:tcPr>
          <w:p w14:paraId="73AD0946">
            <w:pPr>
              <w:ind w:firstLine="0" w:firstLineChars="0"/>
              <w:jc w:val="center"/>
              <w:rPr>
                <w:sz w:val="24"/>
              </w:rPr>
            </w:pPr>
          </w:p>
        </w:tc>
        <w:tc>
          <w:tcPr>
            <w:tcW w:w="3804" w:type="dxa"/>
            <w:noWrap w:val="0"/>
            <w:vAlign w:val="center"/>
          </w:tcPr>
          <w:p w14:paraId="32C75287">
            <w:pPr>
              <w:ind w:firstLine="0" w:firstLineChars="0"/>
              <w:jc w:val="center"/>
              <w:rPr>
                <w:sz w:val="24"/>
              </w:rPr>
            </w:pPr>
            <w:r>
              <w:rPr>
                <w:sz w:val="24"/>
              </w:rPr>
              <w:t>__________元/趟</w:t>
            </w:r>
          </w:p>
        </w:tc>
        <w:tc>
          <w:tcPr>
            <w:tcW w:w="1854" w:type="dxa"/>
            <w:noWrap w:val="0"/>
            <w:vAlign w:val="center"/>
          </w:tcPr>
          <w:p w14:paraId="67F717CF">
            <w:pPr>
              <w:ind w:firstLine="0" w:firstLineChars="0"/>
              <w:jc w:val="center"/>
              <w:rPr>
                <w:sz w:val="24"/>
              </w:rPr>
            </w:pPr>
            <w:r>
              <w:rPr>
                <w:sz w:val="24"/>
              </w:rPr>
              <w:t>单独调车</w:t>
            </w:r>
          </w:p>
        </w:tc>
      </w:tr>
    </w:tbl>
    <w:p w14:paraId="3FA05514">
      <w:pPr>
        <w:tabs>
          <w:tab w:val="left" w:pos="1134"/>
        </w:tabs>
        <w:jc w:val="center"/>
        <w:rPr>
          <w:rFonts w:hint="eastAsia" w:ascii="黑体" w:hAnsi="黑体" w:eastAsia="黑体"/>
          <w:sz w:val="32"/>
          <w:szCs w:val="32"/>
          <w:lang w:eastAsia="zh-CN"/>
        </w:rPr>
      </w:pPr>
    </w:p>
    <w:p w14:paraId="46420D74">
      <w:pPr>
        <w:spacing w:line="400" w:lineRule="exact"/>
        <w:ind w:firstLine="560" w:firstLineChars="200"/>
        <w:rPr>
          <w:rFonts w:hint="eastAsia" w:ascii="宋体" w:hAnsi="宋体" w:eastAsia="宋体" w:cs="宋体"/>
          <w:color w:val="FF0000"/>
          <w:sz w:val="24"/>
          <w:szCs w:val="24"/>
          <w:shd w:val="clear" w:color="auto" w:fill="auto"/>
          <w:lang w:eastAsia="zh-CN"/>
        </w:rPr>
      </w:pPr>
      <w:r>
        <w:rPr>
          <w:rFonts w:hint="eastAsia" w:ascii="宋体" w:hAnsi="宋体"/>
          <w:sz w:val="28"/>
          <w:szCs w:val="28"/>
        </w:rPr>
        <w:t>备注：</w:t>
      </w: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lang w:eastAsia="zh-CN"/>
        </w:rPr>
        <w:t>参选报</w:t>
      </w:r>
      <w:r>
        <w:rPr>
          <w:rFonts w:hint="eastAsia" w:ascii="宋体" w:hAnsi="宋体" w:eastAsia="宋体" w:cs="宋体"/>
          <w:color w:val="FF0000"/>
          <w:sz w:val="24"/>
          <w:szCs w:val="24"/>
          <w:shd w:val="clear" w:color="auto" w:fill="auto"/>
          <w:lang w:val="en-US" w:eastAsia="zh-CN"/>
        </w:rPr>
        <w:t>价</w:t>
      </w:r>
      <w:r>
        <w:rPr>
          <w:rFonts w:hint="eastAsia" w:ascii="宋体" w:hAnsi="宋体" w:eastAsia="宋体" w:cs="宋体"/>
          <w:color w:val="FF0000"/>
          <w:sz w:val="24"/>
          <w:szCs w:val="24"/>
          <w:shd w:val="clear" w:color="auto" w:fill="auto"/>
          <w:lang w:eastAsia="zh-CN"/>
        </w:rPr>
        <w:t>为包干价，包含但不限于服务费、驾驶员劳务费、税费等。</w:t>
      </w:r>
    </w:p>
    <w:p w14:paraId="297477C8">
      <w:pPr>
        <w:tabs>
          <w:tab w:val="left" w:pos="1134"/>
        </w:tabs>
        <w:jc w:val="center"/>
        <w:rPr>
          <w:rFonts w:hint="eastAsia" w:ascii="黑体" w:hAnsi="黑体" w:eastAsia="黑体"/>
          <w:sz w:val="32"/>
          <w:szCs w:val="32"/>
          <w:lang w:val="en-US" w:eastAsia="zh-CN"/>
        </w:rPr>
      </w:pPr>
    </w:p>
    <w:p w14:paraId="57CE5A31">
      <w:pPr>
        <w:tabs>
          <w:tab w:val="left" w:pos="1134"/>
        </w:tabs>
        <w:jc w:val="center"/>
        <w:rPr>
          <w:rFonts w:hint="eastAsia" w:ascii="黑体" w:hAnsi="黑体" w:eastAsia="黑体"/>
          <w:sz w:val="32"/>
          <w:szCs w:val="32"/>
          <w:lang w:val="en-US" w:eastAsia="zh-CN"/>
        </w:rPr>
      </w:pPr>
    </w:p>
    <w:p w14:paraId="065953EA">
      <w:pPr>
        <w:tabs>
          <w:tab w:val="left" w:pos="1134"/>
        </w:tabs>
        <w:jc w:val="center"/>
        <w:rPr>
          <w:rFonts w:hint="eastAsia" w:ascii="黑体" w:hAnsi="黑体" w:eastAsia="黑体"/>
          <w:sz w:val="32"/>
          <w:szCs w:val="32"/>
          <w:lang w:val="en-US" w:eastAsia="zh-CN"/>
        </w:rPr>
      </w:pPr>
    </w:p>
    <w:p w14:paraId="249C7754">
      <w:pPr>
        <w:tabs>
          <w:tab w:val="left" w:pos="1134"/>
        </w:tabs>
        <w:jc w:val="center"/>
        <w:rPr>
          <w:rFonts w:hint="eastAsia" w:ascii="黑体" w:hAnsi="黑体" w:eastAsia="黑体"/>
          <w:sz w:val="32"/>
          <w:szCs w:val="32"/>
          <w:lang w:val="en-US" w:eastAsia="zh-CN"/>
        </w:rPr>
      </w:pPr>
    </w:p>
    <w:p w14:paraId="4BF3F525">
      <w:pPr>
        <w:tabs>
          <w:tab w:val="left" w:pos="1134"/>
        </w:tabs>
        <w:jc w:val="center"/>
        <w:rPr>
          <w:rFonts w:hint="eastAsia" w:ascii="黑体" w:hAnsi="黑体" w:eastAsia="黑体"/>
          <w:sz w:val="32"/>
          <w:szCs w:val="32"/>
          <w:lang w:val="en-US" w:eastAsia="zh-CN"/>
        </w:rPr>
      </w:pPr>
    </w:p>
    <w:p w14:paraId="7667E69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ADF4C3D">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506B6B9B">
      <w:pPr>
        <w:tabs>
          <w:tab w:val="left" w:pos="1134"/>
        </w:tabs>
        <w:jc w:val="center"/>
        <w:rPr>
          <w:rFonts w:hint="eastAsia" w:ascii="黑体" w:hAnsi="黑体" w:eastAsia="黑体"/>
          <w:sz w:val="32"/>
          <w:szCs w:val="32"/>
          <w:lang w:val="en-US" w:eastAsia="zh-CN"/>
        </w:rPr>
      </w:pPr>
    </w:p>
    <w:p w14:paraId="24B502C4">
      <w:pPr>
        <w:outlineLvl w:val="0"/>
        <w:rPr>
          <w:rFonts w:hint="eastAsia" w:ascii="宋体" w:hAnsi="宋体" w:eastAsia="宋体" w:cs="宋体"/>
          <w:b/>
          <w:color w:val="000000" w:themeColor="text1"/>
          <w:shd w:val="clear" w:color="auto" w:fill="auto"/>
          <w14:textFill>
            <w14:solidFill>
              <w14:schemeClr w14:val="tx1"/>
            </w14:solidFill>
          </w14:textFill>
        </w:rPr>
      </w:pPr>
    </w:p>
    <w:p w14:paraId="26DBB76E">
      <w:pPr>
        <w:outlineLvl w:val="0"/>
        <w:rPr>
          <w:rFonts w:hint="eastAsia" w:ascii="宋体" w:hAnsi="宋体" w:eastAsia="宋体" w:cs="宋体"/>
          <w:b/>
          <w:color w:val="000000" w:themeColor="text1"/>
          <w:shd w:val="clear" w:color="auto" w:fill="auto"/>
          <w14:textFill>
            <w14:solidFill>
              <w14:schemeClr w14:val="tx1"/>
            </w14:solidFill>
          </w14:textFill>
        </w:rPr>
      </w:pPr>
    </w:p>
    <w:p w14:paraId="2CD5DA2C">
      <w:pPr>
        <w:outlineLvl w:val="0"/>
        <w:rPr>
          <w:rFonts w:hint="eastAsia" w:ascii="宋体" w:hAnsi="宋体" w:eastAsia="宋体" w:cs="宋体"/>
          <w:b/>
          <w:color w:val="000000" w:themeColor="text1"/>
          <w:shd w:val="clear" w:color="auto" w:fill="auto"/>
          <w14:textFill>
            <w14:solidFill>
              <w14:schemeClr w14:val="tx1"/>
            </w14:solidFill>
          </w14:textFill>
        </w:rPr>
      </w:pPr>
    </w:p>
    <w:p w14:paraId="58978C42">
      <w:pPr>
        <w:outlineLvl w:val="0"/>
        <w:rPr>
          <w:rFonts w:hint="eastAsia" w:ascii="宋体" w:hAnsi="宋体" w:eastAsia="宋体" w:cs="宋体"/>
          <w:b/>
          <w:color w:val="000000" w:themeColor="text1"/>
          <w:shd w:val="clear" w:color="auto" w:fill="auto"/>
          <w14:textFill>
            <w14:solidFill>
              <w14:schemeClr w14:val="tx1"/>
            </w14:solidFill>
          </w14:textFill>
        </w:rPr>
      </w:pPr>
    </w:p>
    <w:p w14:paraId="13ED3BCD">
      <w:pPr>
        <w:outlineLvl w:val="0"/>
        <w:rPr>
          <w:rFonts w:hint="eastAsia" w:ascii="宋体" w:hAnsi="宋体" w:eastAsia="宋体" w:cs="宋体"/>
          <w:b/>
          <w:color w:val="000000" w:themeColor="text1"/>
          <w:shd w:val="clear" w:color="auto" w:fill="auto"/>
          <w14:textFill>
            <w14:solidFill>
              <w14:schemeClr w14:val="tx1"/>
            </w14:solidFill>
          </w14:textFill>
        </w:rPr>
      </w:pPr>
    </w:p>
    <w:p w14:paraId="7F7CD0EC">
      <w:pPr>
        <w:outlineLvl w:val="0"/>
        <w:rPr>
          <w:rFonts w:hint="eastAsia" w:ascii="宋体" w:hAnsi="宋体" w:eastAsia="宋体" w:cs="宋体"/>
          <w:b/>
          <w:color w:val="000000" w:themeColor="text1"/>
          <w:shd w:val="clear" w:color="auto" w:fill="auto"/>
          <w14:textFill>
            <w14:solidFill>
              <w14:schemeClr w14:val="tx1"/>
            </w14:solidFill>
          </w14:textFill>
        </w:rPr>
      </w:pPr>
    </w:p>
    <w:p w14:paraId="64EEA8A2">
      <w:pPr>
        <w:outlineLvl w:val="0"/>
        <w:rPr>
          <w:rFonts w:hint="eastAsia" w:ascii="宋体" w:hAnsi="宋体" w:eastAsia="宋体" w:cs="宋体"/>
          <w:b/>
          <w:color w:val="000000" w:themeColor="text1"/>
          <w:shd w:val="clear" w:color="auto" w:fill="auto"/>
          <w14:textFill>
            <w14:solidFill>
              <w14:schemeClr w14:val="tx1"/>
            </w14:solidFill>
          </w14:textFill>
        </w:rPr>
      </w:pPr>
    </w:p>
    <w:p w14:paraId="484588E4">
      <w:pPr>
        <w:outlineLvl w:val="0"/>
        <w:rPr>
          <w:rFonts w:hint="eastAsia" w:ascii="宋体" w:hAnsi="宋体" w:eastAsia="宋体" w:cs="宋体"/>
          <w:b/>
          <w:color w:val="000000" w:themeColor="text1"/>
          <w:shd w:val="clear" w:color="auto" w:fill="auto"/>
          <w14:textFill>
            <w14:solidFill>
              <w14:schemeClr w14:val="tx1"/>
            </w14:solidFill>
          </w14:textFill>
        </w:rPr>
      </w:pPr>
    </w:p>
    <w:p w14:paraId="30E4646E">
      <w:pPr>
        <w:outlineLvl w:val="0"/>
        <w:rPr>
          <w:rFonts w:hint="eastAsia" w:ascii="宋体" w:hAnsi="宋体" w:eastAsia="宋体" w:cs="宋体"/>
          <w:b/>
          <w:color w:val="000000" w:themeColor="text1"/>
          <w:shd w:val="clear" w:color="auto" w:fill="auto"/>
          <w14:textFill>
            <w14:solidFill>
              <w14:schemeClr w14:val="tx1"/>
            </w14:solidFill>
          </w14:textFill>
        </w:rPr>
      </w:pPr>
    </w:p>
    <w:p w14:paraId="3623FFE5">
      <w:pPr>
        <w:outlineLvl w:val="0"/>
        <w:rPr>
          <w:rFonts w:hint="eastAsia" w:ascii="宋体" w:hAnsi="宋体" w:eastAsia="宋体" w:cs="宋体"/>
          <w:b/>
          <w:color w:val="000000" w:themeColor="text1"/>
          <w:shd w:val="clear" w:color="auto" w:fill="auto"/>
          <w14:textFill>
            <w14:solidFill>
              <w14:schemeClr w14:val="tx1"/>
            </w14:solidFill>
          </w14:textFill>
        </w:rPr>
      </w:pPr>
    </w:p>
    <w:p w14:paraId="6C2072D1">
      <w:pPr>
        <w:outlineLvl w:val="0"/>
        <w:rPr>
          <w:rFonts w:hint="eastAsia" w:ascii="宋体" w:hAnsi="宋体" w:eastAsia="宋体" w:cs="宋体"/>
          <w:b/>
          <w:color w:val="000000" w:themeColor="text1"/>
          <w:shd w:val="clear" w:color="auto" w:fill="auto"/>
          <w14:textFill>
            <w14:solidFill>
              <w14:schemeClr w14:val="tx1"/>
            </w14:solidFill>
          </w14:textFill>
        </w:rPr>
      </w:pPr>
    </w:p>
    <w:p w14:paraId="0A4AFF1E">
      <w:pPr>
        <w:outlineLvl w:val="0"/>
        <w:rPr>
          <w:rFonts w:hint="eastAsia" w:ascii="宋体" w:hAnsi="宋体" w:eastAsia="宋体" w:cs="宋体"/>
          <w:b/>
          <w:color w:val="000000" w:themeColor="text1"/>
          <w:shd w:val="clear" w:color="auto" w:fill="auto"/>
          <w14:textFill>
            <w14:solidFill>
              <w14:schemeClr w14:val="tx1"/>
            </w14:solidFill>
          </w14:textFill>
        </w:rPr>
      </w:pPr>
    </w:p>
    <w:p w14:paraId="182422AD">
      <w:pPr>
        <w:outlineLvl w:val="0"/>
        <w:rPr>
          <w:rFonts w:hint="eastAsia" w:ascii="宋体" w:hAnsi="宋体" w:eastAsia="宋体" w:cs="宋体"/>
          <w:b/>
          <w:color w:val="000000" w:themeColor="text1"/>
          <w:shd w:val="clear" w:color="auto" w:fill="auto"/>
          <w14:textFill>
            <w14:solidFill>
              <w14:schemeClr w14:val="tx1"/>
            </w14:solidFill>
          </w14:textFill>
        </w:rPr>
      </w:pPr>
    </w:p>
    <w:p w14:paraId="7BA3A145">
      <w:pPr>
        <w:outlineLvl w:val="0"/>
        <w:rPr>
          <w:rFonts w:hint="eastAsia" w:ascii="宋体" w:hAnsi="宋体" w:eastAsia="宋体" w:cs="宋体"/>
          <w:b/>
          <w:color w:val="000000" w:themeColor="text1"/>
          <w:shd w:val="clear" w:color="auto" w:fill="auto"/>
          <w14:textFill>
            <w14:solidFill>
              <w14:schemeClr w14:val="tx1"/>
            </w14:solidFill>
          </w14:textFill>
        </w:rPr>
      </w:pPr>
    </w:p>
    <w:p w14:paraId="291F6D49">
      <w:pPr>
        <w:outlineLvl w:val="0"/>
        <w:rPr>
          <w:rFonts w:hint="eastAsia" w:ascii="宋体" w:hAnsi="宋体" w:eastAsia="宋体" w:cs="宋体"/>
          <w:b/>
          <w:color w:val="000000" w:themeColor="text1"/>
          <w:shd w:val="clear" w:color="auto" w:fill="auto"/>
          <w14:textFill>
            <w14:solidFill>
              <w14:schemeClr w14:val="tx1"/>
            </w14:solidFill>
          </w14:textFill>
        </w:rPr>
      </w:pPr>
    </w:p>
    <w:p w14:paraId="1D8F6B09">
      <w:pPr>
        <w:outlineLvl w:val="0"/>
        <w:rPr>
          <w:rFonts w:hint="eastAsia" w:ascii="宋体" w:hAnsi="宋体" w:eastAsia="宋体" w:cs="宋体"/>
          <w:b/>
          <w:color w:val="000000" w:themeColor="text1"/>
          <w:shd w:val="clear" w:color="auto" w:fill="auto"/>
          <w14:textFill>
            <w14:solidFill>
              <w14:schemeClr w14:val="tx1"/>
            </w14:solidFill>
          </w14:textFill>
        </w:rPr>
      </w:pPr>
    </w:p>
    <w:p w14:paraId="1F202051">
      <w:pPr>
        <w:outlineLvl w:val="0"/>
        <w:rPr>
          <w:rFonts w:hint="eastAsia" w:ascii="宋体" w:hAnsi="宋体" w:eastAsia="宋体" w:cs="宋体"/>
          <w:b/>
          <w:color w:val="000000" w:themeColor="text1"/>
          <w:shd w:val="clear" w:color="auto" w:fill="auto"/>
          <w14:textFill>
            <w14:solidFill>
              <w14:schemeClr w14:val="tx1"/>
            </w14:solidFill>
          </w14:textFill>
        </w:rPr>
      </w:pPr>
    </w:p>
    <w:p w14:paraId="54C9E12F">
      <w:pPr>
        <w:outlineLvl w:val="0"/>
        <w:rPr>
          <w:rFonts w:hint="eastAsia" w:ascii="宋体" w:hAnsi="宋体" w:eastAsia="宋体" w:cs="宋体"/>
          <w:b/>
          <w:color w:val="000000" w:themeColor="text1"/>
          <w:shd w:val="clear" w:color="auto" w:fill="auto"/>
          <w14:textFill>
            <w14:solidFill>
              <w14:schemeClr w14:val="tx1"/>
            </w14:solidFill>
          </w14:textFill>
        </w:rPr>
      </w:pPr>
    </w:p>
    <w:p w14:paraId="3B1B8DB8">
      <w:pPr>
        <w:outlineLvl w:val="0"/>
        <w:rPr>
          <w:rFonts w:hint="eastAsia" w:ascii="宋体" w:hAnsi="宋体" w:eastAsia="宋体" w:cs="宋体"/>
          <w:b/>
          <w:color w:val="000000" w:themeColor="text1"/>
          <w:shd w:val="clear" w:color="auto" w:fill="auto"/>
          <w14:textFill>
            <w14:solidFill>
              <w14:schemeClr w14:val="tx1"/>
            </w14:solidFill>
          </w14:textFill>
        </w:rPr>
      </w:pPr>
    </w:p>
    <w:p w14:paraId="499EF827">
      <w:pPr>
        <w:outlineLvl w:val="0"/>
        <w:rPr>
          <w:rFonts w:hint="eastAsia" w:ascii="宋体" w:hAnsi="宋体" w:eastAsia="宋体" w:cs="宋体"/>
          <w:b/>
          <w:color w:val="000000" w:themeColor="text1"/>
          <w:shd w:val="clear" w:color="auto" w:fill="auto"/>
          <w14:textFill>
            <w14:solidFill>
              <w14:schemeClr w14:val="tx1"/>
            </w14:solidFill>
          </w14:textFill>
        </w:rPr>
      </w:pPr>
    </w:p>
    <w:p w14:paraId="53096A38">
      <w:pPr>
        <w:outlineLvl w:val="0"/>
        <w:rPr>
          <w:rFonts w:hint="eastAsia" w:ascii="宋体" w:hAnsi="宋体" w:eastAsia="宋体" w:cs="宋体"/>
          <w:b/>
          <w:color w:val="000000" w:themeColor="text1"/>
          <w:shd w:val="clear" w:color="auto" w:fill="auto"/>
          <w14:textFill>
            <w14:solidFill>
              <w14:schemeClr w14:val="tx1"/>
            </w14:solidFill>
          </w14:textFill>
        </w:rPr>
      </w:pPr>
    </w:p>
    <w:p w14:paraId="0E2DC66C">
      <w:pPr>
        <w:outlineLvl w:val="0"/>
        <w:rPr>
          <w:rFonts w:hint="eastAsia" w:ascii="宋体" w:hAnsi="宋体" w:eastAsia="宋体" w:cs="宋体"/>
          <w:b/>
          <w:color w:val="000000" w:themeColor="text1"/>
          <w:shd w:val="clear" w:color="auto" w:fill="auto"/>
          <w14:textFill>
            <w14:solidFill>
              <w14:schemeClr w14:val="tx1"/>
            </w14:solidFill>
          </w14:textFill>
        </w:rPr>
      </w:pPr>
    </w:p>
    <w:p w14:paraId="7624FC95">
      <w:pPr>
        <w:outlineLvl w:val="0"/>
        <w:rPr>
          <w:rFonts w:hint="eastAsia" w:ascii="宋体" w:hAnsi="宋体" w:eastAsia="宋体" w:cs="宋体"/>
          <w:b/>
          <w:color w:val="000000" w:themeColor="text1"/>
          <w:shd w:val="clear" w:color="auto" w:fill="auto"/>
          <w14:textFill>
            <w14:solidFill>
              <w14:schemeClr w14:val="tx1"/>
            </w14:solidFill>
          </w14:textFill>
        </w:rPr>
      </w:pPr>
    </w:p>
    <w:p w14:paraId="4536539E">
      <w:pPr>
        <w:outlineLvl w:val="0"/>
        <w:rPr>
          <w:rFonts w:hint="eastAsia" w:ascii="宋体" w:hAnsi="宋体" w:eastAsia="宋体" w:cs="宋体"/>
          <w:b/>
          <w:color w:val="000000" w:themeColor="text1"/>
          <w:shd w:val="clear" w:color="auto" w:fill="auto"/>
          <w14:textFill>
            <w14:solidFill>
              <w14:schemeClr w14:val="tx1"/>
            </w14:solidFill>
          </w14:textFill>
        </w:rPr>
      </w:pPr>
    </w:p>
    <w:p w14:paraId="50618586">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61"/>
      <w:bookmarkEnd w:id="162"/>
      <w:bookmarkEnd w:id="163"/>
      <w:bookmarkEnd w:id="164"/>
      <w:bookmarkEnd w:id="165"/>
      <w:bookmarkEnd w:id="166"/>
      <w:bookmarkEnd w:id="16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8" w:name="_Toc13844"/>
      <w:bookmarkStart w:id="169" w:name="_Toc485108798"/>
      <w:bookmarkStart w:id="170" w:name="_Toc480979020"/>
      <w:bookmarkStart w:id="171" w:name="_Toc342913421"/>
      <w:bookmarkStart w:id="172" w:name="_Toc313888362"/>
      <w:bookmarkStart w:id="173" w:name="_Toc15203"/>
      <w:bookmarkStart w:id="174"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8"/>
      <w:bookmarkEnd w:id="169"/>
      <w:bookmarkEnd w:id="170"/>
      <w:bookmarkEnd w:id="171"/>
      <w:bookmarkEnd w:id="172"/>
      <w:bookmarkEnd w:id="173"/>
      <w:bookmarkEnd w:id="174"/>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5"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5"/>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10896"/>
      <w:bookmarkStart w:id="177"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6"/>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8"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8"/>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9" w:name="_Toc23584"/>
      <w:bookmarkStart w:id="180"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9"/>
      <w:bookmarkEnd w:id="180"/>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7"/>
      <w:bookmarkStart w:id="181" w:name="_Toc313888363"/>
      <w:bookmarkStart w:id="182" w:name="_Toc313008359"/>
      <w:bookmarkStart w:id="183"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81"/>
      <w:bookmarkEnd w:id="182"/>
      <w:bookmarkEnd w:id="183"/>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4" w:name="OLE_LINK7"/>
      <w:bookmarkStart w:id="185"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4"/>
    <w:bookmarkEnd w:id="185"/>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6" w:name="_Toc27212"/>
      <w:bookmarkStart w:id="187"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6"/>
    <w:bookmarkEnd w:id="187"/>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8"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8"/>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9"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9"/>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90"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90"/>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5A9AE903"/>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917B75C-CC80-42A1-9783-ADDA68F73AE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2" w:fontKey="{B36A3C00-B685-40FF-B279-0FB5ED9141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8109C"/>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4043A7"/>
    <w:rsid w:val="02B325DC"/>
    <w:rsid w:val="02D84414"/>
    <w:rsid w:val="02FE0C09"/>
    <w:rsid w:val="037759DB"/>
    <w:rsid w:val="03921202"/>
    <w:rsid w:val="039C4C1C"/>
    <w:rsid w:val="03BB3ADF"/>
    <w:rsid w:val="03C2134C"/>
    <w:rsid w:val="04DA26C6"/>
    <w:rsid w:val="04DE1E0F"/>
    <w:rsid w:val="04F00597"/>
    <w:rsid w:val="05AB6E25"/>
    <w:rsid w:val="05E64439"/>
    <w:rsid w:val="05E94CDF"/>
    <w:rsid w:val="060E092E"/>
    <w:rsid w:val="065A1406"/>
    <w:rsid w:val="067D7A0C"/>
    <w:rsid w:val="06A45EA9"/>
    <w:rsid w:val="06BC1BB0"/>
    <w:rsid w:val="074B1659"/>
    <w:rsid w:val="07911761"/>
    <w:rsid w:val="07C5765D"/>
    <w:rsid w:val="07F26429"/>
    <w:rsid w:val="084C34CD"/>
    <w:rsid w:val="094176DB"/>
    <w:rsid w:val="0951448A"/>
    <w:rsid w:val="0983062E"/>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7E5EA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CD0A4F"/>
    <w:rsid w:val="0FD61CDB"/>
    <w:rsid w:val="0FD8306F"/>
    <w:rsid w:val="0FFD1C5A"/>
    <w:rsid w:val="1014334F"/>
    <w:rsid w:val="10246EEB"/>
    <w:rsid w:val="10413B50"/>
    <w:rsid w:val="104D689B"/>
    <w:rsid w:val="109D57E0"/>
    <w:rsid w:val="10B17251"/>
    <w:rsid w:val="10BA59BE"/>
    <w:rsid w:val="10BF5E9B"/>
    <w:rsid w:val="111523FC"/>
    <w:rsid w:val="111C3A01"/>
    <w:rsid w:val="114A7245"/>
    <w:rsid w:val="11782A26"/>
    <w:rsid w:val="11E44902"/>
    <w:rsid w:val="13141499"/>
    <w:rsid w:val="131D034D"/>
    <w:rsid w:val="133C3066"/>
    <w:rsid w:val="134E0964"/>
    <w:rsid w:val="13633F56"/>
    <w:rsid w:val="13653AA2"/>
    <w:rsid w:val="13D52C1B"/>
    <w:rsid w:val="13F41DC8"/>
    <w:rsid w:val="144B1714"/>
    <w:rsid w:val="14B95EDB"/>
    <w:rsid w:val="14C6168E"/>
    <w:rsid w:val="14C6556D"/>
    <w:rsid w:val="14E12006"/>
    <w:rsid w:val="154C4C37"/>
    <w:rsid w:val="1554725E"/>
    <w:rsid w:val="15604521"/>
    <w:rsid w:val="156125ED"/>
    <w:rsid w:val="158D32E0"/>
    <w:rsid w:val="15D171CD"/>
    <w:rsid w:val="16243DF1"/>
    <w:rsid w:val="165A4E2F"/>
    <w:rsid w:val="17E52B34"/>
    <w:rsid w:val="18130842"/>
    <w:rsid w:val="18465822"/>
    <w:rsid w:val="18675712"/>
    <w:rsid w:val="188B43F5"/>
    <w:rsid w:val="18E50010"/>
    <w:rsid w:val="18F71640"/>
    <w:rsid w:val="19394057"/>
    <w:rsid w:val="199C2358"/>
    <w:rsid w:val="19B7492C"/>
    <w:rsid w:val="1A511E59"/>
    <w:rsid w:val="1A705757"/>
    <w:rsid w:val="1AE4406F"/>
    <w:rsid w:val="1AE84C93"/>
    <w:rsid w:val="1B1D5FE3"/>
    <w:rsid w:val="1B484046"/>
    <w:rsid w:val="1B4A5E5B"/>
    <w:rsid w:val="1B925650"/>
    <w:rsid w:val="1C0025BA"/>
    <w:rsid w:val="1C66752D"/>
    <w:rsid w:val="1C6945DA"/>
    <w:rsid w:val="1CD22D64"/>
    <w:rsid w:val="1CED540D"/>
    <w:rsid w:val="1CF33ECD"/>
    <w:rsid w:val="1CF736B7"/>
    <w:rsid w:val="1D624A3F"/>
    <w:rsid w:val="1D632E00"/>
    <w:rsid w:val="1DCB5B8A"/>
    <w:rsid w:val="1DD87EDC"/>
    <w:rsid w:val="1DDA4D59"/>
    <w:rsid w:val="1E570CBF"/>
    <w:rsid w:val="1E8652AA"/>
    <w:rsid w:val="1E9D4968"/>
    <w:rsid w:val="1EB13D33"/>
    <w:rsid w:val="1EEA6CFF"/>
    <w:rsid w:val="1F062593"/>
    <w:rsid w:val="1F08489B"/>
    <w:rsid w:val="1F2D0A6E"/>
    <w:rsid w:val="1F3A098C"/>
    <w:rsid w:val="1F3D23B3"/>
    <w:rsid w:val="1F6A74CC"/>
    <w:rsid w:val="1F6D6E4A"/>
    <w:rsid w:val="1F8009D9"/>
    <w:rsid w:val="1FCE723D"/>
    <w:rsid w:val="1FD702B4"/>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5FF0C6B"/>
    <w:rsid w:val="26380176"/>
    <w:rsid w:val="26A440C8"/>
    <w:rsid w:val="26D56CF3"/>
    <w:rsid w:val="26FE2E6F"/>
    <w:rsid w:val="271E4A07"/>
    <w:rsid w:val="275D539C"/>
    <w:rsid w:val="27B41749"/>
    <w:rsid w:val="27BE30B5"/>
    <w:rsid w:val="28031161"/>
    <w:rsid w:val="282105EF"/>
    <w:rsid w:val="282D107F"/>
    <w:rsid w:val="28377F6C"/>
    <w:rsid w:val="28580457"/>
    <w:rsid w:val="287535CD"/>
    <w:rsid w:val="28CD4235"/>
    <w:rsid w:val="28D01566"/>
    <w:rsid w:val="28E31299"/>
    <w:rsid w:val="293D6BFB"/>
    <w:rsid w:val="29430470"/>
    <w:rsid w:val="29A81CF0"/>
    <w:rsid w:val="2A0812C8"/>
    <w:rsid w:val="2B2C4917"/>
    <w:rsid w:val="2B3D6767"/>
    <w:rsid w:val="2B411C38"/>
    <w:rsid w:val="2B57565F"/>
    <w:rsid w:val="2BBD2276"/>
    <w:rsid w:val="2C812A23"/>
    <w:rsid w:val="2CDF621C"/>
    <w:rsid w:val="2CE02E81"/>
    <w:rsid w:val="2CF2794B"/>
    <w:rsid w:val="2D9073ED"/>
    <w:rsid w:val="2DDB0955"/>
    <w:rsid w:val="2DDE0220"/>
    <w:rsid w:val="2E454084"/>
    <w:rsid w:val="2E4A05E4"/>
    <w:rsid w:val="2E6141F3"/>
    <w:rsid w:val="2F124686"/>
    <w:rsid w:val="2F1F1F02"/>
    <w:rsid w:val="2F2348BD"/>
    <w:rsid w:val="2F6F1AD9"/>
    <w:rsid w:val="2F831DB2"/>
    <w:rsid w:val="2F943FCB"/>
    <w:rsid w:val="2FD06C0B"/>
    <w:rsid w:val="30381B81"/>
    <w:rsid w:val="30A44277"/>
    <w:rsid w:val="30B15F03"/>
    <w:rsid w:val="30B30136"/>
    <w:rsid w:val="30CD7D7B"/>
    <w:rsid w:val="310B1BDB"/>
    <w:rsid w:val="31CA4358"/>
    <w:rsid w:val="31D30AC7"/>
    <w:rsid w:val="31FA7479"/>
    <w:rsid w:val="32050A97"/>
    <w:rsid w:val="32284BF5"/>
    <w:rsid w:val="324E4259"/>
    <w:rsid w:val="32A510F7"/>
    <w:rsid w:val="32DA1DD4"/>
    <w:rsid w:val="33127B8D"/>
    <w:rsid w:val="33323C73"/>
    <w:rsid w:val="3361798A"/>
    <w:rsid w:val="33861085"/>
    <w:rsid w:val="33CA5BAD"/>
    <w:rsid w:val="33F1420C"/>
    <w:rsid w:val="34311909"/>
    <w:rsid w:val="34477E1A"/>
    <w:rsid w:val="34B44507"/>
    <w:rsid w:val="35687566"/>
    <w:rsid w:val="35B15F88"/>
    <w:rsid w:val="35D501BC"/>
    <w:rsid w:val="35E87A5C"/>
    <w:rsid w:val="3608331B"/>
    <w:rsid w:val="36382C0F"/>
    <w:rsid w:val="36834056"/>
    <w:rsid w:val="369E4A52"/>
    <w:rsid w:val="36A73740"/>
    <w:rsid w:val="36C3312C"/>
    <w:rsid w:val="36EC0B56"/>
    <w:rsid w:val="37174BEB"/>
    <w:rsid w:val="37542B62"/>
    <w:rsid w:val="375A306E"/>
    <w:rsid w:val="37D83F93"/>
    <w:rsid w:val="382D2437"/>
    <w:rsid w:val="38442273"/>
    <w:rsid w:val="384E006D"/>
    <w:rsid w:val="385D0EF3"/>
    <w:rsid w:val="387D36CA"/>
    <w:rsid w:val="389536A9"/>
    <w:rsid w:val="38BF4D66"/>
    <w:rsid w:val="38C010B0"/>
    <w:rsid w:val="38E86458"/>
    <w:rsid w:val="38EB2B69"/>
    <w:rsid w:val="391C67AE"/>
    <w:rsid w:val="39486CC3"/>
    <w:rsid w:val="39A3534F"/>
    <w:rsid w:val="39D65068"/>
    <w:rsid w:val="3AA25DEC"/>
    <w:rsid w:val="3AC648F5"/>
    <w:rsid w:val="3B30241A"/>
    <w:rsid w:val="3B5B756F"/>
    <w:rsid w:val="3B870893"/>
    <w:rsid w:val="3BA13299"/>
    <w:rsid w:val="3C4F6F1A"/>
    <w:rsid w:val="3D2F290C"/>
    <w:rsid w:val="3D3375F0"/>
    <w:rsid w:val="3D4C1E7B"/>
    <w:rsid w:val="3D6E2990"/>
    <w:rsid w:val="3D79508E"/>
    <w:rsid w:val="3DC21444"/>
    <w:rsid w:val="3DD60FEB"/>
    <w:rsid w:val="3E263CAA"/>
    <w:rsid w:val="3E491747"/>
    <w:rsid w:val="3E6B192F"/>
    <w:rsid w:val="3EA55BAC"/>
    <w:rsid w:val="3EEF12C4"/>
    <w:rsid w:val="3F150346"/>
    <w:rsid w:val="3F19442F"/>
    <w:rsid w:val="3F4757B8"/>
    <w:rsid w:val="3F4A029A"/>
    <w:rsid w:val="3F4E528D"/>
    <w:rsid w:val="3F591E5E"/>
    <w:rsid w:val="3F5A6C6F"/>
    <w:rsid w:val="3F7A393A"/>
    <w:rsid w:val="3FC45529"/>
    <w:rsid w:val="3FE1690B"/>
    <w:rsid w:val="40113C23"/>
    <w:rsid w:val="40351638"/>
    <w:rsid w:val="403F2E01"/>
    <w:rsid w:val="404A2E64"/>
    <w:rsid w:val="40AB0EC9"/>
    <w:rsid w:val="40C2612C"/>
    <w:rsid w:val="40E52488"/>
    <w:rsid w:val="41007A8F"/>
    <w:rsid w:val="415869FC"/>
    <w:rsid w:val="41670862"/>
    <w:rsid w:val="41AB14E8"/>
    <w:rsid w:val="41AC0B4D"/>
    <w:rsid w:val="41D4500D"/>
    <w:rsid w:val="41D67141"/>
    <w:rsid w:val="41DD2651"/>
    <w:rsid w:val="41F534A6"/>
    <w:rsid w:val="41F5463E"/>
    <w:rsid w:val="42030507"/>
    <w:rsid w:val="420A020E"/>
    <w:rsid w:val="420A1906"/>
    <w:rsid w:val="423F7EC6"/>
    <w:rsid w:val="42720834"/>
    <w:rsid w:val="428345E9"/>
    <w:rsid w:val="429D5EC0"/>
    <w:rsid w:val="42A40896"/>
    <w:rsid w:val="42A86289"/>
    <w:rsid w:val="42BD50C4"/>
    <w:rsid w:val="433E3844"/>
    <w:rsid w:val="437470EA"/>
    <w:rsid w:val="437C12A7"/>
    <w:rsid w:val="43F81C45"/>
    <w:rsid w:val="441F4671"/>
    <w:rsid w:val="444565A3"/>
    <w:rsid w:val="447A6AFE"/>
    <w:rsid w:val="44B9673B"/>
    <w:rsid w:val="45AC0F39"/>
    <w:rsid w:val="461B60BF"/>
    <w:rsid w:val="46C96141"/>
    <w:rsid w:val="46D06FAA"/>
    <w:rsid w:val="475461C4"/>
    <w:rsid w:val="477A0BC3"/>
    <w:rsid w:val="47D41743"/>
    <w:rsid w:val="47D63DB2"/>
    <w:rsid w:val="47F3755A"/>
    <w:rsid w:val="482B71EF"/>
    <w:rsid w:val="48447281"/>
    <w:rsid w:val="487D04F4"/>
    <w:rsid w:val="48912668"/>
    <w:rsid w:val="48A31EA1"/>
    <w:rsid w:val="48D90D59"/>
    <w:rsid w:val="48E11FE9"/>
    <w:rsid w:val="48FA020D"/>
    <w:rsid w:val="492C6FBB"/>
    <w:rsid w:val="499D1F70"/>
    <w:rsid w:val="4A1025A8"/>
    <w:rsid w:val="4A832C17"/>
    <w:rsid w:val="4A9100D0"/>
    <w:rsid w:val="4AC26B09"/>
    <w:rsid w:val="4AD056CA"/>
    <w:rsid w:val="4AD41B9B"/>
    <w:rsid w:val="4AED1C9D"/>
    <w:rsid w:val="4B597B89"/>
    <w:rsid w:val="4BE8259F"/>
    <w:rsid w:val="4C025EBB"/>
    <w:rsid w:val="4C4E289A"/>
    <w:rsid w:val="4CC56D84"/>
    <w:rsid w:val="4DB6287B"/>
    <w:rsid w:val="4DBE5CAD"/>
    <w:rsid w:val="4DD75684"/>
    <w:rsid w:val="4E0D2518"/>
    <w:rsid w:val="4E1557C5"/>
    <w:rsid w:val="4E231003"/>
    <w:rsid w:val="4E3873B7"/>
    <w:rsid w:val="4EF70D4B"/>
    <w:rsid w:val="4F2E0C11"/>
    <w:rsid w:val="4F79418A"/>
    <w:rsid w:val="50472E90"/>
    <w:rsid w:val="50A2078E"/>
    <w:rsid w:val="50B9275C"/>
    <w:rsid w:val="50F72CC9"/>
    <w:rsid w:val="50FE286B"/>
    <w:rsid w:val="514069D9"/>
    <w:rsid w:val="51932220"/>
    <w:rsid w:val="51BC0756"/>
    <w:rsid w:val="51D276BD"/>
    <w:rsid w:val="51D77CAA"/>
    <w:rsid w:val="52173BDE"/>
    <w:rsid w:val="522135A2"/>
    <w:rsid w:val="5228244C"/>
    <w:rsid w:val="526D5211"/>
    <w:rsid w:val="529620AE"/>
    <w:rsid w:val="52C7180D"/>
    <w:rsid w:val="52EB291F"/>
    <w:rsid w:val="52ED493F"/>
    <w:rsid w:val="52F55822"/>
    <w:rsid w:val="531F0FF7"/>
    <w:rsid w:val="53A83AF6"/>
    <w:rsid w:val="53B56AAB"/>
    <w:rsid w:val="53E03D6D"/>
    <w:rsid w:val="53E144A4"/>
    <w:rsid w:val="54333CD5"/>
    <w:rsid w:val="546107D9"/>
    <w:rsid w:val="546E506B"/>
    <w:rsid w:val="549E2395"/>
    <w:rsid w:val="55297C80"/>
    <w:rsid w:val="5531155E"/>
    <w:rsid w:val="565C7750"/>
    <w:rsid w:val="56644F18"/>
    <w:rsid w:val="56A12956"/>
    <w:rsid w:val="56C54297"/>
    <w:rsid w:val="56DB047F"/>
    <w:rsid w:val="56FE5BF2"/>
    <w:rsid w:val="56FF2E93"/>
    <w:rsid w:val="57100988"/>
    <w:rsid w:val="576D5122"/>
    <w:rsid w:val="58506377"/>
    <w:rsid w:val="586259DC"/>
    <w:rsid w:val="58625BCC"/>
    <w:rsid w:val="58627B7D"/>
    <w:rsid w:val="58B574EB"/>
    <w:rsid w:val="58CE04C7"/>
    <w:rsid w:val="58FC1D80"/>
    <w:rsid w:val="593509FB"/>
    <w:rsid w:val="59893E96"/>
    <w:rsid w:val="599D432B"/>
    <w:rsid w:val="59E56370"/>
    <w:rsid w:val="5A12625C"/>
    <w:rsid w:val="5B1E275D"/>
    <w:rsid w:val="5B3E21DC"/>
    <w:rsid w:val="5B4A5024"/>
    <w:rsid w:val="5BBD57F6"/>
    <w:rsid w:val="5BC414F3"/>
    <w:rsid w:val="5C2D4F60"/>
    <w:rsid w:val="5C351FFC"/>
    <w:rsid w:val="5C953453"/>
    <w:rsid w:val="5CAE15E3"/>
    <w:rsid w:val="5CB84A88"/>
    <w:rsid w:val="5CDA4186"/>
    <w:rsid w:val="5D290C69"/>
    <w:rsid w:val="5DEE479F"/>
    <w:rsid w:val="5E2377EC"/>
    <w:rsid w:val="5E254884"/>
    <w:rsid w:val="5E36741C"/>
    <w:rsid w:val="5E407DA6"/>
    <w:rsid w:val="5F3F2DAC"/>
    <w:rsid w:val="5F4829DC"/>
    <w:rsid w:val="5F714A03"/>
    <w:rsid w:val="5F725BF8"/>
    <w:rsid w:val="5F8301BD"/>
    <w:rsid w:val="5FB15C3A"/>
    <w:rsid w:val="5FDF26F7"/>
    <w:rsid w:val="5FEC0FE5"/>
    <w:rsid w:val="6022194E"/>
    <w:rsid w:val="60570E4A"/>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8C045C"/>
    <w:rsid w:val="64A83BDE"/>
    <w:rsid w:val="6567664A"/>
    <w:rsid w:val="656A40F1"/>
    <w:rsid w:val="658C5E23"/>
    <w:rsid w:val="65F9363E"/>
    <w:rsid w:val="66287D10"/>
    <w:rsid w:val="66747376"/>
    <w:rsid w:val="667E25AF"/>
    <w:rsid w:val="66815672"/>
    <w:rsid w:val="67042ACB"/>
    <w:rsid w:val="67152E14"/>
    <w:rsid w:val="673941B8"/>
    <w:rsid w:val="67770DF7"/>
    <w:rsid w:val="679C27B9"/>
    <w:rsid w:val="67C21399"/>
    <w:rsid w:val="67CB3049"/>
    <w:rsid w:val="67FF2A16"/>
    <w:rsid w:val="682465CF"/>
    <w:rsid w:val="68EA74FF"/>
    <w:rsid w:val="690814B0"/>
    <w:rsid w:val="694638B9"/>
    <w:rsid w:val="6972525B"/>
    <w:rsid w:val="69C211FB"/>
    <w:rsid w:val="69FC5E8B"/>
    <w:rsid w:val="6A16113C"/>
    <w:rsid w:val="6A777B3A"/>
    <w:rsid w:val="6AD14E1A"/>
    <w:rsid w:val="6AE1793A"/>
    <w:rsid w:val="6B056872"/>
    <w:rsid w:val="6B1765A5"/>
    <w:rsid w:val="6B217424"/>
    <w:rsid w:val="6B28360F"/>
    <w:rsid w:val="6B9F4D55"/>
    <w:rsid w:val="6BAA3DD9"/>
    <w:rsid w:val="6C172D01"/>
    <w:rsid w:val="6C5B0433"/>
    <w:rsid w:val="6CC21278"/>
    <w:rsid w:val="6CC2767B"/>
    <w:rsid w:val="6CEE14EE"/>
    <w:rsid w:val="6D342244"/>
    <w:rsid w:val="6DAB4CCB"/>
    <w:rsid w:val="6DC70D5C"/>
    <w:rsid w:val="6DDA24A1"/>
    <w:rsid w:val="6DE53C17"/>
    <w:rsid w:val="6DFC3BBF"/>
    <w:rsid w:val="6E0E1C83"/>
    <w:rsid w:val="6E45126B"/>
    <w:rsid w:val="6EA047F7"/>
    <w:rsid w:val="6EFB5292"/>
    <w:rsid w:val="6F062BB9"/>
    <w:rsid w:val="6F185329"/>
    <w:rsid w:val="6F213E8F"/>
    <w:rsid w:val="70783234"/>
    <w:rsid w:val="70E64A50"/>
    <w:rsid w:val="710A408D"/>
    <w:rsid w:val="71231A63"/>
    <w:rsid w:val="714B6E37"/>
    <w:rsid w:val="71C72BEE"/>
    <w:rsid w:val="72AA2579"/>
    <w:rsid w:val="73614D85"/>
    <w:rsid w:val="7363682B"/>
    <w:rsid w:val="7363763C"/>
    <w:rsid w:val="739465A0"/>
    <w:rsid w:val="73A82490"/>
    <w:rsid w:val="73AA3664"/>
    <w:rsid w:val="73B34AD5"/>
    <w:rsid w:val="73D42B6E"/>
    <w:rsid w:val="743B3E3F"/>
    <w:rsid w:val="74CE1079"/>
    <w:rsid w:val="74E41D61"/>
    <w:rsid w:val="75F575B2"/>
    <w:rsid w:val="7654465A"/>
    <w:rsid w:val="765A00C6"/>
    <w:rsid w:val="76994BBA"/>
    <w:rsid w:val="76995E63"/>
    <w:rsid w:val="772335FF"/>
    <w:rsid w:val="7733287E"/>
    <w:rsid w:val="77452BA0"/>
    <w:rsid w:val="774923FD"/>
    <w:rsid w:val="777E28EC"/>
    <w:rsid w:val="77B52272"/>
    <w:rsid w:val="78120C80"/>
    <w:rsid w:val="781959A6"/>
    <w:rsid w:val="783A1618"/>
    <w:rsid w:val="788222E3"/>
    <w:rsid w:val="7908485F"/>
    <w:rsid w:val="7936053E"/>
    <w:rsid w:val="793F0B2C"/>
    <w:rsid w:val="797818E8"/>
    <w:rsid w:val="797D07AB"/>
    <w:rsid w:val="79AC25AE"/>
    <w:rsid w:val="7AAC0A0E"/>
    <w:rsid w:val="7AF0301F"/>
    <w:rsid w:val="7B237CCD"/>
    <w:rsid w:val="7B306E47"/>
    <w:rsid w:val="7B8C6B3B"/>
    <w:rsid w:val="7BB505A7"/>
    <w:rsid w:val="7BB717C3"/>
    <w:rsid w:val="7BD77DB7"/>
    <w:rsid w:val="7C3F595C"/>
    <w:rsid w:val="7C507B69"/>
    <w:rsid w:val="7C683BAE"/>
    <w:rsid w:val="7C885555"/>
    <w:rsid w:val="7CBD0742"/>
    <w:rsid w:val="7CC601EC"/>
    <w:rsid w:val="7D162D31"/>
    <w:rsid w:val="7D7D55A3"/>
    <w:rsid w:val="7D9A028A"/>
    <w:rsid w:val="7DE81FDD"/>
    <w:rsid w:val="7E3C60AD"/>
    <w:rsid w:val="7E4A776E"/>
    <w:rsid w:val="7EC565EC"/>
    <w:rsid w:val="7EEF5417"/>
    <w:rsid w:val="7F0277B9"/>
    <w:rsid w:val="7F0D3AEF"/>
    <w:rsid w:val="7F435763"/>
    <w:rsid w:val="7F59767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11765</Words>
  <Characters>12028</Characters>
  <Lines>182</Lines>
  <Paragraphs>51</Paragraphs>
  <TotalTime>0</TotalTime>
  <ScaleCrop>false</ScaleCrop>
  <LinksUpToDate>false</LinksUpToDate>
  <CharactersWithSpaces>12916</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2025-10-27T03:59:29Z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